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102096" w14:textId="783C3E24" w:rsidR="004A2661" w:rsidRPr="00374E88" w:rsidRDefault="00DD7716" w:rsidP="00DD7716">
      <w:pPr>
        <w:jc w:val="center"/>
        <w:rPr>
          <w:b/>
          <w:bCs/>
          <w:lang w:val="es-ES"/>
        </w:rPr>
      </w:pPr>
      <w:r w:rsidRPr="00374E88">
        <w:rPr>
          <w:b/>
          <w:bCs/>
          <w:lang w:val="es-ES"/>
        </w:rPr>
        <w:t>ACTIVIDAD SEMANA 03</w:t>
      </w:r>
    </w:p>
    <w:p w14:paraId="4D168F14" w14:textId="54645A2D" w:rsidR="00DD7716" w:rsidRPr="00374E88" w:rsidRDefault="00DD7716" w:rsidP="00DD7716">
      <w:pPr>
        <w:jc w:val="center"/>
        <w:rPr>
          <w:b/>
          <w:bCs/>
          <w:lang w:val="es-ES"/>
        </w:rPr>
      </w:pPr>
      <w:r w:rsidRPr="00374E88">
        <w:rPr>
          <w:b/>
          <w:bCs/>
          <w:lang w:val="es-ES"/>
        </w:rPr>
        <w:t>Clasificación de los sistemas OLTP y OLAP</w:t>
      </w:r>
    </w:p>
    <w:p w14:paraId="414EA0E0" w14:textId="192728A7" w:rsidR="00DD7716" w:rsidRDefault="00DD7716" w:rsidP="00374E88">
      <w:pPr>
        <w:jc w:val="center"/>
        <w:rPr>
          <w:lang w:val="es-ES"/>
        </w:rPr>
      </w:pPr>
      <w:r w:rsidRPr="00374E88">
        <w:rPr>
          <w:b/>
          <w:bCs/>
          <w:lang w:val="es-ES"/>
        </w:rPr>
        <w:t>Organización:</w:t>
      </w:r>
      <w:r>
        <w:rPr>
          <w:lang w:val="es-ES"/>
        </w:rPr>
        <w:t xml:space="preserve"> servicio de gestión de residuos sólidos en Neiva</w:t>
      </w:r>
    </w:p>
    <w:p w14:paraId="10A6A2C1" w14:textId="024AC3AD" w:rsidR="00DD7716" w:rsidRPr="00374E88" w:rsidRDefault="00DD7716" w:rsidP="00374E88">
      <w:pPr>
        <w:jc w:val="center"/>
        <w:rPr>
          <w:b/>
          <w:bCs/>
          <w:lang w:val="es-ES"/>
        </w:rPr>
      </w:pPr>
      <w:r w:rsidRPr="00374E88">
        <w:rPr>
          <w:b/>
          <w:bCs/>
          <w:lang w:val="es-ES"/>
        </w:rPr>
        <w:t>Clasificación de los sistemas</w:t>
      </w:r>
    </w:p>
    <w:p w14:paraId="2EBC7F11" w14:textId="301E163B" w:rsidR="00DD7716" w:rsidRPr="00374E88" w:rsidRDefault="00DD7716">
      <w:pPr>
        <w:rPr>
          <w:b/>
          <w:bCs/>
          <w:lang w:val="es-ES"/>
        </w:rPr>
      </w:pPr>
      <w:r w:rsidRPr="00374E88">
        <w:rPr>
          <w:b/>
          <w:bCs/>
          <w:lang w:val="es-ES"/>
        </w:rPr>
        <w:t xml:space="preserve">Sistema 1 </w:t>
      </w:r>
      <w:r w:rsidR="00374E88">
        <w:rPr>
          <w:b/>
          <w:bCs/>
          <w:lang w:val="es-ES"/>
        </w:rPr>
        <w:t>R</w:t>
      </w:r>
      <w:r w:rsidRPr="00374E88">
        <w:rPr>
          <w:b/>
          <w:bCs/>
          <w:lang w:val="es-ES"/>
        </w:rPr>
        <w:t xml:space="preserve">egistro diario de recolección de residuos sólidos </w:t>
      </w:r>
    </w:p>
    <w:p w14:paraId="51878E12" w14:textId="50EA43B3" w:rsidR="00DD7716" w:rsidRPr="00374E88" w:rsidRDefault="00DD7716">
      <w:pPr>
        <w:rPr>
          <w:b/>
          <w:bCs/>
          <w:lang w:val="es-ES"/>
        </w:rPr>
      </w:pPr>
      <w:r w:rsidRPr="00374E88">
        <w:rPr>
          <w:b/>
          <w:bCs/>
          <w:lang w:val="es-ES"/>
        </w:rPr>
        <w:t>Clasificación OLTP</w:t>
      </w:r>
    </w:p>
    <w:p w14:paraId="54516FA6" w14:textId="7562E355" w:rsidR="00DD7716" w:rsidRDefault="00DD7716">
      <w:pPr>
        <w:rPr>
          <w:lang w:val="es-ES"/>
        </w:rPr>
      </w:pPr>
      <w:r>
        <w:rPr>
          <w:lang w:val="es-ES"/>
        </w:rPr>
        <w:t xml:space="preserve">Este sistema se utiliza para registrar las </w:t>
      </w:r>
      <w:r w:rsidR="003B74FA">
        <w:rPr>
          <w:lang w:val="es-ES"/>
        </w:rPr>
        <w:t>actividades diarias</w:t>
      </w:r>
      <w:r>
        <w:rPr>
          <w:lang w:val="es-ES"/>
        </w:rPr>
        <w:t xml:space="preserve"> relacionadas con la recolección de los residuos solidos en Neiva. En el se almacenan datos como la fecha de recolección, la ruta realizada, el sector atendido, el vehículo utilizado, el tipo de residuo y la cantidad recolectada.</w:t>
      </w:r>
    </w:p>
    <w:p w14:paraId="6C2283C0" w14:textId="7315D148" w:rsidR="00DD7716" w:rsidRDefault="003B74FA">
      <w:pPr>
        <w:rPr>
          <w:lang w:val="es-ES"/>
        </w:rPr>
      </w:pPr>
      <w:r>
        <w:rPr>
          <w:lang w:val="es-ES"/>
        </w:rPr>
        <w:t>Se clasifica con OLTP, porque registra operaciones individuales a medida que ocurren. Cada recorrido o recolección genera un nuevo registro que debe guardarse y actualizarse de forma rápida. Su función principal es apoyar el funcionamiento cotidiano del servicio de aseo y mantener el control detallad de las operaciones realizadas.</w:t>
      </w:r>
    </w:p>
    <w:p w14:paraId="3F3CFB20" w14:textId="77777777" w:rsidR="003B74FA" w:rsidRPr="00374E88" w:rsidRDefault="003B74FA">
      <w:pPr>
        <w:rPr>
          <w:b/>
          <w:bCs/>
          <w:lang w:val="es-ES"/>
        </w:rPr>
      </w:pPr>
      <w:r w:rsidRPr="00374E88">
        <w:rPr>
          <w:b/>
          <w:bCs/>
          <w:lang w:val="es-ES"/>
        </w:rPr>
        <w:t>Sistema 2 Dashboard de análisis de la gestión de residuos solidos</w:t>
      </w:r>
    </w:p>
    <w:p w14:paraId="4118E6E7" w14:textId="77777777" w:rsidR="003B74FA" w:rsidRPr="00374E88" w:rsidRDefault="003B74FA">
      <w:pPr>
        <w:rPr>
          <w:b/>
          <w:bCs/>
          <w:lang w:val="es-ES"/>
        </w:rPr>
      </w:pPr>
      <w:r w:rsidRPr="00374E88">
        <w:rPr>
          <w:b/>
          <w:bCs/>
          <w:lang w:val="es-ES"/>
        </w:rPr>
        <w:t>Clasificación OLAP</w:t>
      </w:r>
    </w:p>
    <w:p w14:paraId="4E767E2A" w14:textId="3F5541CF" w:rsidR="003B74FA" w:rsidRDefault="003B74FA">
      <w:pPr>
        <w:rPr>
          <w:lang w:val="es-ES"/>
        </w:rPr>
      </w:pPr>
      <w:r>
        <w:rPr>
          <w:lang w:val="es-ES"/>
        </w:rPr>
        <w:t>Este sistema permite analizar la información histórica relacionada con la recolección de residuos sólidos. Mediante un Dashboard se pueden comparar las cantidades recolectadas por mes, año,</w:t>
      </w:r>
      <w:r w:rsidR="00374E88">
        <w:rPr>
          <w:lang w:val="es-ES"/>
        </w:rPr>
        <w:t xml:space="preserve"> comuna, ruta, tipo de residuo o sector de la ciudad.</w:t>
      </w:r>
    </w:p>
    <w:p w14:paraId="1C678DB1" w14:textId="35C8ACFC" w:rsidR="00374E88" w:rsidRDefault="00374E88">
      <w:pPr>
        <w:rPr>
          <w:lang w:val="es-ES"/>
        </w:rPr>
      </w:pPr>
      <w:r>
        <w:rPr>
          <w:lang w:val="es-ES"/>
        </w:rPr>
        <w:t>Se clasifica como OLAP, porque su propósito no es solo registrar operaciones diarias sino consultar y analizar grandes cantidades de datos acumulados. Este sistema facilita la identificación de las tendencias, las comparaciones y cambios en la generación de residuos, lo que contribuye a la toma de decisiones relacionadas con la planificación del servicio.</w:t>
      </w:r>
    </w:p>
    <w:p w14:paraId="2E8C3B7D" w14:textId="14BB07CC" w:rsidR="007F67BA" w:rsidRPr="007F67BA" w:rsidRDefault="007F67BA" w:rsidP="007F67BA">
      <w:pPr>
        <w:jc w:val="center"/>
        <w:rPr>
          <w:b/>
          <w:bCs/>
          <w:lang w:val="es-ES"/>
        </w:rPr>
      </w:pPr>
      <w:r w:rsidRPr="007F67BA">
        <w:rPr>
          <w:b/>
          <w:bCs/>
          <w:lang w:val="es-ES"/>
        </w:rPr>
        <w:t>Pregunta analítica</w:t>
      </w:r>
    </w:p>
    <w:p w14:paraId="4A53196D" w14:textId="0E0F0F72" w:rsidR="007F67BA" w:rsidRDefault="007F67BA">
      <w:pPr>
        <w:rPr>
          <w:lang w:val="es-ES"/>
        </w:rPr>
      </w:pPr>
      <w:r>
        <w:rPr>
          <w:lang w:val="es-ES"/>
        </w:rPr>
        <w:t>¿Cómo ha variado la cantidad mensual de residuos solidos recolectados en las deferentes comunas de Neiva durante los últimos tres años y cuales comunas han presentado los mayores niveles de generación?</w:t>
      </w:r>
    </w:p>
    <w:p w14:paraId="18FE5509" w14:textId="77777777" w:rsidR="00887159" w:rsidRDefault="00887159">
      <w:pPr>
        <w:rPr>
          <w:lang w:val="es-ES"/>
        </w:rPr>
      </w:pPr>
    </w:p>
    <w:p w14:paraId="58ECF6F9" w14:textId="77777777" w:rsidR="00887159" w:rsidRDefault="00887159">
      <w:pPr>
        <w:rPr>
          <w:lang w:val="es-ES"/>
        </w:rPr>
      </w:pPr>
    </w:p>
    <w:p w14:paraId="38181CB3" w14:textId="15CB9DBA" w:rsidR="007F67BA" w:rsidRPr="00887159" w:rsidRDefault="007F67BA" w:rsidP="00887159">
      <w:pPr>
        <w:jc w:val="center"/>
        <w:rPr>
          <w:b/>
          <w:bCs/>
          <w:lang w:val="es-ES"/>
        </w:rPr>
      </w:pPr>
      <w:r w:rsidRPr="00887159">
        <w:rPr>
          <w:b/>
          <w:bCs/>
          <w:lang w:val="es-ES"/>
        </w:rPr>
        <w:lastRenderedPageBreak/>
        <w:t>Data warehouse</w:t>
      </w:r>
    </w:p>
    <w:p w14:paraId="39193BC1" w14:textId="77777777" w:rsidR="00887159" w:rsidRPr="00887159" w:rsidRDefault="007F67BA" w:rsidP="00887159">
      <w:r>
        <w:rPr>
          <w:lang w:val="es-ES"/>
        </w:rPr>
        <w:t xml:space="preserve">Llevar los datos del sistema de recolección a un data warehouse permite almacenarlos de una manera organizada y adecuada para el análisis histórico. Allí se puede integrar los registros de diferentes periodos y organizarlos por variables como facha, comuna, ruta, sector, </w:t>
      </w:r>
      <w:r w:rsidR="00887159" w:rsidRPr="00887159">
        <w:t>vehículo y tipo de residuo.</w:t>
      </w:r>
    </w:p>
    <w:p w14:paraId="113F34C4" w14:textId="18162525" w:rsidR="00887159" w:rsidRPr="00887159" w:rsidRDefault="00887159" w:rsidP="00887159">
      <w:r w:rsidRPr="00887159">
        <w:t>El data warehouse mejora la respuesta a la pregunta analítica por las siguientes razones:</w:t>
      </w:r>
    </w:p>
    <w:p w14:paraId="40D7FFAC" w14:textId="77777777" w:rsidR="00887159" w:rsidRPr="00887159" w:rsidRDefault="00887159" w:rsidP="00887159">
      <w:pPr>
        <w:rPr>
          <w:b/>
          <w:bCs/>
        </w:rPr>
      </w:pPr>
      <w:r w:rsidRPr="00887159">
        <w:rPr>
          <w:b/>
          <w:bCs/>
        </w:rPr>
        <w:t>Rendimiento</w:t>
      </w:r>
    </w:p>
    <w:p w14:paraId="3978335D" w14:textId="77777777" w:rsidR="00887159" w:rsidRPr="00887159" w:rsidRDefault="00887159" w:rsidP="00887159">
      <w:r w:rsidRPr="00887159">
        <w:t>Las consultas y los cálculos se realizan sobre el data warehouse, sin afectar el sistema OLTP que registra las operaciones diarias de recolección.</w:t>
      </w:r>
    </w:p>
    <w:p w14:paraId="5357545F" w14:textId="77777777" w:rsidR="00887159" w:rsidRPr="00887159" w:rsidRDefault="00887159" w:rsidP="00887159">
      <w:pPr>
        <w:rPr>
          <w:b/>
          <w:bCs/>
        </w:rPr>
      </w:pPr>
      <w:r w:rsidRPr="00887159">
        <w:rPr>
          <w:b/>
          <w:bCs/>
        </w:rPr>
        <w:t>Estructura</w:t>
      </w:r>
    </w:p>
    <w:p w14:paraId="584C9554" w14:textId="77777777" w:rsidR="00887159" w:rsidRPr="00887159" w:rsidRDefault="00887159" w:rsidP="00887159">
      <w:r w:rsidRPr="00887159">
        <w:t>La información se limpia, se unifica y se organiza antes de ser analizada. Esto facilita la comparación de las cantidades recolectadas por comuna, mes, año o tipo de residuo.</w:t>
      </w:r>
    </w:p>
    <w:p w14:paraId="0D09A909" w14:textId="77777777" w:rsidR="00887159" w:rsidRPr="00887159" w:rsidRDefault="00887159" w:rsidP="00887159">
      <w:pPr>
        <w:rPr>
          <w:b/>
          <w:bCs/>
        </w:rPr>
      </w:pPr>
      <w:r w:rsidRPr="00887159">
        <w:rPr>
          <w:b/>
          <w:bCs/>
        </w:rPr>
        <w:t>Histórico</w:t>
      </w:r>
    </w:p>
    <w:p w14:paraId="46A678DD" w14:textId="6F73A0CA" w:rsidR="00887159" w:rsidRPr="00887159" w:rsidRDefault="00887159" w:rsidP="00887159">
      <w:r w:rsidRPr="00887159">
        <w:t>El data warehouse conserva datos de diferentes periodos. Por esta razón, permite observar la evolución de la recolección de residuos y comparar el comportamiento de las comunas de Neiva a lo largo del tiempo.</w:t>
      </w:r>
    </w:p>
    <w:p w14:paraId="10C6F253" w14:textId="2B75E22F" w:rsidR="00E000FF" w:rsidRDefault="00887159" w:rsidP="00887159">
      <w:r w:rsidRPr="00887159">
        <w:t>Con esta información, la organización podría identificar las comunas con mayor generación de residuos, revisar la distribución de las rutas de recolección y apoyar la planificación de sus recursos.</w:t>
      </w:r>
    </w:p>
    <w:p w14:paraId="35202A74" w14:textId="03CEB2B3" w:rsidR="00887159" w:rsidRPr="00887159" w:rsidRDefault="00887159" w:rsidP="00887159">
      <w:r w:rsidRPr="00887159">
        <w:t>La actividad solicita explicar cómo el data warehouse mejora el análisis en términos de rendimiento, estructura o conservación del histórico.</w:t>
      </w:r>
      <w:r w:rsidR="00E000FF" w:rsidRPr="00E000FF">
        <w:rPr>
          <w:noProof/>
        </w:rPr>
        <w:t xml:space="preserve"> </w:t>
      </w:r>
    </w:p>
    <w:p w14:paraId="528BFDF5" w14:textId="4E206095" w:rsidR="007F67BA" w:rsidRPr="005568CE" w:rsidRDefault="005568CE">
      <w:pPr>
        <w:rPr>
          <w:b/>
          <w:bCs/>
          <w:lang w:val="es-ES"/>
        </w:rPr>
      </w:pPr>
      <w:r w:rsidRPr="005568CE">
        <w:rPr>
          <w:b/>
          <w:bCs/>
          <w:noProof/>
        </w:rPr>
        <w:lastRenderedPageBreak/>
        <w:drawing>
          <wp:anchor distT="0" distB="0" distL="114300" distR="114300" simplePos="0" relativeHeight="251658240" behindDoc="0" locked="0" layoutInCell="1" allowOverlap="1" wp14:anchorId="37DB508A" wp14:editId="54056E29">
            <wp:simplePos x="0" y="0"/>
            <wp:positionH relativeFrom="margin">
              <wp:align>center</wp:align>
            </wp:positionH>
            <wp:positionV relativeFrom="paragraph">
              <wp:posOffset>335280</wp:posOffset>
            </wp:positionV>
            <wp:extent cx="6362700" cy="2912110"/>
            <wp:effectExtent l="0" t="0" r="19050" b="0"/>
            <wp:wrapSquare wrapText="bothSides"/>
            <wp:docPr id="2077976831" name="Diagrama 2"/>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4" r:lo="rId5" r:qs="rId6" r:cs="rId7"/>
              </a:graphicData>
            </a:graphic>
            <wp14:sizeRelH relativeFrom="margin">
              <wp14:pctWidth>0</wp14:pctWidth>
            </wp14:sizeRelH>
          </wp:anchor>
        </w:drawing>
      </w:r>
      <w:r w:rsidRPr="005568CE">
        <w:rPr>
          <w:b/>
          <w:bCs/>
          <w:lang w:val="es-ES"/>
        </w:rPr>
        <w:t xml:space="preserve">Flujo de datos </w:t>
      </w:r>
    </w:p>
    <w:p w14:paraId="5388384A" w14:textId="774F584B" w:rsidR="001E1D68" w:rsidRPr="001E1D68" w:rsidRDefault="001E1D68" w:rsidP="001E1D68">
      <w:r>
        <w:rPr>
          <w:lang w:val="es-ES"/>
        </w:rPr>
        <w:t xml:space="preserve">El proceso inicia en el sistema de OLTP, donde se registran diariamente los datos de la recolección de residuos sólidos, como fechas, comunas, rutas, vehículos y cantidad recolectada. </w:t>
      </w:r>
      <w:r w:rsidRPr="001E1D68">
        <w:t xml:space="preserve">Posteriormente, mediante el proceso ETL, los datos son extraídos, limpiados, transformados y cargados para garantizar su calidad. Después, la información se almacena en el Data Warehouse, donde se conserva de manera organizada y con histórico para facilitar su análisis. Finalmente, los datos son visualizados en un reporte OLAP o </w:t>
      </w:r>
      <w:proofErr w:type="spellStart"/>
      <w:r w:rsidRPr="001E1D68">
        <w:t>dashboard</w:t>
      </w:r>
      <w:proofErr w:type="spellEnd"/>
      <w:r w:rsidRPr="001E1D68">
        <w:t>, que permite identificar tendencias, comparar periodos y apoyar la toma de decisiones relacionadas con la gestión de residuos sólidos.</w:t>
      </w:r>
    </w:p>
    <w:p w14:paraId="7AB5354E" w14:textId="2BE45AEE" w:rsidR="007F67BA" w:rsidRDefault="007F67BA">
      <w:pPr>
        <w:rPr>
          <w:lang w:val="es-ES"/>
        </w:rPr>
      </w:pPr>
    </w:p>
    <w:p w14:paraId="5A2333B9" w14:textId="5398CCEC" w:rsidR="00374E88" w:rsidRDefault="00374E88">
      <w:pPr>
        <w:rPr>
          <w:lang w:val="es-ES"/>
        </w:rPr>
      </w:pPr>
    </w:p>
    <w:p w14:paraId="3E5B1A55" w14:textId="77777777" w:rsidR="003B74FA" w:rsidRDefault="003B74FA">
      <w:pPr>
        <w:rPr>
          <w:lang w:val="es-ES"/>
        </w:rPr>
      </w:pPr>
    </w:p>
    <w:p w14:paraId="6709139B" w14:textId="77777777" w:rsidR="00DD7716" w:rsidRPr="00DD7716" w:rsidRDefault="00DD7716">
      <w:pPr>
        <w:rPr>
          <w:lang w:val="es-ES"/>
        </w:rPr>
      </w:pPr>
    </w:p>
    <w:sectPr w:rsidR="00DD7716" w:rsidRPr="00DD7716">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D7716"/>
    <w:rsid w:val="000B3345"/>
    <w:rsid w:val="001E1D68"/>
    <w:rsid w:val="00374E88"/>
    <w:rsid w:val="003B74FA"/>
    <w:rsid w:val="004A2661"/>
    <w:rsid w:val="005568CE"/>
    <w:rsid w:val="007F67BA"/>
    <w:rsid w:val="008805FC"/>
    <w:rsid w:val="00887159"/>
    <w:rsid w:val="00DD7716"/>
    <w:rsid w:val="00E000FF"/>
    <w:rsid w:val="00F15D25"/>
    <w:rsid w:val="00F75CD5"/>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91DED2E"/>
  <w15:chartTrackingRefBased/>
  <w15:docId w15:val="{265C4736-2161-4364-A0BB-9E9A8EC8C5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CO"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DD771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DD771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DD7716"/>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DD7716"/>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DD7716"/>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DD7716"/>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DD7716"/>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DD7716"/>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DD7716"/>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DD7716"/>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DD7716"/>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DD7716"/>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DD7716"/>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DD7716"/>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DD7716"/>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DD7716"/>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DD7716"/>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DD7716"/>
    <w:rPr>
      <w:rFonts w:eastAsiaTheme="majorEastAsia" w:cstheme="majorBidi"/>
      <w:color w:val="272727" w:themeColor="text1" w:themeTint="D8"/>
    </w:rPr>
  </w:style>
  <w:style w:type="paragraph" w:styleId="Ttulo">
    <w:name w:val="Title"/>
    <w:basedOn w:val="Normal"/>
    <w:next w:val="Normal"/>
    <w:link w:val="TtuloCar"/>
    <w:uiPriority w:val="10"/>
    <w:qFormat/>
    <w:rsid w:val="00DD771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DD7716"/>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DD7716"/>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DD7716"/>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DD7716"/>
    <w:pPr>
      <w:spacing w:before="160"/>
      <w:jc w:val="center"/>
    </w:pPr>
    <w:rPr>
      <w:i/>
      <w:iCs/>
      <w:color w:val="404040" w:themeColor="text1" w:themeTint="BF"/>
    </w:rPr>
  </w:style>
  <w:style w:type="character" w:customStyle="1" w:styleId="CitaCar">
    <w:name w:val="Cita Car"/>
    <w:basedOn w:val="Fuentedeprrafopredeter"/>
    <w:link w:val="Cita"/>
    <w:uiPriority w:val="29"/>
    <w:rsid w:val="00DD7716"/>
    <w:rPr>
      <w:i/>
      <w:iCs/>
      <w:color w:val="404040" w:themeColor="text1" w:themeTint="BF"/>
    </w:rPr>
  </w:style>
  <w:style w:type="paragraph" w:styleId="Prrafodelista">
    <w:name w:val="List Paragraph"/>
    <w:basedOn w:val="Normal"/>
    <w:uiPriority w:val="34"/>
    <w:qFormat/>
    <w:rsid w:val="00DD7716"/>
    <w:pPr>
      <w:ind w:left="720"/>
      <w:contextualSpacing/>
    </w:pPr>
  </w:style>
  <w:style w:type="character" w:styleId="nfasisintenso">
    <w:name w:val="Intense Emphasis"/>
    <w:basedOn w:val="Fuentedeprrafopredeter"/>
    <w:uiPriority w:val="21"/>
    <w:qFormat/>
    <w:rsid w:val="00DD7716"/>
    <w:rPr>
      <w:i/>
      <w:iCs/>
      <w:color w:val="0F4761" w:themeColor="accent1" w:themeShade="BF"/>
    </w:rPr>
  </w:style>
  <w:style w:type="paragraph" w:styleId="Citadestacada">
    <w:name w:val="Intense Quote"/>
    <w:basedOn w:val="Normal"/>
    <w:next w:val="Normal"/>
    <w:link w:val="CitadestacadaCar"/>
    <w:uiPriority w:val="30"/>
    <w:qFormat/>
    <w:rsid w:val="00DD771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DD7716"/>
    <w:rPr>
      <w:i/>
      <w:iCs/>
      <w:color w:val="0F4761" w:themeColor="accent1" w:themeShade="BF"/>
    </w:rPr>
  </w:style>
  <w:style w:type="character" w:styleId="Referenciaintensa">
    <w:name w:val="Intense Reference"/>
    <w:basedOn w:val="Fuentedeprrafopredeter"/>
    <w:uiPriority w:val="32"/>
    <w:qFormat/>
    <w:rsid w:val="00DD7716"/>
    <w:rPr>
      <w:b/>
      <w:bCs/>
      <w:smallCaps/>
      <w:color w:val="0F4761" w:themeColor="accent1" w:themeShade="BF"/>
      <w:spacing w:val="5"/>
    </w:rPr>
  </w:style>
  <w:style w:type="paragraph" w:styleId="NormalWeb">
    <w:name w:val="Normal (Web)"/>
    <w:basedOn w:val="Normal"/>
    <w:uiPriority w:val="99"/>
    <w:semiHidden/>
    <w:unhideWhenUsed/>
    <w:rsid w:val="00887159"/>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microsoft.com/office/2007/relationships/diagramDrawing" Target="diagrams/drawing1.xml"/><Relationship Id="rId3" Type="http://schemas.openxmlformats.org/officeDocument/2006/relationships/webSettings" Target="webSettings.xml"/><Relationship Id="rId7" Type="http://schemas.openxmlformats.org/officeDocument/2006/relationships/diagramColors" Target="diagrams/colors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diagramQuickStyle" Target="diagrams/quickStyle1.xml"/><Relationship Id="rId5" Type="http://schemas.openxmlformats.org/officeDocument/2006/relationships/diagramLayout" Target="diagrams/layout1.xml"/><Relationship Id="rId10" Type="http://schemas.openxmlformats.org/officeDocument/2006/relationships/theme" Target="theme/theme1.xml"/><Relationship Id="rId4" Type="http://schemas.openxmlformats.org/officeDocument/2006/relationships/diagramData" Target="diagrams/data1.xml"/><Relationship Id="rId9" Type="http://schemas.openxmlformats.org/officeDocument/2006/relationships/fontTable" Target="fontTable.xml"/></Relationships>
</file>

<file path=word/diagrams/colors1.xml><?xml version="1.0" encoding="utf-8"?>
<dgm:colorsDef xmlns:dgm="http://schemas.openxmlformats.org/drawingml/2006/diagram" xmlns:a="http://schemas.openxmlformats.org/drawingml/2006/main" uniqueId="urn:microsoft.com/office/officeart/2005/8/colors/colorful4">
  <dgm:title val=""/>
  <dgm:desc val=""/>
  <dgm:catLst>
    <dgm:cat type="colorful" pri="10400"/>
  </dgm:catLst>
  <dgm:styleLbl name="node0">
    <dgm:fillClrLst meth="repeat">
      <a:schemeClr val="accent3"/>
    </dgm:fillClrLst>
    <dgm:linClrLst meth="repeat">
      <a:schemeClr val="lt1"/>
    </dgm:linClrLst>
    <dgm:effectClrLst/>
    <dgm:txLinClrLst/>
    <dgm:txFillClrLst/>
    <dgm:txEffectClrLst/>
  </dgm:styleLbl>
  <dgm:styleLbl name="node0NoLn">
    <dgm:fillClrLst meth="repeat">
      <a:schemeClr val="accent3"/>
    </dgm:fillClrLst>
    <dgm:linClrLst meth="repeat">
      <a:schemeClr val="lt1">
        <a:alpha val="0"/>
      </a:schemeClr>
    </dgm:linClrLst>
    <dgm:effectClrLst/>
    <dgm:txLinClrLst/>
    <dgm:txFillClrLst/>
    <dgm:txEffectClrLst/>
  </dgm:styleLbl>
  <dgm:styleLbl name="node1">
    <dgm:fillClrLst>
      <a:schemeClr val="accent4"/>
      <a:schemeClr val="accent5"/>
    </dgm:fillClrLst>
    <dgm:linClrLst meth="repeat">
      <a:schemeClr val="lt1"/>
    </dgm:linClrLst>
    <dgm:effectClrLst/>
    <dgm:txLinClrLst/>
    <dgm:txFillClrLst/>
    <dgm:txEffectClrLst/>
  </dgm:styleLbl>
  <dgm:styleLbl name="node1NoLn">
    <dgm:fillClrLst>
      <a:schemeClr val="accent4"/>
      <a:schemeClr val="accent5"/>
    </dgm:fillClrLst>
    <dgm:linClrLst meth="repeat">
      <a:schemeClr val="lt1">
        <a:alpha val="0"/>
      </a:schemeClr>
    </dgm:linClrLst>
    <dgm:effectClrLst/>
    <dgm:txLinClrLst/>
    <dgm:txFillClrLst/>
    <dgm:txEffectClrLst/>
  </dgm:styleLbl>
  <dgm:styleLbl name="ltNode1NoLn">
    <dgm:fillClrLst>
      <a:schemeClr val="accent4">
        <a:tint val="75000"/>
      </a:schemeClr>
      <a:schemeClr val="accent5">
        <a:tint val="75000"/>
      </a:schemeClr>
    </dgm:fillClrLst>
    <dgm:linClrLst meth="repeat">
      <a:schemeClr val="lt1">
        <a:alpha val="0"/>
      </a:schemeClr>
    </dgm:linClrLst>
    <dgm:effectClrLst/>
    <dgm:txLinClrLst/>
    <dgm:txFillClrLst meth="repeat">
      <a:schemeClr val="dk1"/>
    </dgm:txFillClrLst>
    <dgm:txEffectClrLst/>
  </dgm:styleLbl>
  <dgm:styleLbl name="alignNode1">
    <dgm:fillClrLst>
      <a:schemeClr val="accent4"/>
      <a:schemeClr val="accent5"/>
    </dgm:fillClrLst>
    <dgm:linClrLst>
      <a:schemeClr val="accent4"/>
      <a:schemeClr val="accent5"/>
    </dgm:linClrLst>
    <dgm:effectClrLst/>
    <dgm:txLinClrLst/>
    <dgm:txFillClrLst/>
    <dgm:txEffectClrLst/>
  </dgm:styleLbl>
  <dgm:styleLbl name="lnNode1">
    <dgm:fillClrLst>
      <a:schemeClr val="accent4"/>
      <a:schemeClr val="accent5"/>
    </dgm:fillClrLst>
    <dgm:linClrLst meth="repeat">
      <a:schemeClr val="lt1"/>
    </dgm:linClrLst>
    <dgm:effectClrLst/>
    <dgm:txLinClrLst/>
    <dgm:txFillClrLst/>
    <dgm:txEffectClrLst/>
  </dgm:styleLbl>
  <dgm:styleLbl name="vennNode1">
    <dgm:fillClrLst>
      <a:schemeClr val="accent4">
        <a:alpha val="50000"/>
      </a:schemeClr>
      <a:schemeClr val="accent5">
        <a:alpha val="50000"/>
      </a:schemeClr>
    </dgm:fillClrLst>
    <dgm:linClrLst meth="repeat">
      <a:schemeClr val="lt1"/>
    </dgm:linClrLst>
    <dgm:effectClrLst/>
    <dgm:txLinClrLst/>
    <dgm:txFillClrLst/>
    <dgm:txEffectClrLst/>
  </dgm:styleLbl>
  <dgm:styleLbl name="node2">
    <dgm:fillClrLst>
      <a:schemeClr val="accent5"/>
    </dgm:fillClrLst>
    <dgm:linClrLst meth="repeat">
      <a:schemeClr val="lt1"/>
    </dgm:linClrLst>
    <dgm:effectClrLst/>
    <dgm:txLinClrLst/>
    <dgm:txFillClrLst/>
    <dgm:txEffectClrLst/>
  </dgm:styleLbl>
  <dgm:styleLbl name="node2NoLn">
    <dgm:fillClrLst>
      <a:schemeClr val="accent5"/>
    </dgm:fillClrLst>
    <dgm:linClrLst meth="repeat">
      <a:schemeClr val="lt1">
        <a:alpha val="0"/>
      </a:schemeClr>
    </dgm:linClrLst>
    <dgm:effectClrLst/>
    <dgm:txLinClrLst/>
    <dgm:txFillClrLst/>
    <dgm:txEffectClrLst/>
  </dgm:styleLbl>
  <dgm:styleLbl name="node3">
    <dgm:fillClrLst>
      <a:schemeClr val="accent6"/>
    </dgm:fillClrLst>
    <dgm:linClrLst meth="repeat">
      <a:schemeClr val="lt1"/>
    </dgm:linClrLst>
    <dgm:effectClrLst/>
    <dgm:txLinClrLst/>
    <dgm:txFillClrLst/>
    <dgm:txEffectClrLst/>
  </dgm:styleLbl>
  <dgm:styleLbl name="node3NoLn">
    <dgm:fillClrLst>
      <a:schemeClr val="accent6"/>
    </dgm:fillClrLst>
    <dgm:linClrLst meth="repeat">
      <a:schemeClr val="lt1">
        <a:alpha val="0"/>
      </a:schemeClr>
    </dgm:linClrLst>
    <dgm:effectClrLst/>
    <dgm:txLinClrLst/>
    <dgm:txFillClrLst/>
    <dgm:txEffectClrLst/>
  </dgm:styleLbl>
  <dgm:styleLbl name="node4">
    <dgm:fillClrLst>
      <a:schemeClr val="accent1"/>
    </dgm:fillClrLst>
    <dgm:linClrLst meth="repeat">
      <a:schemeClr val="lt1"/>
    </dgm:linClrLst>
    <dgm:effectClrLst/>
    <dgm:txLinClrLst/>
    <dgm:txFillClrLst/>
    <dgm:txEffectClrLst/>
  </dgm:styleLbl>
  <dgm:styleLbl name="node4NoLn">
    <dgm:fillClrLst>
      <a:schemeClr val="accent1"/>
    </dgm:fillClrLst>
    <dgm:linClrLst meth="repeat">
      <a:schemeClr val="lt1">
        <a:alpha val="0"/>
      </a:schemeClr>
    </dgm:linClrLst>
    <dgm:effectClrLst/>
    <dgm:txLinClrLst/>
    <dgm:txFillClrLst/>
    <dgm:txEffectClrLst/>
  </dgm:styleLbl>
  <dgm:styleLbl name="fgImgPlace1">
    <dgm:fillClrLst>
      <a:schemeClr val="accent4">
        <a:tint val="50000"/>
      </a:schemeClr>
      <a:schemeClr val="accent5">
        <a:tint val="50000"/>
      </a:schemeClr>
    </dgm:fillClrLst>
    <dgm:linClrLst meth="repeat">
      <a:schemeClr val="lt1"/>
    </dgm:linClrLst>
    <dgm:effectClrLst/>
    <dgm:txLinClrLst/>
    <dgm:txFillClrLst meth="repeat">
      <a:schemeClr val="lt1"/>
    </dgm:txFillClrLst>
    <dgm:txEffectClrLst/>
  </dgm:styleLbl>
  <dgm:styleLbl name="alignImgPlace1">
    <dgm:fillClrLst>
      <a:schemeClr val="accent4">
        <a:tint val="50000"/>
      </a:schemeClr>
      <a:schemeClr val="accent5">
        <a:tint val="20000"/>
      </a:schemeClr>
    </dgm:fillClrLst>
    <dgm:linClrLst meth="repeat">
      <a:schemeClr val="lt1"/>
    </dgm:linClrLst>
    <dgm:effectClrLst/>
    <dgm:txLinClrLst/>
    <dgm:txFillClrLst meth="repeat">
      <a:schemeClr val="lt1"/>
    </dgm:txFillClrLst>
    <dgm:txEffectClrLst/>
  </dgm:styleLbl>
  <dgm:styleLbl name="bgImgPlace1">
    <dgm:fillClrLst>
      <a:schemeClr val="accent4">
        <a:tint val="50000"/>
      </a:schemeClr>
      <a:schemeClr val="accent5">
        <a:tint val="20000"/>
      </a:schemeClr>
    </dgm:fillClrLst>
    <dgm:linClrLst meth="repeat">
      <a:schemeClr val="lt1"/>
    </dgm:linClrLst>
    <dgm:effectClrLst/>
    <dgm:txLinClrLst/>
    <dgm:txFillClrLst meth="repeat">
      <a:schemeClr val="lt1"/>
    </dgm:txFillClrLst>
    <dgm:txEffectClrLst/>
  </dgm:styleLbl>
  <dgm:styleLbl name="sibTrans2D1">
    <dgm:fillClrLst>
      <a:schemeClr val="accent4"/>
      <a:schemeClr val="accent5"/>
    </dgm:fillClrLst>
    <dgm:linClrLst meth="repeat">
      <a:schemeClr val="lt1"/>
    </dgm:linClrLst>
    <dgm:effectClrLst/>
    <dgm:txLinClrLst/>
    <dgm:txFillClrLst/>
    <dgm:txEffectClrLst/>
  </dgm:styleLbl>
  <dgm:styleLbl name="fgSibTrans2D1">
    <dgm:fillClrLst>
      <a:schemeClr val="accent4"/>
      <a:schemeClr val="accent5"/>
    </dgm:fillClrLst>
    <dgm:linClrLst meth="repeat">
      <a:schemeClr val="lt1"/>
    </dgm:linClrLst>
    <dgm:effectClrLst/>
    <dgm:txLinClrLst/>
    <dgm:txFillClrLst meth="repeat">
      <a:schemeClr val="lt1"/>
    </dgm:txFillClrLst>
    <dgm:txEffectClrLst/>
  </dgm:styleLbl>
  <dgm:styleLbl name="bgSibTrans2D1">
    <dgm:fillClrLst>
      <a:schemeClr val="accent4"/>
      <a:schemeClr val="accent5"/>
    </dgm:fillClrLst>
    <dgm:linClrLst meth="repeat">
      <a:schemeClr val="lt1"/>
    </dgm:linClrLst>
    <dgm:effectClrLst/>
    <dgm:txLinClrLst/>
    <dgm:txFillClrLst meth="repeat">
      <a:schemeClr val="lt1"/>
    </dgm:txFillClrLst>
    <dgm:txEffectClrLst/>
  </dgm:styleLbl>
  <dgm:styleLbl name="sibTrans1D1">
    <dgm:fillClrLst/>
    <dgm:linClrLst>
      <a:schemeClr val="accent4"/>
      <a:schemeClr val="accent5"/>
    </dgm:linClrLst>
    <dgm:effectClrLst/>
    <dgm:txLinClrLst/>
    <dgm:txFillClrLst meth="repeat">
      <a:schemeClr val="tx1"/>
    </dgm:txFillClrLst>
    <dgm:txEffectClrLst/>
  </dgm:styleLbl>
  <dgm:styleLbl name="callout">
    <dgm:fillClrLst meth="repeat">
      <a:schemeClr val="accent4"/>
    </dgm:fillClrLst>
    <dgm:linClrLst meth="repeat">
      <a:schemeClr val="accent4">
        <a:tint val="50000"/>
      </a:schemeClr>
    </dgm:linClrLst>
    <dgm:effectClrLst/>
    <dgm:txLinClrLst/>
    <dgm:txFillClrLst meth="repeat">
      <a:schemeClr val="tx1"/>
    </dgm:txFillClrLst>
    <dgm:txEffectClrLst/>
  </dgm:styleLbl>
  <dgm:styleLbl name="asst0">
    <dgm:fillClrLst meth="repeat">
      <a:schemeClr val="accent4"/>
    </dgm:fillClrLst>
    <dgm:linClrLst meth="repeat">
      <a:schemeClr val="lt1">
        <a:shade val="80000"/>
      </a:schemeClr>
    </dgm:linClrLst>
    <dgm:effectClrLst/>
    <dgm:txLinClrLst/>
    <dgm:txFillClrLst/>
    <dgm:txEffectClrLst/>
  </dgm:styleLbl>
  <dgm:styleLbl name="asst1">
    <dgm:fillClrLst meth="repeat">
      <a:schemeClr val="accent5"/>
    </dgm:fillClrLst>
    <dgm:linClrLst meth="repeat">
      <a:schemeClr val="lt1">
        <a:shade val="80000"/>
      </a:schemeClr>
    </dgm:linClrLst>
    <dgm:effectClrLst/>
    <dgm:txLinClrLst/>
    <dgm:txFillClrLst/>
    <dgm:txEffectClrLst/>
  </dgm:styleLbl>
  <dgm:styleLbl name="asst2">
    <dgm:fillClrLst>
      <a:schemeClr val="accent6"/>
    </dgm:fillClrLst>
    <dgm:linClrLst meth="repeat">
      <a:schemeClr val="lt1"/>
    </dgm:linClrLst>
    <dgm:effectClrLst/>
    <dgm:txLinClrLst/>
    <dgm:txFillClrLst/>
    <dgm:txEffectClrLst/>
  </dgm:styleLbl>
  <dgm:styleLbl name="asst3">
    <dgm:fillClrLst>
      <a:schemeClr val="accent1"/>
    </dgm:fillClrLst>
    <dgm:linClrLst meth="repeat">
      <a:schemeClr val="lt1"/>
    </dgm:linClrLst>
    <dgm:effectClrLst/>
    <dgm:txLinClrLst/>
    <dgm:txFillClrLst/>
    <dgm:txEffectClrLst/>
  </dgm:styleLbl>
  <dgm:styleLbl name="asst4">
    <dgm:fillClrLst>
      <a:schemeClr val="accent2"/>
    </dgm:fillClrLst>
    <dgm:linClrLst meth="repeat">
      <a:schemeClr val="lt1"/>
    </dgm:linClrLst>
    <dgm:effectClrLst/>
    <dgm:txLinClrLst/>
    <dgm:txFillClrLst/>
    <dgm:txEffectClrLst/>
  </dgm:styleLbl>
  <dgm:styleLbl name="parChTrans2D1">
    <dgm:fillClrLst meth="repeat">
      <a:schemeClr val="accent4"/>
    </dgm:fillClrLst>
    <dgm:linClrLst meth="repeat">
      <a:schemeClr val="lt1"/>
    </dgm:linClrLst>
    <dgm:effectClrLst/>
    <dgm:txLinClrLst/>
    <dgm:txFillClrLst meth="repeat">
      <a:schemeClr val="lt1"/>
    </dgm:txFillClrLst>
    <dgm:txEffectClrLst/>
  </dgm:styleLbl>
  <dgm:styleLbl name="parChTrans2D2">
    <dgm:fillClrLst meth="repeat">
      <a:schemeClr val="accent5"/>
    </dgm:fillClrLst>
    <dgm:linClrLst meth="repeat">
      <a:schemeClr val="lt1"/>
    </dgm:linClrLst>
    <dgm:effectClrLst/>
    <dgm:txLinClrLst/>
    <dgm:txFillClrLst/>
    <dgm:txEffectClrLst/>
  </dgm:styleLbl>
  <dgm:styleLbl name="parChTrans2D3">
    <dgm:fillClrLst meth="repeat">
      <a:schemeClr val="accent5"/>
    </dgm:fillClrLst>
    <dgm:linClrLst meth="repeat">
      <a:schemeClr val="lt1"/>
    </dgm:linClrLst>
    <dgm:effectClrLst/>
    <dgm:txLinClrLst/>
    <dgm:txFillClrLst/>
    <dgm:txEffectClrLst/>
  </dgm:styleLbl>
  <dgm:styleLbl name="parChTrans2D4">
    <dgm:fillClrLst meth="repeat">
      <a:schemeClr val="accent6"/>
    </dgm:fillClrLst>
    <dgm:linClrLst meth="repeat">
      <a:schemeClr val="lt1"/>
    </dgm:linClrLst>
    <dgm:effectClrLst/>
    <dgm:txLinClrLst/>
    <dgm:txFillClrLst meth="repeat">
      <a:schemeClr val="lt1"/>
    </dgm:txFillClrLst>
    <dgm:txEffectClrLst/>
  </dgm:styleLbl>
  <dgm:styleLbl name="parChTrans1D1">
    <dgm:fillClrLst meth="repeat">
      <a:schemeClr val="accent4"/>
    </dgm:fillClrLst>
    <dgm:linClrLst meth="repeat">
      <a:schemeClr val="accent4"/>
    </dgm:linClrLst>
    <dgm:effectClrLst/>
    <dgm:txLinClrLst/>
    <dgm:txFillClrLst meth="repeat">
      <a:schemeClr val="tx1"/>
    </dgm:txFillClrLst>
    <dgm:txEffectClrLst/>
  </dgm:styleLbl>
  <dgm:styleLbl name="parChTrans1D2">
    <dgm:fillClrLst meth="repeat">
      <a:schemeClr val="accent4">
        <a:tint val="90000"/>
      </a:schemeClr>
    </dgm:fillClrLst>
    <dgm:linClrLst meth="repeat">
      <a:schemeClr val="accent5"/>
    </dgm:linClrLst>
    <dgm:effectClrLst/>
    <dgm:txLinClrLst/>
    <dgm:txFillClrLst meth="repeat">
      <a:schemeClr val="tx1"/>
    </dgm:txFillClrLst>
    <dgm:txEffectClrLst/>
  </dgm:styleLbl>
  <dgm:styleLbl name="parChTrans1D3">
    <dgm:fillClrLst meth="repeat">
      <a:schemeClr val="accent4">
        <a:tint val="70000"/>
      </a:schemeClr>
    </dgm:fillClrLst>
    <dgm:linClrLst meth="repeat">
      <a:schemeClr val="accent6"/>
    </dgm:linClrLst>
    <dgm:effectClrLst/>
    <dgm:txLinClrLst/>
    <dgm:txFillClrLst meth="repeat">
      <a:schemeClr val="tx1"/>
    </dgm:txFillClrLst>
    <dgm:txEffectClrLst/>
  </dgm:styleLbl>
  <dgm:styleLbl name="parChTrans1D4">
    <dgm:fillClrLst meth="repeat">
      <a:schemeClr val="accent4">
        <a:tint val="50000"/>
      </a:schemeClr>
    </dgm:fillClrLst>
    <dgm:linClrLst meth="repeat">
      <a:schemeClr val="accent1"/>
    </dgm:linClrLst>
    <dgm:effectClrLst/>
    <dgm:txLinClrLst/>
    <dgm:txFillClrLst meth="repeat">
      <a:schemeClr val="tx1"/>
    </dgm:txFillClrLst>
    <dgm:txEffectClrLst/>
  </dgm:styleLbl>
  <dgm:styleLbl name="fg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conFg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align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4"/>
    </dgm:linClrLst>
    <dgm:effectClrLst/>
    <dgm:txLinClrLst/>
    <dgm:txFillClrLst meth="repeat">
      <a:schemeClr val="dk1"/>
    </dgm:txFillClrLst>
    <dgm:txEffectClrLst/>
  </dgm:styleLbl>
  <dgm:styleLbl name="bgAcc1">
    <dgm:fillClrLst meth="repeat">
      <a:schemeClr val="lt1">
        <a:alpha val="90000"/>
      </a:schemeClr>
    </dgm:fillClrLst>
    <dgm:linClrLst>
      <a:schemeClr val="accent4"/>
      <a:schemeClr val="accent5"/>
    </dgm:linClrLst>
    <dgm:effectClrLst/>
    <dgm:txLinClrLst/>
    <dgm:txFillClrLst meth="repeat">
      <a:schemeClr val="dk1"/>
    </dgm:txFillClrLst>
    <dgm:txEffectClrLst/>
  </dgm:styleLbl>
  <dgm:styleLbl name="solidFgAcc1">
    <dgm:fillClrLst meth="repeat">
      <a:schemeClr val="lt1"/>
    </dgm:fillClrLst>
    <dgm:linClrLst>
      <a:schemeClr val="accent4"/>
      <a:schemeClr val="accent5"/>
    </dgm:linClrLst>
    <dgm:effectClrLst/>
    <dgm:txLinClrLst/>
    <dgm:txFillClrLst meth="repeat">
      <a:schemeClr val="dk1"/>
    </dgm:txFillClrLst>
    <dgm:txEffectClrLst/>
  </dgm:styleLbl>
  <dgm:styleLbl name="solidAlignAcc1">
    <dgm:fillClrLst meth="repeat">
      <a:schemeClr val="lt1"/>
    </dgm:fillClrLst>
    <dgm:linClrLst>
      <a:schemeClr val="accent4"/>
      <a:schemeClr val="accent5"/>
    </dgm:linClrLst>
    <dgm:effectClrLst/>
    <dgm:txLinClrLst/>
    <dgm:txFillClrLst meth="repeat">
      <a:schemeClr val="dk1"/>
    </dgm:txFillClrLst>
    <dgm:txEffectClrLst/>
  </dgm:styleLbl>
  <dgm:styleLbl name="solidBgAcc1">
    <dgm:fillClrLst meth="repeat">
      <a:schemeClr val="lt1"/>
    </dgm:fillClrLst>
    <dgm:linClrLst>
      <a:schemeClr val="accent4"/>
      <a:schemeClr val="accent5"/>
    </dgm:linClrLst>
    <dgm:effectClrLst/>
    <dgm:txLinClrLst/>
    <dgm:txFillClrLst meth="repeat">
      <a:schemeClr val="dk1"/>
    </dgm:txFillClrLst>
    <dgm:txEffectClrLst/>
  </dgm:styleLbl>
  <dgm:styleLbl name="fgAccFollowNode1">
    <dgm:fillClrLst>
      <a:schemeClr val="accent4">
        <a:tint val="40000"/>
        <a:alpha val="90000"/>
      </a:schemeClr>
      <a:schemeClr val="accent5">
        <a:tint val="40000"/>
        <a:alpha val="90000"/>
      </a:schemeClr>
    </dgm:fillClrLst>
    <dgm:linClrLst>
      <a:schemeClr val="accent4">
        <a:tint val="40000"/>
        <a:alpha val="90000"/>
      </a:schemeClr>
      <a:schemeClr val="accent5">
        <a:tint val="40000"/>
        <a:alpha val="90000"/>
      </a:schemeClr>
    </dgm:linClrLst>
    <dgm:effectClrLst/>
    <dgm:txLinClrLst/>
    <dgm:txFillClrLst meth="repeat">
      <a:schemeClr val="dk1"/>
    </dgm:txFillClrLst>
    <dgm:txEffectClrLst/>
  </dgm:styleLbl>
  <dgm:styleLbl name="alignAccFollowNode1">
    <dgm:fillClrLst>
      <a:schemeClr val="accent4">
        <a:tint val="40000"/>
        <a:alpha val="90000"/>
      </a:schemeClr>
      <a:schemeClr val="accent5">
        <a:tint val="40000"/>
        <a:alpha val="90000"/>
      </a:schemeClr>
    </dgm:fillClrLst>
    <dgm:linClrLst>
      <a:schemeClr val="accent4">
        <a:tint val="40000"/>
        <a:alpha val="90000"/>
      </a:schemeClr>
      <a:schemeClr val="accent5">
        <a:tint val="40000"/>
        <a:alpha val="90000"/>
      </a:schemeClr>
    </dgm:linClrLst>
    <dgm:effectClrLst/>
    <dgm:txLinClrLst/>
    <dgm:txFillClrLst meth="repeat">
      <a:schemeClr val="dk1"/>
    </dgm:txFillClrLst>
    <dgm:txEffectClrLst/>
  </dgm:styleLbl>
  <dgm:styleLbl name="bgAccFollowNode1">
    <dgm:fillClrLst>
      <a:schemeClr val="accent4">
        <a:tint val="40000"/>
        <a:alpha val="90000"/>
      </a:schemeClr>
      <a:schemeClr val="accent5">
        <a:tint val="40000"/>
        <a:alpha val="90000"/>
      </a:schemeClr>
    </dgm:fillClrLst>
    <dgm:linClrLst>
      <a:schemeClr val="accent4">
        <a:tint val="40000"/>
        <a:alpha val="90000"/>
      </a:schemeClr>
      <a:schemeClr val="accent5">
        <a:tint val="40000"/>
        <a:alpha val="90000"/>
      </a:schemeClr>
    </dgm:linClrLst>
    <dgm:effectClrLst/>
    <dgm:txLinClrLst/>
    <dgm:txFillClrLst meth="repeat">
      <a:schemeClr val="dk1"/>
    </dgm:txFillClrLst>
    <dgm:txEffectClrLst/>
  </dgm:styleLbl>
  <dgm:styleLbl name="fgAcc0">
    <dgm:fillClrLst meth="repeat">
      <a:schemeClr val="lt1">
        <a:alpha val="90000"/>
      </a:schemeClr>
    </dgm:fillClrLst>
    <dgm:linClrLst>
      <a:schemeClr val="accent3"/>
    </dgm:linClrLst>
    <dgm:effectClrLst/>
    <dgm:txLinClrLst/>
    <dgm:txFillClrLst meth="repeat">
      <a:schemeClr val="dk1"/>
    </dgm:txFillClrLst>
    <dgm:txEffectClrLst/>
  </dgm:styleLbl>
  <dgm:styleLbl name="fgAcc2">
    <dgm:fillClrLst meth="repeat">
      <a:schemeClr val="lt1">
        <a:alpha val="90000"/>
      </a:schemeClr>
    </dgm:fillClrLst>
    <dgm:linClrLst>
      <a:schemeClr val="accent5"/>
    </dgm:linClrLst>
    <dgm:effectClrLst/>
    <dgm:txLinClrLst/>
    <dgm:txFillClrLst meth="repeat">
      <a:schemeClr val="dk1"/>
    </dgm:txFillClrLst>
    <dgm:txEffectClrLst/>
  </dgm:styleLbl>
  <dgm:styleLbl name="fgAcc3">
    <dgm:fillClrLst meth="repeat">
      <a:schemeClr val="lt1">
        <a:alpha val="90000"/>
      </a:schemeClr>
    </dgm:fillClrLst>
    <dgm:linClrLst>
      <a:schemeClr val="accent6"/>
    </dgm:linClrLst>
    <dgm:effectClrLst/>
    <dgm:txLinClrLst/>
    <dgm:txFillClrLst meth="repeat">
      <a:schemeClr val="dk1"/>
    </dgm:txFillClrLst>
    <dgm:txEffectClrLst/>
  </dgm:styleLbl>
  <dgm:styleLbl name="fgAcc4">
    <dgm:fillClrLst meth="repeat">
      <a:schemeClr val="lt1">
        <a:alpha val="90000"/>
      </a:schemeClr>
    </dgm:fillClrLst>
    <dgm:linClrLst>
      <a:schemeClr val="accent1"/>
    </dgm:linClrLst>
    <dgm:effectClrLst/>
    <dgm:txLinClrLst/>
    <dgm:txFillClrLst meth="repeat">
      <a:schemeClr val="dk1"/>
    </dgm:txFillClrLst>
    <dgm:txEffectClrLst/>
  </dgm:styleLbl>
  <dgm:styleLbl name="bgShp">
    <dgm:fillClrLst meth="repeat">
      <a:schemeClr val="accent4">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accent4">
        <a:shade val="90000"/>
      </a:schemeClr>
    </dgm:fillClrLst>
    <dgm:linClrLst meth="repeat">
      <a:schemeClr val="dk1"/>
    </dgm:linClrLst>
    <dgm:effectClrLst/>
    <dgm:txLinClrLst/>
    <dgm:txFillClrLst meth="repeat">
      <a:schemeClr val="lt1"/>
    </dgm:txFillClrLst>
    <dgm:txEffectClrLst/>
  </dgm:styleLbl>
  <dgm:styleLbl name="trBgShp">
    <dgm:fillClrLst meth="repeat">
      <a:schemeClr val="accent4">
        <a:tint val="50000"/>
        <a:alpha val="40000"/>
      </a:schemeClr>
    </dgm:fillClrLst>
    <dgm:linClrLst meth="repeat">
      <a:schemeClr val="accent4"/>
    </dgm:linClrLst>
    <dgm:effectClrLst/>
    <dgm:txLinClrLst/>
    <dgm:txFillClrLst meth="repeat">
      <a:schemeClr val="lt1"/>
    </dgm:txFillClrLst>
    <dgm:txEffectClrLst/>
  </dgm:styleLbl>
  <dgm:styleLbl name="fgShp">
    <dgm:fillClrLst meth="repeat">
      <a:schemeClr val="accent4">
        <a:tint val="4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styleLbl name="revTxLt">
    <dgm:fillClrLst meth="repeat">
      <a:schemeClr val="lt1">
        <a:alpha val="0"/>
      </a:schemeClr>
    </dgm:fillClrLst>
    <dgm:linClrLst meth="repeat">
      <a:schemeClr val="dk1">
        <a:alpha val="0"/>
      </a:schemeClr>
    </dgm:linClrLst>
    <dgm:effectClrLst/>
    <dgm:txLinClrLst/>
    <dgm:txFillClrLst/>
    <dgm:txEffectClrLst/>
  </dgm:styleLbl>
</dgm:colorsDef>
</file>

<file path=word/diagrams/data1.xml><?xml version="1.0" encoding="utf-8"?>
<dgm:dataModel xmlns:dgm="http://schemas.openxmlformats.org/drawingml/2006/diagram" xmlns:a="http://schemas.openxmlformats.org/drawingml/2006/main">
  <dgm:ptLst>
    <dgm:pt modelId="{AEE63444-162E-4A11-AD48-C7565AD70403}" type="doc">
      <dgm:prSet loTypeId="urn:microsoft.com/office/officeart/2005/8/layout/process3" loCatId="process" qsTypeId="urn:microsoft.com/office/officeart/2005/8/quickstyle/simple1" qsCatId="simple" csTypeId="urn:microsoft.com/office/officeart/2005/8/colors/colorful4" csCatId="colorful" phldr="1"/>
      <dgm:spPr/>
      <dgm:t>
        <a:bodyPr/>
        <a:lstStyle/>
        <a:p>
          <a:endParaRPr lang="es-CO"/>
        </a:p>
      </dgm:t>
    </dgm:pt>
    <dgm:pt modelId="{D5C3A1F6-CC4A-4B08-A811-6A42CB338660}">
      <dgm:prSet phldrT="[Texto]"/>
      <dgm:spPr/>
      <dgm:t>
        <a:bodyPr/>
        <a:lstStyle/>
        <a:p>
          <a:r>
            <a:rPr lang="es-CO"/>
            <a:t>Sistema OLTP:</a:t>
          </a:r>
        </a:p>
      </dgm:t>
    </dgm:pt>
    <dgm:pt modelId="{EAF2A358-09ED-4BFE-A530-2D77D2E90F8D}" type="parTrans" cxnId="{41E9964D-37C2-4C83-9988-CD5249A86A7D}">
      <dgm:prSet/>
      <dgm:spPr/>
      <dgm:t>
        <a:bodyPr/>
        <a:lstStyle/>
        <a:p>
          <a:endParaRPr lang="es-CO"/>
        </a:p>
      </dgm:t>
    </dgm:pt>
    <dgm:pt modelId="{FE240FF1-75B4-4DD6-B98A-99883E7697CB}" type="sibTrans" cxnId="{41E9964D-37C2-4C83-9988-CD5249A86A7D}">
      <dgm:prSet/>
      <dgm:spPr/>
      <dgm:t>
        <a:bodyPr/>
        <a:lstStyle/>
        <a:p>
          <a:endParaRPr lang="es-CO"/>
        </a:p>
      </dgm:t>
    </dgm:pt>
    <dgm:pt modelId="{30EA452F-AB18-4ECA-ACA8-3A3C57BFAE6F}">
      <dgm:prSet phldrT="[Texto]" custT="1"/>
      <dgm:spPr/>
      <dgm:t>
        <a:bodyPr/>
        <a:lstStyle/>
        <a:p>
          <a:pPr>
            <a:buNone/>
          </a:pPr>
          <a:r>
            <a:rPr lang="es-CO" sz="900" b="0" i="0"/>
            <a:t>Registro diario de la recolección.</a:t>
          </a:r>
          <a:endParaRPr lang="es-CO" sz="900"/>
        </a:p>
      </dgm:t>
    </dgm:pt>
    <dgm:pt modelId="{B496A2ED-0235-42BB-BE51-E3C660416134}" type="parTrans" cxnId="{06E9CA1D-B6FE-4326-9AA7-6B7E0EC0CAD3}">
      <dgm:prSet/>
      <dgm:spPr/>
      <dgm:t>
        <a:bodyPr/>
        <a:lstStyle/>
        <a:p>
          <a:endParaRPr lang="es-CO"/>
        </a:p>
      </dgm:t>
    </dgm:pt>
    <dgm:pt modelId="{0FCAD412-C4B8-4273-9307-486004A6FF04}" type="sibTrans" cxnId="{06E9CA1D-B6FE-4326-9AA7-6B7E0EC0CAD3}">
      <dgm:prSet/>
      <dgm:spPr/>
      <dgm:t>
        <a:bodyPr/>
        <a:lstStyle/>
        <a:p>
          <a:endParaRPr lang="es-CO"/>
        </a:p>
      </dgm:t>
    </dgm:pt>
    <dgm:pt modelId="{D5A47255-1BB1-4294-AC31-DF5A702E3078}">
      <dgm:prSet phldrT="[Texto]"/>
      <dgm:spPr/>
      <dgm:t>
        <a:bodyPr/>
        <a:lstStyle/>
        <a:p>
          <a:r>
            <a:rPr lang="es-CO"/>
            <a:t>Proceso ETL:</a:t>
          </a:r>
        </a:p>
      </dgm:t>
    </dgm:pt>
    <dgm:pt modelId="{D75FE21A-E622-4F65-ADEC-A6C2EAFB6483}" type="parTrans" cxnId="{0C88D4F0-F318-4944-810A-1460D0420151}">
      <dgm:prSet/>
      <dgm:spPr/>
      <dgm:t>
        <a:bodyPr/>
        <a:lstStyle/>
        <a:p>
          <a:endParaRPr lang="es-CO"/>
        </a:p>
      </dgm:t>
    </dgm:pt>
    <dgm:pt modelId="{5581026E-F25B-4538-AC33-324F9B70A3C1}" type="sibTrans" cxnId="{0C88D4F0-F318-4944-810A-1460D0420151}">
      <dgm:prSet/>
      <dgm:spPr/>
      <dgm:t>
        <a:bodyPr/>
        <a:lstStyle/>
        <a:p>
          <a:endParaRPr lang="es-CO"/>
        </a:p>
      </dgm:t>
    </dgm:pt>
    <dgm:pt modelId="{5DA80181-64A3-41CD-9E25-65470268B9FE}">
      <dgm:prSet phldrT="[Texto]" custT="1"/>
      <dgm:spPr/>
      <dgm:t>
        <a:bodyPr/>
        <a:lstStyle/>
        <a:p>
          <a:pPr>
            <a:buNone/>
          </a:pPr>
          <a:r>
            <a:rPr lang="es-CO" sz="900" b="0" i="0"/>
            <a:t>Extraer, limpiar, transformar y cargar los datos </a:t>
          </a:r>
          <a:endParaRPr lang="es-CO" sz="900"/>
        </a:p>
      </dgm:t>
    </dgm:pt>
    <dgm:pt modelId="{EAB90276-532D-47BE-AFB0-B807652CE521}" type="parTrans" cxnId="{2B32332C-B10D-41E1-B605-C57A7F747338}">
      <dgm:prSet/>
      <dgm:spPr/>
      <dgm:t>
        <a:bodyPr/>
        <a:lstStyle/>
        <a:p>
          <a:endParaRPr lang="es-CO"/>
        </a:p>
      </dgm:t>
    </dgm:pt>
    <dgm:pt modelId="{C6A03C1C-2C6B-4EB9-B0BD-E72ED1480E26}" type="sibTrans" cxnId="{2B32332C-B10D-41E1-B605-C57A7F747338}">
      <dgm:prSet/>
      <dgm:spPr/>
      <dgm:t>
        <a:bodyPr/>
        <a:lstStyle/>
        <a:p>
          <a:endParaRPr lang="es-CO"/>
        </a:p>
      </dgm:t>
    </dgm:pt>
    <dgm:pt modelId="{F2271613-CCB5-4B21-A743-29295CF2D313}">
      <dgm:prSet phldrT="[Texto]"/>
      <dgm:spPr/>
      <dgm:t>
        <a:bodyPr/>
        <a:lstStyle/>
        <a:p>
          <a:r>
            <a:rPr lang="es-CO"/>
            <a:t>Data Warehouse:</a:t>
          </a:r>
        </a:p>
      </dgm:t>
    </dgm:pt>
    <dgm:pt modelId="{C4D5EC33-FA88-4135-8B96-9634BF95473C}" type="parTrans" cxnId="{8CF22B2F-9DC5-41FB-91D1-0F4B51E6B166}">
      <dgm:prSet/>
      <dgm:spPr/>
      <dgm:t>
        <a:bodyPr/>
        <a:lstStyle/>
        <a:p>
          <a:endParaRPr lang="es-CO"/>
        </a:p>
      </dgm:t>
    </dgm:pt>
    <dgm:pt modelId="{4B445998-E440-49B7-A36B-241C2B42FE13}" type="sibTrans" cxnId="{8CF22B2F-9DC5-41FB-91D1-0F4B51E6B166}">
      <dgm:prSet/>
      <dgm:spPr/>
      <dgm:t>
        <a:bodyPr/>
        <a:lstStyle/>
        <a:p>
          <a:endParaRPr lang="es-CO"/>
        </a:p>
      </dgm:t>
    </dgm:pt>
    <dgm:pt modelId="{5697C5D1-0AF5-4A3D-99E6-96EB41EE02F3}">
      <dgm:prSet phldrT="[Texto]"/>
      <dgm:spPr/>
      <dgm:t>
        <a:bodyPr/>
        <a:lstStyle/>
        <a:p>
          <a:r>
            <a:rPr lang="es-CO"/>
            <a:t>Reporte OLAP:</a:t>
          </a:r>
        </a:p>
      </dgm:t>
    </dgm:pt>
    <dgm:pt modelId="{07EEE01D-631D-479A-AD7A-40BA23256CA2}" type="parTrans" cxnId="{0E99D62E-2E10-49AE-88B3-628BCE3241A1}">
      <dgm:prSet/>
      <dgm:spPr/>
      <dgm:t>
        <a:bodyPr/>
        <a:lstStyle/>
        <a:p>
          <a:endParaRPr lang="es-CO"/>
        </a:p>
      </dgm:t>
    </dgm:pt>
    <dgm:pt modelId="{CD0DF4FF-5961-4E1E-AC17-6A9263345E55}" type="sibTrans" cxnId="{0E99D62E-2E10-49AE-88B3-628BCE3241A1}">
      <dgm:prSet/>
      <dgm:spPr/>
      <dgm:t>
        <a:bodyPr/>
        <a:lstStyle/>
        <a:p>
          <a:endParaRPr lang="es-CO"/>
        </a:p>
      </dgm:t>
    </dgm:pt>
    <dgm:pt modelId="{FA7FFF3D-AF33-4469-B1B8-A171A0486B81}">
      <dgm:prSet custT="1"/>
      <dgm:spPr/>
      <dgm:t>
        <a:bodyPr/>
        <a:lstStyle/>
        <a:p>
          <a:pPr>
            <a:buNone/>
          </a:pPr>
          <a:r>
            <a:rPr lang="es-CO" sz="900" b="0" i="0"/>
            <a:t>Fecha, comuna, ruta, vehículo y cantidad</a:t>
          </a:r>
        </a:p>
      </dgm:t>
    </dgm:pt>
    <dgm:pt modelId="{9DC5DA8D-C9E2-4DF0-9580-70154D8FFED7}" type="parTrans" cxnId="{0A076314-BE07-47F2-80A0-03560591AE95}">
      <dgm:prSet/>
      <dgm:spPr/>
      <dgm:t>
        <a:bodyPr/>
        <a:lstStyle/>
        <a:p>
          <a:endParaRPr lang="es-CO"/>
        </a:p>
      </dgm:t>
    </dgm:pt>
    <dgm:pt modelId="{B3886856-F1DD-40FD-8C99-610C637BF500}" type="sibTrans" cxnId="{0A076314-BE07-47F2-80A0-03560591AE95}">
      <dgm:prSet/>
      <dgm:spPr/>
      <dgm:t>
        <a:bodyPr/>
        <a:lstStyle/>
        <a:p>
          <a:endParaRPr lang="es-CO"/>
        </a:p>
      </dgm:t>
    </dgm:pt>
    <dgm:pt modelId="{A415FDAA-92D6-4DF0-89E4-07B8F0AFF633}">
      <dgm:prSet/>
      <dgm:spPr/>
      <dgm:t>
        <a:bodyPr/>
        <a:lstStyle/>
        <a:p>
          <a:pPr>
            <a:buNone/>
          </a:pPr>
          <a:endParaRPr lang="es-CO" sz="800"/>
        </a:p>
      </dgm:t>
    </dgm:pt>
    <dgm:pt modelId="{C68FF303-4B43-4188-A2F0-603048CBB774}" type="parTrans" cxnId="{33497781-F720-439D-89BE-8DDE85F8EEDE}">
      <dgm:prSet/>
      <dgm:spPr/>
      <dgm:t>
        <a:bodyPr/>
        <a:lstStyle/>
        <a:p>
          <a:endParaRPr lang="es-CO"/>
        </a:p>
      </dgm:t>
    </dgm:pt>
    <dgm:pt modelId="{6BA4EEAE-380A-426C-8CCF-818AE31DCED6}" type="sibTrans" cxnId="{33497781-F720-439D-89BE-8DDE85F8EEDE}">
      <dgm:prSet/>
      <dgm:spPr/>
      <dgm:t>
        <a:bodyPr/>
        <a:lstStyle/>
        <a:p>
          <a:endParaRPr lang="es-CO"/>
        </a:p>
      </dgm:t>
    </dgm:pt>
    <dgm:pt modelId="{0A3971D1-334A-4C55-9975-D3F2D4526EE0}">
      <dgm:prSet/>
      <dgm:spPr/>
      <dgm:t>
        <a:bodyPr/>
        <a:lstStyle/>
        <a:p>
          <a:pPr>
            <a:buNone/>
          </a:pPr>
          <a:endParaRPr lang="es-CO" sz="800"/>
        </a:p>
      </dgm:t>
    </dgm:pt>
    <dgm:pt modelId="{938FC6B6-A307-4F14-992F-90CE5BFECEB5}" type="parTrans" cxnId="{64F674ED-26BA-4DED-AA4D-47AF0554F355}">
      <dgm:prSet/>
      <dgm:spPr/>
      <dgm:t>
        <a:bodyPr/>
        <a:lstStyle/>
        <a:p>
          <a:endParaRPr lang="es-CO"/>
        </a:p>
      </dgm:t>
    </dgm:pt>
    <dgm:pt modelId="{6D57E155-F0F1-4215-A501-6A357CFF375B}" type="sibTrans" cxnId="{64F674ED-26BA-4DED-AA4D-47AF0554F355}">
      <dgm:prSet/>
      <dgm:spPr/>
      <dgm:t>
        <a:bodyPr/>
        <a:lstStyle/>
        <a:p>
          <a:endParaRPr lang="es-CO"/>
        </a:p>
      </dgm:t>
    </dgm:pt>
    <dgm:pt modelId="{BA20648F-8A69-414D-BEBD-B02E534687D4}">
      <dgm:prSet/>
      <dgm:spPr/>
      <dgm:t>
        <a:bodyPr/>
        <a:lstStyle/>
        <a:p>
          <a:pPr>
            <a:buNone/>
          </a:pPr>
          <a:endParaRPr lang="es-CO" sz="800"/>
        </a:p>
      </dgm:t>
    </dgm:pt>
    <dgm:pt modelId="{8EA996FF-1D77-44F3-8254-48A80A4D1F28}" type="parTrans" cxnId="{088DACA2-11D1-4AD7-9C5F-7BF8EE6B89C8}">
      <dgm:prSet/>
      <dgm:spPr/>
      <dgm:t>
        <a:bodyPr/>
        <a:lstStyle/>
        <a:p>
          <a:endParaRPr lang="es-CO"/>
        </a:p>
      </dgm:t>
    </dgm:pt>
    <dgm:pt modelId="{B5C34EB7-82E4-47FB-8D3E-B7DDBBFCDE90}" type="sibTrans" cxnId="{088DACA2-11D1-4AD7-9C5F-7BF8EE6B89C8}">
      <dgm:prSet/>
      <dgm:spPr/>
      <dgm:t>
        <a:bodyPr/>
        <a:lstStyle/>
        <a:p>
          <a:endParaRPr lang="es-CO"/>
        </a:p>
      </dgm:t>
    </dgm:pt>
    <dgm:pt modelId="{FC089B93-C5D9-41CE-9705-BBA638003678}">
      <dgm:prSet/>
      <dgm:spPr/>
      <dgm:t>
        <a:bodyPr/>
        <a:lstStyle/>
        <a:p>
          <a:pPr>
            <a:buNone/>
          </a:pPr>
          <a:endParaRPr lang="es-CO" sz="800"/>
        </a:p>
      </dgm:t>
    </dgm:pt>
    <dgm:pt modelId="{6492D7D0-CF02-40A8-8F0C-9E8BE95B15C3}" type="parTrans" cxnId="{E6D39ACC-1FD2-41C3-9421-357B693E5597}">
      <dgm:prSet/>
      <dgm:spPr/>
      <dgm:t>
        <a:bodyPr/>
        <a:lstStyle/>
        <a:p>
          <a:endParaRPr lang="es-CO"/>
        </a:p>
      </dgm:t>
    </dgm:pt>
    <dgm:pt modelId="{CE1F1DC9-208B-4C10-9B63-975E0DBACD28}" type="sibTrans" cxnId="{E6D39ACC-1FD2-41C3-9421-357B693E5597}">
      <dgm:prSet/>
      <dgm:spPr/>
      <dgm:t>
        <a:bodyPr/>
        <a:lstStyle/>
        <a:p>
          <a:endParaRPr lang="es-CO"/>
        </a:p>
      </dgm:t>
    </dgm:pt>
    <dgm:pt modelId="{5069E620-3CEF-4ACA-B2AB-361BAA964D34}">
      <dgm:prSet/>
      <dgm:spPr/>
      <dgm:t>
        <a:bodyPr/>
        <a:lstStyle/>
        <a:p>
          <a:pPr>
            <a:buNone/>
          </a:pPr>
          <a:r>
            <a:rPr lang="es-CO" b="0" i="0"/>
            <a:t>Dashboard con indicadores, gráficos, tendencias y filtros</a:t>
          </a:r>
          <a:endParaRPr lang="es-CO"/>
        </a:p>
      </dgm:t>
    </dgm:pt>
    <dgm:pt modelId="{F34656A6-51A3-442B-9EDC-D7E160FF8298}" type="parTrans" cxnId="{E80FB5C6-A1EB-4CBD-8F0A-3B57AF084ADC}">
      <dgm:prSet/>
      <dgm:spPr/>
      <dgm:t>
        <a:bodyPr/>
        <a:lstStyle/>
        <a:p>
          <a:endParaRPr lang="es-CO"/>
        </a:p>
      </dgm:t>
    </dgm:pt>
    <dgm:pt modelId="{36249D21-C99A-4788-9643-34B4F3AA6B2D}" type="sibTrans" cxnId="{E80FB5C6-A1EB-4CBD-8F0A-3B57AF084ADC}">
      <dgm:prSet/>
      <dgm:spPr/>
      <dgm:t>
        <a:bodyPr/>
        <a:lstStyle/>
        <a:p>
          <a:endParaRPr lang="es-CO"/>
        </a:p>
      </dgm:t>
    </dgm:pt>
    <dgm:pt modelId="{158B3496-22E6-48BC-A122-949BCC748703}">
      <dgm:prSet/>
      <dgm:spPr/>
      <dgm:t>
        <a:bodyPr/>
        <a:lstStyle/>
        <a:p>
          <a:pPr>
            <a:buNone/>
          </a:pPr>
          <a:endParaRPr lang="es-CO"/>
        </a:p>
      </dgm:t>
    </dgm:pt>
    <dgm:pt modelId="{B9091A4F-8D22-4B5B-9275-7D46997FE02E}" type="parTrans" cxnId="{6A3F16FF-D036-4479-B6A1-86D3E2CBF961}">
      <dgm:prSet/>
      <dgm:spPr/>
      <dgm:t>
        <a:bodyPr/>
        <a:lstStyle/>
        <a:p>
          <a:endParaRPr lang="es-CO"/>
        </a:p>
      </dgm:t>
    </dgm:pt>
    <dgm:pt modelId="{834CA7E7-7D2B-464C-8972-7762ABC7EF12}" type="sibTrans" cxnId="{6A3F16FF-D036-4479-B6A1-86D3E2CBF961}">
      <dgm:prSet/>
      <dgm:spPr/>
      <dgm:t>
        <a:bodyPr/>
        <a:lstStyle/>
        <a:p>
          <a:endParaRPr lang="es-CO"/>
        </a:p>
      </dgm:t>
    </dgm:pt>
    <dgm:pt modelId="{6104E24B-E21B-4E1F-B06C-A7E49A8CF87E}">
      <dgm:prSet/>
      <dgm:spPr/>
      <dgm:t>
        <a:bodyPr/>
        <a:lstStyle/>
        <a:p>
          <a:pPr>
            <a:buNone/>
          </a:pPr>
          <a:endParaRPr lang="es-CO"/>
        </a:p>
      </dgm:t>
    </dgm:pt>
    <dgm:pt modelId="{957908B7-2A7F-475D-80E0-091D78F480C4}" type="parTrans" cxnId="{B9DAA93C-5C9A-455C-9F50-7BCA54F01E68}">
      <dgm:prSet/>
      <dgm:spPr/>
      <dgm:t>
        <a:bodyPr/>
        <a:lstStyle/>
        <a:p>
          <a:endParaRPr lang="es-CO"/>
        </a:p>
      </dgm:t>
    </dgm:pt>
    <dgm:pt modelId="{3AD5B70F-36FA-45C9-940D-DFDA4EE834C8}" type="sibTrans" cxnId="{B9DAA93C-5C9A-455C-9F50-7BCA54F01E68}">
      <dgm:prSet/>
      <dgm:spPr/>
      <dgm:t>
        <a:bodyPr/>
        <a:lstStyle/>
        <a:p>
          <a:endParaRPr lang="es-CO"/>
        </a:p>
      </dgm:t>
    </dgm:pt>
    <dgm:pt modelId="{34BD3632-2244-47DA-8906-1AA5D73E80AE}">
      <dgm:prSet/>
      <dgm:spPr/>
      <dgm:t>
        <a:bodyPr/>
        <a:lstStyle/>
        <a:p>
          <a:pPr>
            <a:buNone/>
          </a:pPr>
          <a:r>
            <a:rPr lang="es-CO" b="0" i="0"/>
            <a:t>Almacenamiento organizado de los datos históricos </a:t>
          </a:r>
          <a:endParaRPr lang="es-CO"/>
        </a:p>
      </dgm:t>
    </dgm:pt>
    <dgm:pt modelId="{FBE7F265-D322-423F-8A6E-B35F7299D276}" type="sibTrans" cxnId="{A990CE2D-0434-4B29-AE67-1A7899D84C3B}">
      <dgm:prSet/>
      <dgm:spPr/>
      <dgm:t>
        <a:bodyPr/>
        <a:lstStyle/>
        <a:p>
          <a:endParaRPr lang="es-CO"/>
        </a:p>
      </dgm:t>
    </dgm:pt>
    <dgm:pt modelId="{75D4BDC0-C352-4E62-8F20-B00706B017BA}" type="parTrans" cxnId="{A990CE2D-0434-4B29-AE67-1A7899D84C3B}">
      <dgm:prSet/>
      <dgm:spPr/>
      <dgm:t>
        <a:bodyPr/>
        <a:lstStyle/>
        <a:p>
          <a:endParaRPr lang="es-CO"/>
        </a:p>
      </dgm:t>
    </dgm:pt>
    <dgm:pt modelId="{40920D7F-4F9E-4D59-A68C-9007F1356527}">
      <dgm:prSet/>
      <dgm:spPr/>
      <dgm:t>
        <a:bodyPr/>
        <a:lstStyle/>
        <a:p>
          <a:pPr>
            <a:buNone/>
          </a:pPr>
          <a:endParaRPr lang="es-CO"/>
        </a:p>
      </dgm:t>
    </dgm:pt>
    <dgm:pt modelId="{295FF9AF-2B5B-46EF-B84A-0A2733D0123C}" type="sibTrans" cxnId="{10B4CD75-F64E-48C0-B2AD-B34EA253D8F6}">
      <dgm:prSet/>
      <dgm:spPr/>
      <dgm:t>
        <a:bodyPr/>
        <a:lstStyle/>
        <a:p>
          <a:endParaRPr lang="es-CO"/>
        </a:p>
      </dgm:t>
    </dgm:pt>
    <dgm:pt modelId="{67CA5F93-EDF7-406E-B3E4-DC6FC379B715}" type="parTrans" cxnId="{10B4CD75-F64E-48C0-B2AD-B34EA253D8F6}">
      <dgm:prSet/>
      <dgm:spPr/>
      <dgm:t>
        <a:bodyPr/>
        <a:lstStyle/>
        <a:p>
          <a:endParaRPr lang="es-CO"/>
        </a:p>
      </dgm:t>
    </dgm:pt>
    <dgm:pt modelId="{7119ED3A-DDA1-4BEC-B691-E44687A84729}">
      <dgm:prSet/>
      <dgm:spPr/>
      <dgm:t>
        <a:bodyPr/>
        <a:lstStyle/>
        <a:p>
          <a:pPr>
            <a:buNone/>
          </a:pPr>
          <a:endParaRPr lang="es-CO"/>
        </a:p>
      </dgm:t>
    </dgm:pt>
    <dgm:pt modelId="{EB683838-2937-43DE-81F2-5848DB7F266A}" type="sibTrans" cxnId="{332239FB-B626-4DC0-8962-01C8A7123479}">
      <dgm:prSet/>
      <dgm:spPr/>
      <dgm:t>
        <a:bodyPr/>
        <a:lstStyle/>
        <a:p>
          <a:endParaRPr lang="es-CO"/>
        </a:p>
      </dgm:t>
    </dgm:pt>
    <dgm:pt modelId="{E356F3C6-60C6-4E32-BE0E-BBAEF86B9E85}" type="parTrans" cxnId="{332239FB-B626-4DC0-8962-01C8A7123479}">
      <dgm:prSet/>
      <dgm:spPr/>
      <dgm:t>
        <a:bodyPr/>
        <a:lstStyle/>
        <a:p>
          <a:endParaRPr lang="es-CO"/>
        </a:p>
      </dgm:t>
    </dgm:pt>
    <dgm:pt modelId="{8B0E8F2C-0D01-4547-8755-C855E491CA4C}" type="pres">
      <dgm:prSet presAssocID="{AEE63444-162E-4A11-AD48-C7565AD70403}" presName="linearFlow" presStyleCnt="0">
        <dgm:presLayoutVars>
          <dgm:dir/>
          <dgm:animLvl val="lvl"/>
          <dgm:resizeHandles val="exact"/>
        </dgm:presLayoutVars>
      </dgm:prSet>
      <dgm:spPr/>
    </dgm:pt>
    <dgm:pt modelId="{52A0E38E-B318-43AA-BB06-A74CA4BD4895}" type="pres">
      <dgm:prSet presAssocID="{D5C3A1F6-CC4A-4B08-A811-6A42CB338660}" presName="composite" presStyleCnt="0"/>
      <dgm:spPr/>
    </dgm:pt>
    <dgm:pt modelId="{B82CC602-A609-4900-B8ED-E65E82742B58}" type="pres">
      <dgm:prSet presAssocID="{D5C3A1F6-CC4A-4B08-A811-6A42CB338660}" presName="parTx" presStyleLbl="node1" presStyleIdx="0" presStyleCnt="4">
        <dgm:presLayoutVars>
          <dgm:chMax val="0"/>
          <dgm:chPref val="0"/>
          <dgm:bulletEnabled val="1"/>
        </dgm:presLayoutVars>
      </dgm:prSet>
      <dgm:spPr/>
    </dgm:pt>
    <dgm:pt modelId="{BCABF3CE-2EBF-43A0-8506-3B2AA82B85C2}" type="pres">
      <dgm:prSet presAssocID="{D5C3A1F6-CC4A-4B08-A811-6A42CB338660}" presName="parSh" presStyleLbl="node1" presStyleIdx="0" presStyleCnt="4" custLinFactNeighborX="3609" custLinFactNeighborY="-7840"/>
      <dgm:spPr/>
    </dgm:pt>
    <dgm:pt modelId="{5F06F430-E1B0-4EB1-8910-7873A097F604}" type="pres">
      <dgm:prSet presAssocID="{D5C3A1F6-CC4A-4B08-A811-6A42CB338660}" presName="desTx" presStyleLbl="fgAcc1" presStyleIdx="0" presStyleCnt="4" custLinFactNeighborX="-829" custLinFactNeighborY="-908">
        <dgm:presLayoutVars>
          <dgm:bulletEnabled val="1"/>
        </dgm:presLayoutVars>
      </dgm:prSet>
      <dgm:spPr/>
    </dgm:pt>
    <dgm:pt modelId="{3AE87EDF-D479-44F6-B9B8-CCF8971F0293}" type="pres">
      <dgm:prSet presAssocID="{FE240FF1-75B4-4DD6-B98A-99883E7697CB}" presName="sibTrans" presStyleLbl="sibTrans2D1" presStyleIdx="0" presStyleCnt="3"/>
      <dgm:spPr/>
    </dgm:pt>
    <dgm:pt modelId="{F20F7712-01A3-400E-A69F-FDFE960C6BAA}" type="pres">
      <dgm:prSet presAssocID="{FE240FF1-75B4-4DD6-B98A-99883E7697CB}" presName="connTx" presStyleLbl="sibTrans2D1" presStyleIdx="0" presStyleCnt="3"/>
      <dgm:spPr/>
    </dgm:pt>
    <dgm:pt modelId="{2E93F6F3-EB4F-4A9F-A192-189E7ED08F52}" type="pres">
      <dgm:prSet presAssocID="{D5A47255-1BB1-4294-AC31-DF5A702E3078}" presName="composite" presStyleCnt="0"/>
      <dgm:spPr/>
    </dgm:pt>
    <dgm:pt modelId="{ACB100FC-6E0F-42CA-97EB-654BD4EE352E}" type="pres">
      <dgm:prSet presAssocID="{D5A47255-1BB1-4294-AC31-DF5A702E3078}" presName="parTx" presStyleLbl="node1" presStyleIdx="0" presStyleCnt="4">
        <dgm:presLayoutVars>
          <dgm:chMax val="0"/>
          <dgm:chPref val="0"/>
          <dgm:bulletEnabled val="1"/>
        </dgm:presLayoutVars>
      </dgm:prSet>
      <dgm:spPr/>
    </dgm:pt>
    <dgm:pt modelId="{93800228-93EF-42C9-A194-FFCE95CB749F}" type="pres">
      <dgm:prSet presAssocID="{D5A47255-1BB1-4294-AC31-DF5A702E3078}" presName="parSh" presStyleLbl="node1" presStyleIdx="1" presStyleCnt="4"/>
      <dgm:spPr/>
    </dgm:pt>
    <dgm:pt modelId="{F03C8DAE-9FC8-4B26-8108-FF69655A030E}" type="pres">
      <dgm:prSet presAssocID="{D5A47255-1BB1-4294-AC31-DF5A702E3078}" presName="desTx" presStyleLbl="fgAcc1" presStyleIdx="1" presStyleCnt="4">
        <dgm:presLayoutVars>
          <dgm:bulletEnabled val="1"/>
        </dgm:presLayoutVars>
      </dgm:prSet>
      <dgm:spPr/>
    </dgm:pt>
    <dgm:pt modelId="{D06CBC4D-D530-4DEB-9DD1-FE15110F951C}" type="pres">
      <dgm:prSet presAssocID="{5581026E-F25B-4538-AC33-324F9B70A3C1}" presName="sibTrans" presStyleLbl="sibTrans2D1" presStyleIdx="1" presStyleCnt="3"/>
      <dgm:spPr/>
    </dgm:pt>
    <dgm:pt modelId="{A1F54B33-5BC3-4ADD-A167-B84420EFCB10}" type="pres">
      <dgm:prSet presAssocID="{5581026E-F25B-4538-AC33-324F9B70A3C1}" presName="connTx" presStyleLbl="sibTrans2D1" presStyleIdx="1" presStyleCnt="3"/>
      <dgm:spPr/>
    </dgm:pt>
    <dgm:pt modelId="{D955F29A-DFE6-4748-AF63-5FE4E439E967}" type="pres">
      <dgm:prSet presAssocID="{F2271613-CCB5-4B21-A743-29295CF2D313}" presName="composite" presStyleCnt="0"/>
      <dgm:spPr/>
    </dgm:pt>
    <dgm:pt modelId="{A3EB4D33-0194-4170-8494-A2DDF5A88558}" type="pres">
      <dgm:prSet presAssocID="{F2271613-CCB5-4B21-A743-29295CF2D313}" presName="parTx" presStyleLbl="node1" presStyleIdx="1" presStyleCnt="4">
        <dgm:presLayoutVars>
          <dgm:chMax val="0"/>
          <dgm:chPref val="0"/>
          <dgm:bulletEnabled val="1"/>
        </dgm:presLayoutVars>
      </dgm:prSet>
      <dgm:spPr/>
    </dgm:pt>
    <dgm:pt modelId="{346959FA-FA2A-4E17-995D-C6CB105476E9}" type="pres">
      <dgm:prSet presAssocID="{F2271613-CCB5-4B21-A743-29295CF2D313}" presName="parSh" presStyleLbl="node1" presStyleIdx="2" presStyleCnt="4"/>
      <dgm:spPr/>
    </dgm:pt>
    <dgm:pt modelId="{AEE66C5A-D880-4958-B521-F9DF0AA4CEDE}" type="pres">
      <dgm:prSet presAssocID="{F2271613-CCB5-4B21-A743-29295CF2D313}" presName="desTx" presStyleLbl="fgAcc1" presStyleIdx="2" presStyleCnt="4" custLinFactNeighborX="1659" custLinFactNeighborY="2668">
        <dgm:presLayoutVars>
          <dgm:bulletEnabled val="1"/>
        </dgm:presLayoutVars>
      </dgm:prSet>
      <dgm:spPr/>
    </dgm:pt>
    <dgm:pt modelId="{A671C55A-5A2C-4271-A525-D6F65CBC502A}" type="pres">
      <dgm:prSet presAssocID="{4B445998-E440-49B7-A36B-241C2B42FE13}" presName="sibTrans" presStyleLbl="sibTrans2D1" presStyleIdx="2" presStyleCnt="3"/>
      <dgm:spPr/>
    </dgm:pt>
    <dgm:pt modelId="{DBACD04F-B783-4E25-B9AC-7155A2C79922}" type="pres">
      <dgm:prSet presAssocID="{4B445998-E440-49B7-A36B-241C2B42FE13}" presName="connTx" presStyleLbl="sibTrans2D1" presStyleIdx="2" presStyleCnt="3"/>
      <dgm:spPr/>
    </dgm:pt>
    <dgm:pt modelId="{6D724CA3-F5F3-4B51-8359-3205ADB7885D}" type="pres">
      <dgm:prSet presAssocID="{5697C5D1-0AF5-4A3D-99E6-96EB41EE02F3}" presName="composite" presStyleCnt="0"/>
      <dgm:spPr/>
    </dgm:pt>
    <dgm:pt modelId="{1632B40E-D44E-4C0E-8FF6-7358A01AFBB7}" type="pres">
      <dgm:prSet presAssocID="{5697C5D1-0AF5-4A3D-99E6-96EB41EE02F3}" presName="parTx" presStyleLbl="node1" presStyleIdx="2" presStyleCnt="4">
        <dgm:presLayoutVars>
          <dgm:chMax val="0"/>
          <dgm:chPref val="0"/>
          <dgm:bulletEnabled val="1"/>
        </dgm:presLayoutVars>
      </dgm:prSet>
      <dgm:spPr/>
    </dgm:pt>
    <dgm:pt modelId="{CB086532-AD78-42EC-B465-A1BBF0DB6366}" type="pres">
      <dgm:prSet presAssocID="{5697C5D1-0AF5-4A3D-99E6-96EB41EE02F3}" presName="parSh" presStyleLbl="node1" presStyleIdx="3" presStyleCnt="4"/>
      <dgm:spPr/>
    </dgm:pt>
    <dgm:pt modelId="{845D94F6-364D-4E05-AB7E-EAC0DCC76D84}" type="pres">
      <dgm:prSet presAssocID="{5697C5D1-0AF5-4A3D-99E6-96EB41EE02F3}" presName="desTx" presStyleLbl="fgAcc1" presStyleIdx="3" presStyleCnt="4">
        <dgm:presLayoutVars>
          <dgm:bulletEnabled val="1"/>
        </dgm:presLayoutVars>
      </dgm:prSet>
      <dgm:spPr/>
    </dgm:pt>
  </dgm:ptLst>
  <dgm:cxnLst>
    <dgm:cxn modelId="{CFC04605-4C14-4A3E-8ADD-F2EC09DB00A2}" type="presOf" srcId="{34BD3632-2244-47DA-8906-1AA5D73E80AE}" destId="{AEE66C5A-D880-4958-B521-F9DF0AA4CEDE}" srcOrd="0" destOrd="0" presId="urn:microsoft.com/office/officeart/2005/8/layout/process3"/>
    <dgm:cxn modelId="{95807005-18FB-477D-A633-E2C2F895C7B0}" type="presOf" srcId="{5581026E-F25B-4538-AC33-324F9B70A3C1}" destId="{D06CBC4D-D530-4DEB-9DD1-FE15110F951C}" srcOrd="0" destOrd="0" presId="urn:microsoft.com/office/officeart/2005/8/layout/process3"/>
    <dgm:cxn modelId="{0A076314-BE07-47F2-80A0-03560591AE95}" srcId="{D5C3A1F6-CC4A-4B08-A811-6A42CB338660}" destId="{FA7FFF3D-AF33-4469-B1B8-A171A0486B81}" srcOrd="1" destOrd="0" parTransId="{9DC5DA8D-C9E2-4DF0-9580-70154D8FFED7}" sibTransId="{B3886856-F1DD-40FD-8C99-610C637BF500}"/>
    <dgm:cxn modelId="{4522E114-4BB1-499A-A9BD-0616567CCCB1}" type="presOf" srcId="{F2271613-CCB5-4B21-A743-29295CF2D313}" destId="{A3EB4D33-0194-4170-8494-A2DDF5A88558}" srcOrd="0" destOrd="0" presId="urn:microsoft.com/office/officeart/2005/8/layout/process3"/>
    <dgm:cxn modelId="{DE293B17-5D90-44E4-A605-74E629A0D31A}" type="presOf" srcId="{D5C3A1F6-CC4A-4B08-A811-6A42CB338660}" destId="{BCABF3CE-2EBF-43A0-8506-3B2AA82B85C2}" srcOrd="1" destOrd="0" presId="urn:microsoft.com/office/officeart/2005/8/layout/process3"/>
    <dgm:cxn modelId="{06E9CA1D-B6FE-4326-9AA7-6B7E0EC0CAD3}" srcId="{D5C3A1F6-CC4A-4B08-A811-6A42CB338660}" destId="{30EA452F-AB18-4ECA-ACA8-3A3C57BFAE6F}" srcOrd="0" destOrd="0" parTransId="{B496A2ED-0235-42BB-BE51-E3C660416134}" sibTransId="{0FCAD412-C4B8-4273-9307-486004A6FF04}"/>
    <dgm:cxn modelId="{C5ED9F27-95D3-42E6-B127-4ACAD29D5D5F}" type="presOf" srcId="{5581026E-F25B-4538-AC33-324F9B70A3C1}" destId="{A1F54B33-5BC3-4ADD-A167-B84420EFCB10}" srcOrd="1" destOrd="0" presId="urn:microsoft.com/office/officeart/2005/8/layout/process3"/>
    <dgm:cxn modelId="{6DFB7329-8BDD-4358-A224-079FD5F2BDDE}" type="presOf" srcId="{FE240FF1-75B4-4DD6-B98A-99883E7697CB}" destId="{F20F7712-01A3-400E-A69F-FDFE960C6BAA}" srcOrd="1" destOrd="0" presId="urn:microsoft.com/office/officeart/2005/8/layout/process3"/>
    <dgm:cxn modelId="{EAB2362A-2620-4CB0-B54D-DAAAABD30C27}" type="presOf" srcId="{D5A47255-1BB1-4294-AC31-DF5A702E3078}" destId="{93800228-93EF-42C9-A194-FFCE95CB749F}" srcOrd="1" destOrd="0" presId="urn:microsoft.com/office/officeart/2005/8/layout/process3"/>
    <dgm:cxn modelId="{A3A1942B-CE4B-4F31-8195-25BAD95A3EFD}" type="presOf" srcId="{FE240FF1-75B4-4DD6-B98A-99883E7697CB}" destId="{3AE87EDF-D479-44F6-B9B8-CCF8971F0293}" srcOrd="0" destOrd="0" presId="urn:microsoft.com/office/officeart/2005/8/layout/process3"/>
    <dgm:cxn modelId="{3C75972B-2F1F-4480-B95D-84AD5C82933D}" type="presOf" srcId="{30EA452F-AB18-4ECA-ACA8-3A3C57BFAE6F}" destId="{5F06F430-E1B0-4EB1-8910-7873A097F604}" srcOrd="0" destOrd="0" presId="urn:microsoft.com/office/officeart/2005/8/layout/process3"/>
    <dgm:cxn modelId="{2B32332C-B10D-41E1-B605-C57A7F747338}" srcId="{D5A47255-1BB1-4294-AC31-DF5A702E3078}" destId="{5DA80181-64A3-41CD-9E25-65470268B9FE}" srcOrd="0" destOrd="0" parTransId="{EAB90276-532D-47BE-AFB0-B807652CE521}" sibTransId="{C6A03C1C-2C6B-4EB9-B0BD-E72ED1480E26}"/>
    <dgm:cxn modelId="{A990CE2D-0434-4B29-AE67-1A7899D84C3B}" srcId="{F2271613-CCB5-4B21-A743-29295CF2D313}" destId="{34BD3632-2244-47DA-8906-1AA5D73E80AE}" srcOrd="0" destOrd="0" parTransId="{75D4BDC0-C352-4E62-8F20-B00706B017BA}" sibTransId="{FBE7F265-D322-423F-8A6E-B35F7299D276}"/>
    <dgm:cxn modelId="{0E99D62E-2E10-49AE-88B3-628BCE3241A1}" srcId="{AEE63444-162E-4A11-AD48-C7565AD70403}" destId="{5697C5D1-0AF5-4A3D-99E6-96EB41EE02F3}" srcOrd="3" destOrd="0" parTransId="{07EEE01D-631D-479A-AD7A-40BA23256CA2}" sibTransId="{CD0DF4FF-5961-4E1E-AC17-6A9263345E55}"/>
    <dgm:cxn modelId="{8CF22B2F-9DC5-41FB-91D1-0F4B51E6B166}" srcId="{AEE63444-162E-4A11-AD48-C7565AD70403}" destId="{F2271613-CCB5-4B21-A743-29295CF2D313}" srcOrd="2" destOrd="0" parTransId="{C4D5EC33-FA88-4135-8B96-9634BF95473C}" sibTransId="{4B445998-E440-49B7-A36B-241C2B42FE13}"/>
    <dgm:cxn modelId="{4979F232-D12D-409C-B955-C7BB3B403A7A}" type="presOf" srcId="{5697C5D1-0AF5-4A3D-99E6-96EB41EE02F3}" destId="{CB086532-AD78-42EC-B465-A1BBF0DB6366}" srcOrd="1" destOrd="0" presId="urn:microsoft.com/office/officeart/2005/8/layout/process3"/>
    <dgm:cxn modelId="{9B612837-BEBA-4CB7-9F0B-FF95BF27867B}" type="presOf" srcId="{4B445998-E440-49B7-A36B-241C2B42FE13}" destId="{A671C55A-5A2C-4271-A525-D6F65CBC502A}" srcOrd="0" destOrd="0" presId="urn:microsoft.com/office/officeart/2005/8/layout/process3"/>
    <dgm:cxn modelId="{B9DAA93C-5C9A-455C-9F50-7BCA54F01E68}" srcId="{5697C5D1-0AF5-4A3D-99E6-96EB41EE02F3}" destId="{6104E24B-E21B-4E1F-B06C-A7E49A8CF87E}" srcOrd="2" destOrd="0" parTransId="{957908B7-2A7F-475D-80E0-091D78F480C4}" sibTransId="{3AD5B70F-36FA-45C9-940D-DFDA4EE834C8}"/>
    <dgm:cxn modelId="{B9343949-DCC3-412C-A78B-7B49814EE767}" type="presOf" srcId="{D5C3A1F6-CC4A-4B08-A811-6A42CB338660}" destId="{B82CC602-A609-4900-B8ED-E65E82742B58}" srcOrd="0" destOrd="0" presId="urn:microsoft.com/office/officeart/2005/8/layout/process3"/>
    <dgm:cxn modelId="{225CB14A-8C3A-4820-9B44-3CCE07FCCDAF}" type="presOf" srcId="{A415FDAA-92D6-4DF0-89E4-07B8F0AFF633}" destId="{5F06F430-E1B0-4EB1-8910-7873A097F604}" srcOrd="0" destOrd="2" presId="urn:microsoft.com/office/officeart/2005/8/layout/process3"/>
    <dgm:cxn modelId="{6A709C6C-FF9E-40D9-ACA1-A516C731C3B0}" type="presOf" srcId="{5069E620-3CEF-4ACA-B2AB-361BAA964D34}" destId="{845D94F6-364D-4E05-AB7E-EAC0DCC76D84}" srcOrd="0" destOrd="0" presId="urn:microsoft.com/office/officeart/2005/8/layout/process3"/>
    <dgm:cxn modelId="{41E9964D-37C2-4C83-9988-CD5249A86A7D}" srcId="{AEE63444-162E-4A11-AD48-C7565AD70403}" destId="{D5C3A1F6-CC4A-4B08-A811-6A42CB338660}" srcOrd="0" destOrd="0" parTransId="{EAF2A358-09ED-4BFE-A530-2D77D2E90F8D}" sibTransId="{FE240FF1-75B4-4DD6-B98A-99883E7697CB}"/>
    <dgm:cxn modelId="{DD63426F-6980-4727-BDCE-6E313179F527}" type="presOf" srcId="{BA20648F-8A69-414D-BEBD-B02E534687D4}" destId="{F03C8DAE-9FC8-4B26-8108-FF69655A030E}" srcOrd="0" destOrd="1" presId="urn:microsoft.com/office/officeart/2005/8/layout/process3"/>
    <dgm:cxn modelId="{A421B651-3282-499C-9D50-FF4342A6E3FE}" type="presOf" srcId="{FA7FFF3D-AF33-4469-B1B8-A171A0486B81}" destId="{5F06F430-E1B0-4EB1-8910-7873A097F604}" srcOrd="0" destOrd="1" presId="urn:microsoft.com/office/officeart/2005/8/layout/process3"/>
    <dgm:cxn modelId="{10B4CD75-F64E-48C0-B2AD-B34EA253D8F6}" srcId="{F2271613-CCB5-4B21-A743-29295CF2D313}" destId="{40920D7F-4F9E-4D59-A68C-9007F1356527}" srcOrd="1" destOrd="0" parTransId="{67CA5F93-EDF7-406E-B3E4-DC6FC379B715}" sibTransId="{295FF9AF-2B5B-46EF-B84A-0A2733D0123C}"/>
    <dgm:cxn modelId="{AA88F378-473D-4C4A-A054-643066812672}" type="presOf" srcId="{4B445998-E440-49B7-A36B-241C2B42FE13}" destId="{DBACD04F-B783-4E25-B9AC-7155A2C79922}" srcOrd="1" destOrd="0" presId="urn:microsoft.com/office/officeart/2005/8/layout/process3"/>
    <dgm:cxn modelId="{93DF9A7D-9CDF-4DFF-94A9-6D2CF314BBFC}" type="presOf" srcId="{D5A47255-1BB1-4294-AC31-DF5A702E3078}" destId="{ACB100FC-6E0F-42CA-97EB-654BD4EE352E}" srcOrd="0" destOrd="0" presId="urn:microsoft.com/office/officeart/2005/8/layout/process3"/>
    <dgm:cxn modelId="{33497781-F720-439D-89BE-8DDE85F8EEDE}" srcId="{D5C3A1F6-CC4A-4B08-A811-6A42CB338660}" destId="{A415FDAA-92D6-4DF0-89E4-07B8F0AFF633}" srcOrd="2" destOrd="0" parTransId="{C68FF303-4B43-4188-A2F0-603048CBB774}" sibTransId="{6BA4EEAE-380A-426C-8CCF-818AE31DCED6}"/>
    <dgm:cxn modelId="{CE597C8B-2678-4113-9407-6A15C4A915E9}" type="presOf" srcId="{5697C5D1-0AF5-4A3D-99E6-96EB41EE02F3}" destId="{1632B40E-D44E-4C0E-8FF6-7358A01AFBB7}" srcOrd="0" destOrd="0" presId="urn:microsoft.com/office/officeart/2005/8/layout/process3"/>
    <dgm:cxn modelId="{C70D908D-676E-43AA-9BE7-D17ABE620789}" type="presOf" srcId="{40920D7F-4F9E-4D59-A68C-9007F1356527}" destId="{AEE66C5A-D880-4958-B521-F9DF0AA4CEDE}" srcOrd="0" destOrd="1" presId="urn:microsoft.com/office/officeart/2005/8/layout/process3"/>
    <dgm:cxn modelId="{1D6DB995-B288-42C1-A446-9A3C901A3908}" type="presOf" srcId="{FC089B93-C5D9-41CE-9705-BBA638003678}" destId="{F03C8DAE-9FC8-4B26-8108-FF69655A030E}" srcOrd="0" destOrd="2" presId="urn:microsoft.com/office/officeart/2005/8/layout/process3"/>
    <dgm:cxn modelId="{088DACA2-11D1-4AD7-9C5F-7BF8EE6B89C8}" srcId="{D5A47255-1BB1-4294-AC31-DF5A702E3078}" destId="{BA20648F-8A69-414D-BEBD-B02E534687D4}" srcOrd="1" destOrd="0" parTransId="{8EA996FF-1D77-44F3-8254-48A80A4D1F28}" sibTransId="{B5C34EB7-82E4-47FB-8D3E-B7DDBBFCDE90}"/>
    <dgm:cxn modelId="{384CB6AD-17DE-45E8-A7C1-0CE120E08923}" type="presOf" srcId="{AEE63444-162E-4A11-AD48-C7565AD70403}" destId="{8B0E8F2C-0D01-4547-8755-C855E491CA4C}" srcOrd="0" destOrd="0" presId="urn:microsoft.com/office/officeart/2005/8/layout/process3"/>
    <dgm:cxn modelId="{E80FB5C6-A1EB-4CBD-8F0A-3B57AF084ADC}" srcId="{5697C5D1-0AF5-4A3D-99E6-96EB41EE02F3}" destId="{5069E620-3CEF-4ACA-B2AB-361BAA964D34}" srcOrd="0" destOrd="0" parTransId="{F34656A6-51A3-442B-9EDC-D7E160FF8298}" sibTransId="{36249D21-C99A-4788-9643-34B4F3AA6B2D}"/>
    <dgm:cxn modelId="{DDCB7DCB-79F6-469F-96F1-D37301483114}" type="presOf" srcId="{6104E24B-E21B-4E1F-B06C-A7E49A8CF87E}" destId="{845D94F6-364D-4E05-AB7E-EAC0DCC76D84}" srcOrd="0" destOrd="2" presId="urn:microsoft.com/office/officeart/2005/8/layout/process3"/>
    <dgm:cxn modelId="{E6D39ACC-1FD2-41C3-9421-357B693E5597}" srcId="{D5A47255-1BB1-4294-AC31-DF5A702E3078}" destId="{FC089B93-C5D9-41CE-9705-BBA638003678}" srcOrd="2" destOrd="0" parTransId="{6492D7D0-CF02-40A8-8F0C-9E8BE95B15C3}" sibTransId="{CE1F1DC9-208B-4C10-9B63-975E0DBACD28}"/>
    <dgm:cxn modelId="{C53DBECD-8867-4FB9-8214-72965EEFCE5F}" type="presOf" srcId="{0A3971D1-334A-4C55-9975-D3F2D4526EE0}" destId="{5F06F430-E1B0-4EB1-8910-7873A097F604}" srcOrd="0" destOrd="3" presId="urn:microsoft.com/office/officeart/2005/8/layout/process3"/>
    <dgm:cxn modelId="{C70DD5DE-E038-4C9B-A93C-1B218615D0A8}" type="presOf" srcId="{7119ED3A-DDA1-4BEC-B691-E44687A84729}" destId="{AEE66C5A-D880-4958-B521-F9DF0AA4CEDE}" srcOrd="0" destOrd="2" presId="urn:microsoft.com/office/officeart/2005/8/layout/process3"/>
    <dgm:cxn modelId="{3CA4CCE4-A208-40CE-8DC4-79FE72189488}" type="presOf" srcId="{158B3496-22E6-48BC-A122-949BCC748703}" destId="{845D94F6-364D-4E05-AB7E-EAC0DCC76D84}" srcOrd="0" destOrd="1" presId="urn:microsoft.com/office/officeart/2005/8/layout/process3"/>
    <dgm:cxn modelId="{64F674ED-26BA-4DED-AA4D-47AF0554F355}" srcId="{D5C3A1F6-CC4A-4B08-A811-6A42CB338660}" destId="{0A3971D1-334A-4C55-9975-D3F2D4526EE0}" srcOrd="3" destOrd="0" parTransId="{938FC6B6-A307-4F14-992F-90CE5BFECEB5}" sibTransId="{6D57E155-F0F1-4215-A501-6A357CFF375B}"/>
    <dgm:cxn modelId="{0C88D4F0-F318-4944-810A-1460D0420151}" srcId="{AEE63444-162E-4A11-AD48-C7565AD70403}" destId="{D5A47255-1BB1-4294-AC31-DF5A702E3078}" srcOrd="1" destOrd="0" parTransId="{D75FE21A-E622-4F65-ADEC-A6C2EAFB6483}" sibTransId="{5581026E-F25B-4538-AC33-324F9B70A3C1}"/>
    <dgm:cxn modelId="{A39F28F5-E758-40C8-8DB4-85A8FE88FAF1}" type="presOf" srcId="{F2271613-CCB5-4B21-A743-29295CF2D313}" destId="{346959FA-FA2A-4E17-995D-C6CB105476E9}" srcOrd="1" destOrd="0" presId="urn:microsoft.com/office/officeart/2005/8/layout/process3"/>
    <dgm:cxn modelId="{10973FF5-28B9-406C-9B64-F36B6FF0F0D4}" type="presOf" srcId="{5DA80181-64A3-41CD-9E25-65470268B9FE}" destId="{F03C8DAE-9FC8-4B26-8108-FF69655A030E}" srcOrd="0" destOrd="0" presId="urn:microsoft.com/office/officeart/2005/8/layout/process3"/>
    <dgm:cxn modelId="{332239FB-B626-4DC0-8962-01C8A7123479}" srcId="{F2271613-CCB5-4B21-A743-29295CF2D313}" destId="{7119ED3A-DDA1-4BEC-B691-E44687A84729}" srcOrd="2" destOrd="0" parTransId="{E356F3C6-60C6-4E32-BE0E-BBAEF86B9E85}" sibTransId="{EB683838-2937-43DE-81F2-5848DB7F266A}"/>
    <dgm:cxn modelId="{6A3F16FF-D036-4479-B6A1-86D3E2CBF961}" srcId="{5697C5D1-0AF5-4A3D-99E6-96EB41EE02F3}" destId="{158B3496-22E6-48BC-A122-949BCC748703}" srcOrd="1" destOrd="0" parTransId="{B9091A4F-8D22-4B5B-9275-7D46997FE02E}" sibTransId="{834CA7E7-7D2B-464C-8972-7762ABC7EF12}"/>
    <dgm:cxn modelId="{67EA96E3-7BB7-4A11-B6F6-65AA69900798}" type="presParOf" srcId="{8B0E8F2C-0D01-4547-8755-C855E491CA4C}" destId="{52A0E38E-B318-43AA-BB06-A74CA4BD4895}" srcOrd="0" destOrd="0" presId="urn:microsoft.com/office/officeart/2005/8/layout/process3"/>
    <dgm:cxn modelId="{C5604D76-E4D3-4E4B-920F-F6673A4D4E03}" type="presParOf" srcId="{52A0E38E-B318-43AA-BB06-A74CA4BD4895}" destId="{B82CC602-A609-4900-B8ED-E65E82742B58}" srcOrd="0" destOrd="0" presId="urn:microsoft.com/office/officeart/2005/8/layout/process3"/>
    <dgm:cxn modelId="{D62741A6-D1CE-4C3E-9BC7-CCF89D19C70A}" type="presParOf" srcId="{52A0E38E-B318-43AA-BB06-A74CA4BD4895}" destId="{BCABF3CE-2EBF-43A0-8506-3B2AA82B85C2}" srcOrd="1" destOrd="0" presId="urn:microsoft.com/office/officeart/2005/8/layout/process3"/>
    <dgm:cxn modelId="{151EE467-DD8B-4E8F-A514-E83CA4C0FEEF}" type="presParOf" srcId="{52A0E38E-B318-43AA-BB06-A74CA4BD4895}" destId="{5F06F430-E1B0-4EB1-8910-7873A097F604}" srcOrd="2" destOrd="0" presId="urn:microsoft.com/office/officeart/2005/8/layout/process3"/>
    <dgm:cxn modelId="{E382044A-C1A5-49C8-8067-679EB9C1FEC9}" type="presParOf" srcId="{8B0E8F2C-0D01-4547-8755-C855E491CA4C}" destId="{3AE87EDF-D479-44F6-B9B8-CCF8971F0293}" srcOrd="1" destOrd="0" presId="urn:microsoft.com/office/officeart/2005/8/layout/process3"/>
    <dgm:cxn modelId="{BEAE40E8-101F-46DE-82B6-34FA7B000AB8}" type="presParOf" srcId="{3AE87EDF-D479-44F6-B9B8-CCF8971F0293}" destId="{F20F7712-01A3-400E-A69F-FDFE960C6BAA}" srcOrd="0" destOrd="0" presId="urn:microsoft.com/office/officeart/2005/8/layout/process3"/>
    <dgm:cxn modelId="{32282724-60ED-4A5B-844F-42D40C6DE1A6}" type="presParOf" srcId="{8B0E8F2C-0D01-4547-8755-C855E491CA4C}" destId="{2E93F6F3-EB4F-4A9F-A192-189E7ED08F52}" srcOrd="2" destOrd="0" presId="urn:microsoft.com/office/officeart/2005/8/layout/process3"/>
    <dgm:cxn modelId="{E081E3F1-CEC3-48FC-891A-A135CC0E061B}" type="presParOf" srcId="{2E93F6F3-EB4F-4A9F-A192-189E7ED08F52}" destId="{ACB100FC-6E0F-42CA-97EB-654BD4EE352E}" srcOrd="0" destOrd="0" presId="urn:microsoft.com/office/officeart/2005/8/layout/process3"/>
    <dgm:cxn modelId="{5FF13847-1924-449C-B5FB-9C7A589187BC}" type="presParOf" srcId="{2E93F6F3-EB4F-4A9F-A192-189E7ED08F52}" destId="{93800228-93EF-42C9-A194-FFCE95CB749F}" srcOrd="1" destOrd="0" presId="urn:microsoft.com/office/officeart/2005/8/layout/process3"/>
    <dgm:cxn modelId="{9C33767B-A9A3-4ED3-9A4E-536E4B3582E5}" type="presParOf" srcId="{2E93F6F3-EB4F-4A9F-A192-189E7ED08F52}" destId="{F03C8DAE-9FC8-4B26-8108-FF69655A030E}" srcOrd="2" destOrd="0" presId="urn:microsoft.com/office/officeart/2005/8/layout/process3"/>
    <dgm:cxn modelId="{474A6837-F7EB-4A88-9BFA-A965193C1C7B}" type="presParOf" srcId="{8B0E8F2C-0D01-4547-8755-C855E491CA4C}" destId="{D06CBC4D-D530-4DEB-9DD1-FE15110F951C}" srcOrd="3" destOrd="0" presId="urn:microsoft.com/office/officeart/2005/8/layout/process3"/>
    <dgm:cxn modelId="{E3BD5645-B566-49DC-8062-453AD93694E4}" type="presParOf" srcId="{D06CBC4D-D530-4DEB-9DD1-FE15110F951C}" destId="{A1F54B33-5BC3-4ADD-A167-B84420EFCB10}" srcOrd="0" destOrd="0" presId="urn:microsoft.com/office/officeart/2005/8/layout/process3"/>
    <dgm:cxn modelId="{8AC9E230-7960-4181-9BD6-8B72DB37D218}" type="presParOf" srcId="{8B0E8F2C-0D01-4547-8755-C855E491CA4C}" destId="{D955F29A-DFE6-4748-AF63-5FE4E439E967}" srcOrd="4" destOrd="0" presId="urn:microsoft.com/office/officeart/2005/8/layout/process3"/>
    <dgm:cxn modelId="{2A1C0F55-6556-4D0B-BE3F-13F67688D9A4}" type="presParOf" srcId="{D955F29A-DFE6-4748-AF63-5FE4E439E967}" destId="{A3EB4D33-0194-4170-8494-A2DDF5A88558}" srcOrd="0" destOrd="0" presId="urn:microsoft.com/office/officeart/2005/8/layout/process3"/>
    <dgm:cxn modelId="{16742F15-741A-4A6F-AB30-492479596890}" type="presParOf" srcId="{D955F29A-DFE6-4748-AF63-5FE4E439E967}" destId="{346959FA-FA2A-4E17-995D-C6CB105476E9}" srcOrd="1" destOrd="0" presId="urn:microsoft.com/office/officeart/2005/8/layout/process3"/>
    <dgm:cxn modelId="{D5116DD3-98E7-4067-8017-C21015EB7AB4}" type="presParOf" srcId="{D955F29A-DFE6-4748-AF63-5FE4E439E967}" destId="{AEE66C5A-D880-4958-B521-F9DF0AA4CEDE}" srcOrd="2" destOrd="0" presId="urn:microsoft.com/office/officeart/2005/8/layout/process3"/>
    <dgm:cxn modelId="{E3927B13-B9F9-4613-B7BA-AB2F1AEC0512}" type="presParOf" srcId="{8B0E8F2C-0D01-4547-8755-C855E491CA4C}" destId="{A671C55A-5A2C-4271-A525-D6F65CBC502A}" srcOrd="5" destOrd="0" presId="urn:microsoft.com/office/officeart/2005/8/layout/process3"/>
    <dgm:cxn modelId="{683A00EF-19DF-44DE-A67F-1872BDC21B75}" type="presParOf" srcId="{A671C55A-5A2C-4271-A525-D6F65CBC502A}" destId="{DBACD04F-B783-4E25-B9AC-7155A2C79922}" srcOrd="0" destOrd="0" presId="urn:microsoft.com/office/officeart/2005/8/layout/process3"/>
    <dgm:cxn modelId="{1218D719-0C2F-4AB6-B2D8-B641C399B929}" type="presParOf" srcId="{8B0E8F2C-0D01-4547-8755-C855E491CA4C}" destId="{6D724CA3-F5F3-4B51-8359-3205ADB7885D}" srcOrd="6" destOrd="0" presId="urn:microsoft.com/office/officeart/2005/8/layout/process3"/>
    <dgm:cxn modelId="{9A27A8F5-0BAA-44E8-9625-2D5AFDB17C59}" type="presParOf" srcId="{6D724CA3-F5F3-4B51-8359-3205ADB7885D}" destId="{1632B40E-D44E-4C0E-8FF6-7358A01AFBB7}" srcOrd="0" destOrd="0" presId="urn:microsoft.com/office/officeart/2005/8/layout/process3"/>
    <dgm:cxn modelId="{53B3A753-BD40-4646-B051-92BE8DD1975A}" type="presParOf" srcId="{6D724CA3-F5F3-4B51-8359-3205ADB7885D}" destId="{CB086532-AD78-42EC-B465-A1BBF0DB6366}" srcOrd="1" destOrd="0" presId="urn:microsoft.com/office/officeart/2005/8/layout/process3"/>
    <dgm:cxn modelId="{BE2CD993-C4AA-428A-B387-0013429815C4}" type="presParOf" srcId="{6D724CA3-F5F3-4B51-8359-3205ADB7885D}" destId="{845D94F6-364D-4E05-AB7E-EAC0DCC76D84}" srcOrd="2" destOrd="0" presId="urn:microsoft.com/office/officeart/2005/8/layout/process3"/>
  </dgm:cxnLst>
  <dgm:bg/>
  <dgm:whole/>
  <dgm:extLst>
    <a:ext uri="http://schemas.microsoft.com/office/drawing/2008/diagram">
      <dsp:dataModelExt xmlns:dsp="http://schemas.microsoft.com/office/drawing/2008/diagram" relId="rId8"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BCABF3CE-2EBF-43A0-8506-3B2AA82B85C2}">
      <dsp:nvSpPr>
        <dsp:cNvPr id="0" name=""/>
        <dsp:cNvSpPr/>
      </dsp:nvSpPr>
      <dsp:spPr>
        <a:xfrm>
          <a:off x="38949" y="728973"/>
          <a:ext cx="1055950" cy="388799"/>
        </a:xfrm>
        <a:prstGeom prst="roundRect">
          <a:avLst>
            <a:gd name="adj" fmla="val 10000"/>
          </a:avLst>
        </a:prstGeom>
        <a:solidFill>
          <a:schemeClr val="accent4">
            <a:hueOff val="0"/>
            <a:satOff val="0"/>
            <a:lumOff val="0"/>
            <a:alphaOff val="0"/>
          </a:schemeClr>
        </a:solidFill>
        <a:ln w="1905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64008" tIns="64008" rIns="64008" bIns="34290" numCol="1" spcCol="1270" anchor="t" anchorCtr="0">
          <a:noAutofit/>
        </a:bodyPr>
        <a:lstStyle/>
        <a:p>
          <a:pPr marL="0" lvl="0" indent="0" algn="l" defTabSz="400050">
            <a:lnSpc>
              <a:spcPct val="90000"/>
            </a:lnSpc>
            <a:spcBef>
              <a:spcPct val="0"/>
            </a:spcBef>
            <a:spcAft>
              <a:spcPct val="35000"/>
            </a:spcAft>
            <a:buNone/>
          </a:pPr>
          <a:r>
            <a:rPr lang="es-CO" sz="900" kern="1200"/>
            <a:t>Sistema OLTP:</a:t>
          </a:r>
        </a:p>
      </dsp:txBody>
      <dsp:txXfrm>
        <a:off x="38949" y="728973"/>
        <a:ext cx="1055950" cy="259200"/>
      </dsp:txXfrm>
    </dsp:sp>
    <dsp:sp modelId="{5F06F430-E1B0-4EB1-8910-7873A097F604}">
      <dsp:nvSpPr>
        <dsp:cNvPr id="0" name=""/>
        <dsp:cNvSpPr/>
      </dsp:nvSpPr>
      <dsp:spPr>
        <a:xfrm>
          <a:off x="208365" y="1008358"/>
          <a:ext cx="1055950" cy="1133999"/>
        </a:xfrm>
        <a:prstGeom prst="roundRect">
          <a:avLst>
            <a:gd name="adj" fmla="val 10000"/>
          </a:avLst>
        </a:prstGeom>
        <a:solidFill>
          <a:schemeClr val="lt1">
            <a:alpha val="90000"/>
            <a:hueOff val="0"/>
            <a:satOff val="0"/>
            <a:lumOff val="0"/>
            <a:alphaOff val="0"/>
          </a:schemeClr>
        </a:solidFill>
        <a:ln w="19050" cap="flat" cmpd="sng" algn="ctr">
          <a:solidFill>
            <a:schemeClr val="accent4">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64008" tIns="64008" rIns="64008" bIns="64008" numCol="1" spcCol="1270" anchor="t" anchorCtr="0">
          <a:noAutofit/>
        </a:bodyPr>
        <a:lstStyle/>
        <a:p>
          <a:pPr marL="57150" lvl="1" indent="-57150" algn="l" defTabSz="400050">
            <a:lnSpc>
              <a:spcPct val="90000"/>
            </a:lnSpc>
            <a:spcBef>
              <a:spcPct val="0"/>
            </a:spcBef>
            <a:spcAft>
              <a:spcPct val="15000"/>
            </a:spcAft>
            <a:buNone/>
          </a:pPr>
          <a:r>
            <a:rPr lang="es-CO" sz="900" b="0" i="0" kern="1200"/>
            <a:t>Registro diario de la recolección.</a:t>
          </a:r>
          <a:endParaRPr lang="es-CO" sz="900" kern="1200"/>
        </a:p>
        <a:p>
          <a:pPr marL="57150" lvl="1" indent="-57150" algn="l" defTabSz="400050">
            <a:lnSpc>
              <a:spcPct val="90000"/>
            </a:lnSpc>
            <a:spcBef>
              <a:spcPct val="0"/>
            </a:spcBef>
            <a:spcAft>
              <a:spcPct val="15000"/>
            </a:spcAft>
            <a:buNone/>
          </a:pPr>
          <a:r>
            <a:rPr lang="es-CO" sz="900" b="0" i="0" kern="1200"/>
            <a:t>Fecha, comuna, ruta, vehículo y cantidad</a:t>
          </a:r>
        </a:p>
        <a:p>
          <a:pPr marL="57150" lvl="1" indent="-57150" algn="l" defTabSz="355600">
            <a:lnSpc>
              <a:spcPct val="90000"/>
            </a:lnSpc>
            <a:spcBef>
              <a:spcPct val="0"/>
            </a:spcBef>
            <a:spcAft>
              <a:spcPct val="15000"/>
            </a:spcAft>
            <a:buNone/>
          </a:pPr>
          <a:endParaRPr lang="es-CO" sz="800" kern="1200"/>
        </a:p>
        <a:p>
          <a:pPr marL="57150" lvl="1" indent="-57150" algn="l" defTabSz="355600">
            <a:lnSpc>
              <a:spcPct val="90000"/>
            </a:lnSpc>
            <a:spcBef>
              <a:spcPct val="0"/>
            </a:spcBef>
            <a:spcAft>
              <a:spcPct val="15000"/>
            </a:spcAft>
            <a:buNone/>
          </a:pPr>
          <a:endParaRPr lang="es-CO" sz="800" kern="1200"/>
        </a:p>
      </dsp:txBody>
      <dsp:txXfrm>
        <a:off x="239293" y="1039286"/>
        <a:ext cx="994094" cy="1072143"/>
      </dsp:txXfrm>
    </dsp:sp>
    <dsp:sp modelId="{3AE87EDF-D479-44F6-B9B8-CCF8971F0293}">
      <dsp:nvSpPr>
        <dsp:cNvPr id="0" name=""/>
        <dsp:cNvSpPr/>
      </dsp:nvSpPr>
      <dsp:spPr>
        <a:xfrm rot="63189">
          <a:off x="1245423" y="742529"/>
          <a:ext cx="319221" cy="262901"/>
        </a:xfrm>
        <a:prstGeom prst="rightArrow">
          <a:avLst>
            <a:gd name="adj1" fmla="val 60000"/>
            <a:gd name="adj2" fmla="val 50000"/>
          </a:avLst>
        </a:prstGeom>
        <a:solidFill>
          <a:schemeClr val="accent4">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311150">
            <a:lnSpc>
              <a:spcPct val="90000"/>
            </a:lnSpc>
            <a:spcBef>
              <a:spcPct val="0"/>
            </a:spcBef>
            <a:spcAft>
              <a:spcPct val="35000"/>
            </a:spcAft>
            <a:buNone/>
          </a:pPr>
          <a:endParaRPr lang="es-CO" sz="700" kern="1200"/>
        </a:p>
      </dsp:txBody>
      <dsp:txXfrm>
        <a:off x="1245430" y="794384"/>
        <a:ext cx="240351" cy="157741"/>
      </dsp:txXfrm>
    </dsp:sp>
    <dsp:sp modelId="{93800228-93EF-42C9-A194-FFCE95CB749F}">
      <dsp:nvSpPr>
        <dsp:cNvPr id="0" name=""/>
        <dsp:cNvSpPr/>
      </dsp:nvSpPr>
      <dsp:spPr>
        <a:xfrm>
          <a:off x="1697103" y="759455"/>
          <a:ext cx="1055950" cy="388799"/>
        </a:xfrm>
        <a:prstGeom prst="roundRect">
          <a:avLst>
            <a:gd name="adj" fmla="val 10000"/>
          </a:avLst>
        </a:prstGeom>
        <a:solidFill>
          <a:schemeClr val="accent4">
            <a:hueOff val="2199979"/>
            <a:satOff val="-9734"/>
            <a:lumOff val="-1634"/>
            <a:alphaOff val="0"/>
          </a:schemeClr>
        </a:solidFill>
        <a:ln w="1905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64008" tIns="64008" rIns="64008" bIns="34290" numCol="1" spcCol="1270" anchor="t" anchorCtr="0">
          <a:noAutofit/>
        </a:bodyPr>
        <a:lstStyle/>
        <a:p>
          <a:pPr marL="0" lvl="0" indent="0" algn="l" defTabSz="400050">
            <a:lnSpc>
              <a:spcPct val="90000"/>
            </a:lnSpc>
            <a:spcBef>
              <a:spcPct val="0"/>
            </a:spcBef>
            <a:spcAft>
              <a:spcPct val="35000"/>
            </a:spcAft>
            <a:buNone/>
          </a:pPr>
          <a:r>
            <a:rPr lang="es-CO" sz="900" kern="1200"/>
            <a:t>Proceso ETL:</a:t>
          </a:r>
        </a:p>
      </dsp:txBody>
      <dsp:txXfrm>
        <a:off x="1697103" y="759455"/>
        <a:ext cx="1055950" cy="259200"/>
      </dsp:txXfrm>
    </dsp:sp>
    <dsp:sp modelId="{F03C8DAE-9FC8-4B26-8108-FF69655A030E}">
      <dsp:nvSpPr>
        <dsp:cNvPr id="0" name=""/>
        <dsp:cNvSpPr/>
      </dsp:nvSpPr>
      <dsp:spPr>
        <a:xfrm>
          <a:off x="1913382" y="1018655"/>
          <a:ext cx="1055950" cy="1133999"/>
        </a:xfrm>
        <a:prstGeom prst="roundRect">
          <a:avLst>
            <a:gd name="adj" fmla="val 10000"/>
          </a:avLst>
        </a:prstGeom>
        <a:solidFill>
          <a:schemeClr val="lt1">
            <a:alpha val="90000"/>
            <a:hueOff val="0"/>
            <a:satOff val="0"/>
            <a:lumOff val="0"/>
            <a:alphaOff val="0"/>
          </a:schemeClr>
        </a:solidFill>
        <a:ln w="19050" cap="flat" cmpd="sng" algn="ctr">
          <a:solidFill>
            <a:schemeClr val="accent4">
              <a:hueOff val="2199979"/>
              <a:satOff val="-9734"/>
              <a:lumOff val="-1634"/>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64008" tIns="64008" rIns="64008" bIns="64008" numCol="1" spcCol="1270" anchor="t" anchorCtr="0">
          <a:noAutofit/>
        </a:bodyPr>
        <a:lstStyle/>
        <a:p>
          <a:pPr marL="57150" lvl="1" indent="-57150" algn="l" defTabSz="400050">
            <a:lnSpc>
              <a:spcPct val="90000"/>
            </a:lnSpc>
            <a:spcBef>
              <a:spcPct val="0"/>
            </a:spcBef>
            <a:spcAft>
              <a:spcPct val="15000"/>
            </a:spcAft>
            <a:buNone/>
          </a:pPr>
          <a:r>
            <a:rPr lang="es-CO" sz="900" b="0" i="0" kern="1200"/>
            <a:t>Extraer, limpiar, transformar y cargar los datos </a:t>
          </a:r>
          <a:endParaRPr lang="es-CO" sz="900" kern="1200"/>
        </a:p>
        <a:p>
          <a:pPr marL="57150" lvl="1" indent="-57150" algn="l" defTabSz="355600">
            <a:lnSpc>
              <a:spcPct val="90000"/>
            </a:lnSpc>
            <a:spcBef>
              <a:spcPct val="0"/>
            </a:spcBef>
            <a:spcAft>
              <a:spcPct val="15000"/>
            </a:spcAft>
            <a:buNone/>
          </a:pPr>
          <a:endParaRPr lang="es-CO" sz="800" kern="1200"/>
        </a:p>
        <a:p>
          <a:pPr marL="57150" lvl="1" indent="-57150" algn="l" defTabSz="355600">
            <a:lnSpc>
              <a:spcPct val="90000"/>
            </a:lnSpc>
            <a:spcBef>
              <a:spcPct val="0"/>
            </a:spcBef>
            <a:spcAft>
              <a:spcPct val="15000"/>
            </a:spcAft>
            <a:buNone/>
          </a:pPr>
          <a:endParaRPr lang="es-CO" sz="800" kern="1200"/>
        </a:p>
      </dsp:txBody>
      <dsp:txXfrm>
        <a:off x="1944310" y="1049583"/>
        <a:ext cx="994094" cy="1072143"/>
      </dsp:txXfrm>
    </dsp:sp>
    <dsp:sp modelId="{D06CBC4D-D530-4DEB-9DD1-FE15110F951C}">
      <dsp:nvSpPr>
        <dsp:cNvPr id="0" name=""/>
        <dsp:cNvSpPr/>
      </dsp:nvSpPr>
      <dsp:spPr>
        <a:xfrm>
          <a:off x="2913132" y="757604"/>
          <a:ext cx="339365" cy="262901"/>
        </a:xfrm>
        <a:prstGeom prst="rightArrow">
          <a:avLst>
            <a:gd name="adj1" fmla="val 60000"/>
            <a:gd name="adj2" fmla="val 50000"/>
          </a:avLst>
        </a:prstGeom>
        <a:solidFill>
          <a:schemeClr val="accent4">
            <a:hueOff val="3299968"/>
            <a:satOff val="-14601"/>
            <a:lumOff val="-2452"/>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311150">
            <a:lnSpc>
              <a:spcPct val="90000"/>
            </a:lnSpc>
            <a:spcBef>
              <a:spcPct val="0"/>
            </a:spcBef>
            <a:spcAft>
              <a:spcPct val="35000"/>
            </a:spcAft>
            <a:buNone/>
          </a:pPr>
          <a:endParaRPr lang="es-CO" sz="700" kern="1200"/>
        </a:p>
      </dsp:txBody>
      <dsp:txXfrm>
        <a:off x="2913132" y="810184"/>
        <a:ext cx="260495" cy="157741"/>
      </dsp:txXfrm>
    </dsp:sp>
    <dsp:sp modelId="{346959FA-FA2A-4E17-995D-C6CB105476E9}">
      <dsp:nvSpPr>
        <dsp:cNvPr id="0" name=""/>
        <dsp:cNvSpPr/>
      </dsp:nvSpPr>
      <dsp:spPr>
        <a:xfrm>
          <a:off x="3393367" y="759455"/>
          <a:ext cx="1055950" cy="388799"/>
        </a:xfrm>
        <a:prstGeom prst="roundRect">
          <a:avLst>
            <a:gd name="adj" fmla="val 10000"/>
          </a:avLst>
        </a:prstGeom>
        <a:solidFill>
          <a:schemeClr val="accent4">
            <a:hueOff val="4399958"/>
            <a:satOff val="-19468"/>
            <a:lumOff val="-3269"/>
            <a:alphaOff val="0"/>
          </a:schemeClr>
        </a:solidFill>
        <a:ln w="1905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64008" tIns="64008" rIns="64008" bIns="34290" numCol="1" spcCol="1270" anchor="t" anchorCtr="0">
          <a:noAutofit/>
        </a:bodyPr>
        <a:lstStyle/>
        <a:p>
          <a:pPr marL="0" lvl="0" indent="0" algn="l" defTabSz="400050">
            <a:lnSpc>
              <a:spcPct val="90000"/>
            </a:lnSpc>
            <a:spcBef>
              <a:spcPct val="0"/>
            </a:spcBef>
            <a:spcAft>
              <a:spcPct val="35000"/>
            </a:spcAft>
            <a:buNone/>
          </a:pPr>
          <a:r>
            <a:rPr lang="es-CO" sz="900" kern="1200"/>
            <a:t>Data Warehouse:</a:t>
          </a:r>
        </a:p>
      </dsp:txBody>
      <dsp:txXfrm>
        <a:off x="3393367" y="759455"/>
        <a:ext cx="1055950" cy="259200"/>
      </dsp:txXfrm>
    </dsp:sp>
    <dsp:sp modelId="{AEE66C5A-D880-4958-B521-F9DF0AA4CEDE}">
      <dsp:nvSpPr>
        <dsp:cNvPr id="0" name=""/>
        <dsp:cNvSpPr/>
      </dsp:nvSpPr>
      <dsp:spPr>
        <a:xfrm>
          <a:off x="3627164" y="1048910"/>
          <a:ext cx="1055950" cy="1133999"/>
        </a:xfrm>
        <a:prstGeom prst="roundRect">
          <a:avLst>
            <a:gd name="adj" fmla="val 10000"/>
          </a:avLst>
        </a:prstGeom>
        <a:solidFill>
          <a:schemeClr val="lt1">
            <a:alpha val="90000"/>
            <a:hueOff val="0"/>
            <a:satOff val="0"/>
            <a:lumOff val="0"/>
            <a:alphaOff val="0"/>
          </a:schemeClr>
        </a:solidFill>
        <a:ln w="19050" cap="flat" cmpd="sng" algn="ctr">
          <a:solidFill>
            <a:schemeClr val="accent4">
              <a:hueOff val="4399958"/>
              <a:satOff val="-19468"/>
              <a:lumOff val="-3269"/>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64008" tIns="64008" rIns="64008" bIns="64008" numCol="1" spcCol="1270" anchor="t" anchorCtr="0">
          <a:noAutofit/>
        </a:bodyPr>
        <a:lstStyle/>
        <a:p>
          <a:pPr marL="57150" lvl="1" indent="-57150" algn="l" defTabSz="400050">
            <a:lnSpc>
              <a:spcPct val="90000"/>
            </a:lnSpc>
            <a:spcBef>
              <a:spcPct val="0"/>
            </a:spcBef>
            <a:spcAft>
              <a:spcPct val="15000"/>
            </a:spcAft>
            <a:buNone/>
          </a:pPr>
          <a:r>
            <a:rPr lang="es-CO" sz="900" b="0" i="0" kern="1200"/>
            <a:t>Almacenamiento organizado de los datos históricos </a:t>
          </a:r>
          <a:endParaRPr lang="es-CO" sz="900" kern="1200"/>
        </a:p>
        <a:p>
          <a:pPr marL="57150" lvl="1" indent="-57150" algn="l" defTabSz="400050">
            <a:lnSpc>
              <a:spcPct val="90000"/>
            </a:lnSpc>
            <a:spcBef>
              <a:spcPct val="0"/>
            </a:spcBef>
            <a:spcAft>
              <a:spcPct val="15000"/>
            </a:spcAft>
            <a:buNone/>
          </a:pPr>
          <a:endParaRPr lang="es-CO" sz="900" kern="1200"/>
        </a:p>
        <a:p>
          <a:pPr marL="57150" lvl="1" indent="-57150" algn="l" defTabSz="400050">
            <a:lnSpc>
              <a:spcPct val="90000"/>
            </a:lnSpc>
            <a:spcBef>
              <a:spcPct val="0"/>
            </a:spcBef>
            <a:spcAft>
              <a:spcPct val="15000"/>
            </a:spcAft>
            <a:buNone/>
          </a:pPr>
          <a:endParaRPr lang="es-CO" sz="900" kern="1200"/>
        </a:p>
      </dsp:txBody>
      <dsp:txXfrm>
        <a:off x="3658092" y="1079838"/>
        <a:ext cx="994094" cy="1072143"/>
      </dsp:txXfrm>
    </dsp:sp>
    <dsp:sp modelId="{A671C55A-5A2C-4271-A525-D6F65CBC502A}">
      <dsp:nvSpPr>
        <dsp:cNvPr id="0" name=""/>
        <dsp:cNvSpPr/>
      </dsp:nvSpPr>
      <dsp:spPr>
        <a:xfrm>
          <a:off x="4609395" y="757604"/>
          <a:ext cx="339365" cy="262901"/>
        </a:xfrm>
        <a:prstGeom prst="rightArrow">
          <a:avLst>
            <a:gd name="adj1" fmla="val 60000"/>
            <a:gd name="adj2" fmla="val 50000"/>
          </a:avLst>
        </a:prstGeom>
        <a:solidFill>
          <a:schemeClr val="accent4">
            <a:hueOff val="6599937"/>
            <a:satOff val="-29202"/>
            <a:lumOff val="-4903"/>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311150">
            <a:lnSpc>
              <a:spcPct val="90000"/>
            </a:lnSpc>
            <a:spcBef>
              <a:spcPct val="0"/>
            </a:spcBef>
            <a:spcAft>
              <a:spcPct val="35000"/>
            </a:spcAft>
            <a:buNone/>
          </a:pPr>
          <a:endParaRPr lang="es-CO" sz="700" kern="1200"/>
        </a:p>
      </dsp:txBody>
      <dsp:txXfrm>
        <a:off x="4609395" y="810184"/>
        <a:ext cx="260495" cy="157741"/>
      </dsp:txXfrm>
    </dsp:sp>
    <dsp:sp modelId="{CB086532-AD78-42EC-B465-A1BBF0DB6366}">
      <dsp:nvSpPr>
        <dsp:cNvPr id="0" name=""/>
        <dsp:cNvSpPr/>
      </dsp:nvSpPr>
      <dsp:spPr>
        <a:xfrm>
          <a:off x="5089630" y="759455"/>
          <a:ext cx="1055950" cy="388799"/>
        </a:xfrm>
        <a:prstGeom prst="roundRect">
          <a:avLst>
            <a:gd name="adj" fmla="val 10000"/>
          </a:avLst>
        </a:prstGeom>
        <a:solidFill>
          <a:schemeClr val="accent4">
            <a:hueOff val="6599937"/>
            <a:satOff val="-29202"/>
            <a:lumOff val="-4903"/>
            <a:alphaOff val="0"/>
          </a:schemeClr>
        </a:solidFill>
        <a:ln w="1905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64008" tIns="64008" rIns="64008" bIns="34290" numCol="1" spcCol="1270" anchor="t" anchorCtr="0">
          <a:noAutofit/>
        </a:bodyPr>
        <a:lstStyle/>
        <a:p>
          <a:pPr marL="0" lvl="0" indent="0" algn="l" defTabSz="400050">
            <a:lnSpc>
              <a:spcPct val="90000"/>
            </a:lnSpc>
            <a:spcBef>
              <a:spcPct val="0"/>
            </a:spcBef>
            <a:spcAft>
              <a:spcPct val="35000"/>
            </a:spcAft>
            <a:buNone/>
          </a:pPr>
          <a:r>
            <a:rPr lang="es-CO" sz="900" kern="1200"/>
            <a:t>Reporte OLAP:</a:t>
          </a:r>
        </a:p>
      </dsp:txBody>
      <dsp:txXfrm>
        <a:off x="5089630" y="759455"/>
        <a:ext cx="1055950" cy="259200"/>
      </dsp:txXfrm>
    </dsp:sp>
    <dsp:sp modelId="{845D94F6-364D-4E05-AB7E-EAC0DCC76D84}">
      <dsp:nvSpPr>
        <dsp:cNvPr id="0" name=""/>
        <dsp:cNvSpPr/>
      </dsp:nvSpPr>
      <dsp:spPr>
        <a:xfrm>
          <a:off x="5305909" y="1018655"/>
          <a:ext cx="1055950" cy="1133999"/>
        </a:xfrm>
        <a:prstGeom prst="roundRect">
          <a:avLst>
            <a:gd name="adj" fmla="val 10000"/>
          </a:avLst>
        </a:prstGeom>
        <a:solidFill>
          <a:schemeClr val="lt1">
            <a:alpha val="90000"/>
            <a:hueOff val="0"/>
            <a:satOff val="0"/>
            <a:lumOff val="0"/>
            <a:alphaOff val="0"/>
          </a:schemeClr>
        </a:solidFill>
        <a:ln w="19050" cap="flat" cmpd="sng" algn="ctr">
          <a:solidFill>
            <a:schemeClr val="accent4">
              <a:hueOff val="6599937"/>
              <a:satOff val="-29202"/>
              <a:lumOff val="-4903"/>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64008" tIns="64008" rIns="64008" bIns="64008" numCol="1" spcCol="1270" anchor="t" anchorCtr="0">
          <a:noAutofit/>
        </a:bodyPr>
        <a:lstStyle/>
        <a:p>
          <a:pPr marL="57150" lvl="1" indent="-57150" algn="l" defTabSz="400050">
            <a:lnSpc>
              <a:spcPct val="90000"/>
            </a:lnSpc>
            <a:spcBef>
              <a:spcPct val="0"/>
            </a:spcBef>
            <a:spcAft>
              <a:spcPct val="15000"/>
            </a:spcAft>
            <a:buNone/>
          </a:pPr>
          <a:r>
            <a:rPr lang="es-CO" sz="900" b="0" i="0" kern="1200"/>
            <a:t>Dashboard con indicadores, gráficos, tendencias y filtros</a:t>
          </a:r>
          <a:endParaRPr lang="es-CO" sz="900" kern="1200"/>
        </a:p>
        <a:p>
          <a:pPr marL="57150" lvl="1" indent="-57150" algn="l" defTabSz="400050">
            <a:lnSpc>
              <a:spcPct val="90000"/>
            </a:lnSpc>
            <a:spcBef>
              <a:spcPct val="0"/>
            </a:spcBef>
            <a:spcAft>
              <a:spcPct val="15000"/>
            </a:spcAft>
            <a:buNone/>
          </a:pPr>
          <a:endParaRPr lang="es-CO" sz="900" kern="1200"/>
        </a:p>
        <a:p>
          <a:pPr marL="57150" lvl="1" indent="-57150" algn="l" defTabSz="400050">
            <a:lnSpc>
              <a:spcPct val="90000"/>
            </a:lnSpc>
            <a:spcBef>
              <a:spcPct val="0"/>
            </a:spcBef>
            <a:spcAft>
              <a:spcPct val="15000"/>
            </a:spcAft>
            <a:buNone/>
          </a:pPr>
          <a:endParaRPr lang="es-CO" sz="900" kern="1200"/>
        </a:p>
      </dsp:txBody>
      <dsp:txXfrm>
        <a:off x="5336837" y="1049583"/>
        <a:ext cx="994094" cy="1072143"/>
      </dsp:txXfrm>
    </dsp:sp>
  </dsp:spTree>
</dsp:drawing>
</file>

<file path=word/diagrams/layout1.xml><?xml version="1.0" encoding="utf-8"?>
<dgm:layoutDef xmlns:dgm="http://schemas.openxmlformats.org/drawingml/2006/diagram" xmlns:a="http://schemas.openxmlformats.org/drawingml/2006/main" uniqueId="urn:microsoft.com/office/officeart/2005/8/layout/process3">
  <dgm:title val=""/>
  <dgm:desc val=""/>
  <dgm:catLst>
    <dgm:cat type="process" pri="2000"/>
  </dgm:catLst>
  <dgm:sampData>
    <dgm:dataModel>
      <dgm:ptLst>
        <dgm:pt modelId="0" type="doc"/>
        <dgm:pt modelId="1">
          <dgm:prSet phldr="1"/>
        </dgm:pt>
        <dgm:pt modelId="11">
          <dgm:prSet phldr="1"/>
        </dgm:pt>
        <dgm:pt modelId="2">
          <dgm:prSet phldr="1"/>
        </dgm:pt>
        <dgm:pt modelId="21">
          <dgm:prSet phldr="1"/>
        </dgm:pt>
        <dgm:pt modelId="3">
          <dgm:prSet phldr="1"/>
        </dgm:pt>
        <dgm:pt modelId="31">
          <dgm:prSet phldr="1"/>
        </dgm:pt>
      </dgm:ptLst>
      <dgm:cxnLst>
        <dgm:cxn modelId="4" srcId="0" destId="1" srcOrd="0" destOrd="0"/>
        <dgm:cxn modelId="5" srcId="0" destId="2" srcOrd="1" destOrd="0"/>
        <dgm:cxn modelId="6" srcId="0" destId="3" srcOrd="3" destOrd="0"/>
        <dgm:cxn modelId="12" srcId="1" destId="11" srcOrd="0" destOrd="0"/>
        <dgm:cxn modelId="23" srcId="2" destId="21" srcOrd="0" destOrd="0"/>
        <dgm:cxn modelId="34" srcId="3" destId="31" srcOrd="0" destOrd="0"/>
      </dgm:cxnLst>
      <dgm:bg/>
      <dgm:whole/>
    </dgm:dataModel>
  </dgm:sampData>
  <dgm:styleData>
    <dgm:dataModel>
      <dgm:ptLst>
        <dgm:pt modelId="0" type="doc"/>
        <dgm:pt modelId="1">
          <dgm:prSet phldr="1"/>
        </dgm:pt>
        <dgm:pt modelId="11">
          <dgm:prSet phldr="1"/>
        </dgm:pt>
        <dgm:pt modelId="2">
          <dgm:prSet phldr="1"/>
        </dgm:pt>
        <dgm:pt modelId="21">
          <dgm:prSet phldr="1"/>
        </dgm:pt>
      </dgm:ptLst>
      <dgm:cxnLst>
        <dgm:cxn modelId="4" srcId="0" destId="1" srcOrd="0" destOrd="0"/>
        <dgm:cxn modelId="5" srcId="0" destId="2" srcOrd="1" destOrd="0"/>
        <dgm:cxn modelId="13" srcId="1" destId="11" srcOrd="0" destOrd="0"/>
        <dgm:cxn modelId="23" srcId="2" destId="21" srcOrd="0" destOrd="0"/>
      </dgm:cxnLst>
      <dgm:bg/>
      <dgm:whole/>
    </dgm:dataModel>
  </dgm:styleData>
  <dgm:clrData>
    <dgm:dataModel>
      <dgm:ptLst>
        <dgm:pt modelId="0" type="doc"/>
        <dgm:pt modelId="1">
          <dgm:prSet phldr="1"/>
        </dgm:pt>
        <dgm:pt modelId="11">
          <dgm:prSet phldr="1"/>
        </dgm:pt>
        <dgm:pt modelId="2">
          <dgm:prSet phldr="1"/>
        </dgm:pt>
        <dgm:pt modelId="21">
          <dgm:prSet phldr="1"/>
        </dgm:pt>
        <dgm:pt modelId="3">
          <dgm:prSet phldr="1"/>
        </dgm:pt>
        <dgm:pt modelId="31">
          <dgm:prSet phldr="1"/>
        </dgm:pt>
        <dgm:pt modelId="4">
          <dgm:prSet phldr="1"/>
        </dgm:pt>
        <dgm:pt modelId="41">
          <dgm:prSet phldr="1"/>
        </dgm:pt>
      </dgm:ptLst>
      <dgm:cxnLst>
        <dgm:cxn modelId="5" srcId="0" destId="1" srcOrd="0" destOrd="0"/>
        <dgm:cxn modelId="6" srcId="0" destId="2" srcOrd="1" destOrd="0"/>
        <dgm:cxn modelId="7" srcId="0" destId="3" srcOrd="2" destOrd="0"/>
        <dgm:cxn modelId="8" srcId="0" destId="4" srcOrd="3" destOrd="0"/>
        <dgm:cxn modelId="13" srcId="1" destId="11" srcOrd="0" destOrd="0"/>
        <dgm:cxn modelId="23" srcId="2" destId="21" srcOrd="0" destOrd="0"/>
        <dgm:cxn modelId="33" srcId="3" destId="31" srcOrd="0" destOrd="0"/>
        <dgm:cxn modelId="43" srcId="4" destId="41" srcOrd="0" destOrd="0"/>
      </dgm:cxnLst>
      <dgm:bg/>
      <dgm:whole/>
    </dgm:dataModel>
  </dgm:clrData>
  <dgm:layoutNode name="linearFlow">
    <dgm:varLst>
      <dgm:dir/>
      <dgm:animLvl val="lvl"/>
      <dgm:resizeHandles val="exact"/>
    </dgm:varLst>
    <dgm:choose name="Name0">
      <dgm:if name="Name1" func="var" arg="dir" op="equ" val="norm">
        <dgm:alg type="lin"/>
      </dgm:if>
      <dgm:else name="Name2">
        <dgm:alg type="lin">
          <dgm:param type="linDir" val="fromR"/>
        </dgm:alg>
      </dgm:else>
    </dgm:choose>
    <dgm:shape xmlns:r="http://schemas.openxmlformats.org/officeDocument/2006/relationships" r:blip="">
      <dgm:adjLst/>
    </dgm:shape>
    <dgm:presOf/>
    <dgm:constrLst>
      <dgm:constr type="w" for="ch" forName="composite" refType="w"/>
      <dgm:constr type="w" for="ch" ptType="sibTrans" refType="w" refFor="ch" refForName="composite" fact="0.3333"/>
      <dgm:constr type="w" for="des" forName="parTx"/>
      <dgm:constr type="h" for="des" forName="parTx" op="equ"/>
      <dgm:constr type="h" for="des" forName="parSh" op="equ"/>
      <dgm:constr type="w" for="des" forName="desTx"/>
      <dgm:constr type="h" for="des" forName="desTx" op="equ"/>
      <dgm:constr type="w" for="des" forName="parSh"/>
      <dgm:constr type="primFontSz" for="des" forName="parTx" val="65"/>
      <dgm:constr type="secFontSz" for="des" forName="desTx" refType="primFontSz" refFor="des" refForName="parTx" op="equ"/>
      <dgm:constr type="primFontSz" for="des" forName="connTx" refType="primFontSz" refFor="des" refForName="parTx" fact="0.8"/>
      <dgm:constr type="primFontSz" for="des" forName="connTx" refType="primFontSz" refFor="des" refForName="parTx" op="lte" fact="0.8"/>
      <dgm:constr type="h" for="des" forName="parTx" refType="primFontSz" refFor="des" refForName="parTx" fact="0.8"/>
      <dgm:constr type="h" for="des" forName="parSh" refType="primFontSz" refFor="des" refForName="parTx" fact="1.2"/>
      <dgm:constr type="h" for="des" forName="desTx" refType="primFontSz" refFor="des" refForName="parTx" fact="1.6"/>
      <dgm:constr type="h" for="des" forName="parSh" refType="h" refFor="des" refForName="parTx" op="lte" fact="1.5"/>
      <dgm:constr type="h" for="des" forName="parSh" refType="h" refFor="des" refForName="parTx" op="gte" fact="1.5"/>
    </dgm:constrLst>
    <dgm:ruleLst>
      <dgm:rule type="w" for="ch" forName="composite" val="0" fact="NaN" max="NaN"/>
      <dgm:rule type="primFontSz" for="des" forName="parTx" val="5" fact="NaN" max="NaN"/>
    </dgm:ruleLst>
    <dgm:forEach name="Name3" axis="ch" ptType="node">
      <dgm:layoutNode name="composite">
        <dgm:alg type="composite"/>
        <dgm:shape xmlns:r="http://schemas.openxmlformats.org/officeDocument/2006/relationships" r:blip="">
          <dgm:adjLst/>
        </dgm:shape>
        <dgm:presOf/>
        <dgm:choose name="Name4">
          <dgm:if name="Name5" func="var" arg="dir" op="equ" val="norm">
            <dgm:constrLst>
              <dgm:constr type="h" refType="w" fact="1000"/>
              <dgm:constr type="l" for="ch" forName="parTx"/>
              <dgm:constr type="w" for="ch" forName="parTx" refType="w" fact="0.83"/>
              <dgm:constr type="t" for="ch" forName="parTx"/>
              <dgm:constr type="l" for="ch" forName="parSh"/>
              <dgm:constr type="w" for="ch" forName="parSh" refType="w" refFor="ch" refForName="parTx"/>
              <dgm:constr type="t" for="ch" forName="parSh"/>
              <dgm:constr type="l" for="ch" forName="desTx" refType="w" fact="0.17"/>
              <dgm:constr type="w" for="ch" forName="desTx" refType="w" refFor="ch" refForName="parTx"/>
              <dgm:constr type="t" for="ch" forName="desTx" refType="h" refFor="ch" refForName="parTx"/>
            </dgm:constrLst>
          </dgm:if>
          <dgm:else name="Name6">
            <dgm:constrLst>
              <dgm:constr type="h" refType="w" fact="1000"/>
              <dgm:constr type="l" for="ch" forName="parTx" refType="w" fact="0.17"/>
              <dgm:constr type="w" for="ch" forName="parTx" refType="w" fact="0.83"/>
              <dgm:constr type="t" for="ch" forName="parTx"/>
              <dgm:constr type="l" for="ch" forName="parSh" refType="w" fact="0.15"/>
              <dgm:constr type="w" for="ch" forName="parSh" refType="w" refFor="ch" refForName="parTx"/>
              <dgm:constr type="t" for="ch" forName="parSh"/>
              <dgm:constr type="l" for="ch" forName="desTx"/>
              <dgm:constr type="w" for="ch" forName="desTx" refType="w" refFor="ch" refForName="parTx"/>
              <dgm:constr type="t" for="ch" forName="desTx" refType="h" refFor="ch" refForName="parTx"/>
            </dgm:constrLst>
          </dgm:else>
        </dgm:choose>
        <dgm:ruleLst>
          <dgm:rule type="h" val="INF" fact="NaN" max="NaN"/>
        </dgm:ruleLst>
        <dgm:layoutNode name="parTx">
          <dgm:varLst>
            <dgm:chMax val="0"/>
            <dgm:chPref val="0"/>
            <dgm:bulletEnabled val="1"/>
          </dgm:varLst>
          <dgm:alg type="tx">
            <dgm:param type="parTxLTRAlign" val="l"/>
            <dgm:param type="parTxRTLAlign" val="r"/>
            <dgm:param type="txAnchorVert" val="t"/>
          </dgm:alg>
          <dgm:shape xmlns:r="http://schemas.openxmlformats.org/officeDocument/2006/relationships" type="rect" r:blip="" zOrderOff="1" hideGeom="1">
            <dgm:adjLst>
              <dgm:adj idx="1" val="0.1"/>
            </dgm:adjLst>
          </dgm:shape>
          <dgm:presOf axis="self" ptType="node"/>
          <dgm:constrLst>
            <dgm:constr type="h" refType="w" op="lte" fact="0.4"/>
            <dgm:constr type="bMarg" refType="primFontSz" fact="0.3"/>
            <dgm:constr type="h"/>
          </dgm:constrLst>
          <dgm:ruleLst>
            <dgm:rule type="h" val="INF" fact="NaN" max="NaN"/>
          </dgm:ruleLst>
        </dgm:layoutNode>
        <dgm:layoutNode name="parSh">
          <dgm:alg type="sp"/>
          <dgm:shape xmlns:r="http://schemas.openxmlformats.org/officeDocument/2006/relationships" type="roundRect" r:blip="">
            <dgm:adjLst>
              <dgm:adj idx="1" val="0.1"/>
            </dgm:adjLst>
          </dgm:shape>
          <dgm:presOf axis="self" ptType="node"/>
          <dgm:constrLst>
            <dgm:constr type="h"/>
          </dgm:constrLst>
          <dgm:ruleLst/>
        </dgm:layoutNode>
        <dgm:layoutNode name="desTx" styleLbl="fgAcc1">
          <dgm:varLst>
            <dgm:bulletEnabled val="1"/>
          </dgm:varLst>
          <dgm:alg type="tx">
            <dgm:param type="stBulletLvl" val="1"/>
          </dgm:alg>
          <dgm:shape xmlns:r="http://schemas.openxmlformats.org/officeDocument/2006/relationships" type="roundRect" r:blip="">
            <dgm:adjLst>
              <dgm:adj idx="1" val="0.1"/>
            </dgm:adjLst>
          </dgm:shape>
          <dgm:presOf axis="des" ptType="node"/>
          <dgm:constrLst>
            <dgm:constr type="secFontSz" val="65"/>
            <dgm:constr type="primFontSz" refType="secFontSz"/>
            <dgm:constr type="h"/>
          </dgm:constrLst>
          <dgm:ruleLst>
            <dgm:rule type="h" val="INF" fact="NaN" max="NaN"/>
          </dgm:ruleLst>
        </dgm:layoutNode>
      </dgm:layoutNode>
      <dgm:forEach name="sibTransForEach" axis="followSib" ptType="sibTrans" cnt="1">
        <dgm:layoutNode name="sibTrans">
          <dgm:alg type="conn">
            <dgm:param type="begPts" val="auto"/>
            <dgm:param type="endPts" val="auto"/>
            <dgm:param type="srcNode" val="parTx"/>
            <dgm:param type="dstNode" val="parTx"/>
          </dgm:alg>
          <dgm:shape xmlns:r="http://schemas.openxmlformats.org/officeDocument/2006/relationships" type="conn" r:blip="">
            <dgm:adjLst/>
          </dgm:shape>
          <dgm:presOf axis="self"/>
          <dgm:constrLst>
            <dgm:constr type="h" refType="w" fact="0.62"/>
            <dgm:constr type="connDist"/>
            <dgm:constr type="begPad" refType="connDist" fact="0.25"/>
            <dgm:constr type="endPad" refType="connDist" fact="0.22"/>
          </dgm:constrLst>
          <dgm:ruleLst/>
          <dgm:layoutNode name="connTx">
            <dgm:alg type="tx">
              <dgm:param type="autoTxRot" val="grav"/>
            </dgm:alg>
            <dgm:shape xmlns:r="http://schemas.openxmlformats.org/officeDocument/2006/relationships" type="conn" r:blip="" hideGeom="1">
              <dgm:adjLst/>
            </dgm:shape>
            <dgm:presOf axis="self"/>
            <dgm:constrLst>
              <dgm:constr type="lMarg"/>
              <dgm:constr type="rMarg"/>
              <dgm:constr type="tMarg"/>
              <dgm:constr type="bMarg"/>
            </dgm:constrLst>
            <dgm:ruleLst>
              <dgm:rule type="primFontSz" val="5" fact="NaN" max="NaN"/>
            </dgm:ruleLst>
          </dgm:layoutNode>
        </dgm:layoutNode>
      </dgm:forEach>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0NoLn">
    <dgm:scene3d>
      <a:camera prst="orthographicFront"/>
      <a:lightRig rig="threePt" dir="t"/>
    </dgm:scene3d>
    <dgm:sp3d/>
    <dgm:txPr/>
    <dgm:style>
      <a:lnRef idx="1">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NoLn">
    <dgm:scene3d>
      <a:camera prst="orthographicFront"/>
      <a:lightRig rig="threePt" dir="t"/>
    </dgm:scene3d>
    <dgm:sp3d/>
    <dgm:txPr/>
    <dgm:style>
      <a:lnRef idx="1">
        <a:scrgbClr r="0" g="0" b="0"/>
      </a:lnRef>
      <a:fillRef idx="1">
        <a:scrgbClr r="0" g="0" b="0"/>
      </a:fillRef>
      <a:effectRef idx="0">
        <a:scrgbClr r="0" g="0" b="0"/>
      </a:effectRef>
      <a:fontRef idx="minor">
        <a:schemeClr val="lt1"/>
      </a:fontRef>
    </dgm:style>
  </dgm:styleLbl>
  <dgm:styleLbl name="ltNode1NoLn">
    <dgm:scene3d>
      <a:camera prst="orthographicFront"/>
      <a:lightRig rig="threePt" dir="t"/>
    </dgm:scene3d>
    <dgm:sp3d/>
    <dgm:txPr/>
    <dgm:style>
      <a:lnRef idx="1">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NoLn">
    <dgm:scene3d>
      <a:camera prst="orthographicFront"/>
      <a:lightRig rig="threePt" dir="t"/>
    </dgm:scene3d>
    <dgm:sp3d/>
    <dgm:txPr/>
    <dgm:style>
      <a:lnRef idx="1">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NoLn">
    <dgm:scene3d>
      <a:camera prst="orthographicFront"/>
      <a:lightRig rig="threePt" dir="t"/>
    </dgm:scene3d>
    <dgm:sp3d/>
    <dgm:txPr/>
    <dgm:style>
      <a:lnRef idx="1">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NoLn">
    <dgm:scene3d>
      <a:camera prst="orthographicFront"/>
      <a:lightRig rig="threePt" dir="t"/>
    </dgm:scene3d>
    <dgm:sp3d/>
    <dgm:txPr/>
    <dgm:style>
      <a:lnRef idx="1">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Lbl name="revTxLt">
    <dgm:scene3d>
      <a:camera prst="orthographicFront"/>
      <a:lightRig rig="threePt" dir="t"/>
    </dgm:scene3d>
    <dgm:sp3d/>
    <dgm:txPr/>
    <dgm:style>
      <a:lnRef idx="0">
        <a:scrgbClr r="0" g="0" b="0"/>
      </a:lnRef>
      <a:fillRef idx="0">
        <a:scrgbClr r="0" g="0" b="0"/>
      </a:fillRef>
      <a:effectRef idx="0">
        <a:scrgbClr r="0" g="0" b="0"/>
      </a:effectRef>
      <a:fontRef idx="minor">
        <a:schemeClr val="lt1"/>
      </a:fontRef>
    </dgm:style>
  </dgm:styleLbl>
</dgm:styleDef>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73</TotalTime>
  <Pages>3</Pages>
  <Words>578</Words>
  <Characters>3183</Characters>
  <Application>Microsoft Office Word</Application>
  <DocSecurity>0</DocSecurity>
  <Lines>26</Lines>
  <Paragraphs>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3754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Alison Fernanda Puentes Avendaño</dc:creator>
  <cp:keywords/>
  <dc:description/>
  <cp:lastModifiedBy>Alison Fernanda Puentes Avendaño</cp:lastModifiedBy>
  <cp:revision>2</cp:revision>
  <dcterms:created xsi:type="dcterms:W3CDTF">2026-09-02T18:15:00Z</dcterms:created>
  <dcterms:modified xsi:type="dcterms:W3CDTF">2026-09-02T22:40:00Z</dcterms:modified>
</cp:coreProperties>
</file>