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ILAIOS Master Implementation Specification</w:t>
      </w:r>
    </w:p>
    <w:p>
      <w:pPr>
        <w:jc w:val="center"/>
      </w:pPr>
      <w:r>
        <w:rPr>
          <w:rFonts w:ascii="Aptos" w:hAnsi="Aptos"/>
          <w:b/>
          <w:sz w:val="22"/>
        </w:rPr>
        <w:t>Version 1.0 | 8 August 2026 | CANONICAL EXECUTION ORDER</w:t>
      </w:r>
    </w:p>
    <w:p>
      <w:pPr>
        <w:pStyle w:val="Heading1"/>
      </w:pPr>
      <w:r>
        <w:t>1. PURPOSE AND AUTHORITY</w:t>
      </w:r>
    </w:p>
    <w:p>
      <w:r>
        <w:t>This specification is the single authoritative implementation-order specification for ILAIOS. It defines the canonical dependency graph, milestone gates, execution namespaces, promotion rules, and the relationship between human-readable planning material and machine-executable milestone manifests.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Supersession: </w:t>
      </w:r>
      <w:r>
        <w:rPr>
          <w:rFonts w:ascii="Aptos" w:hAnsi="Aptos"/>
          <w:sz w:val="21"/>
        </w:rPr>
        <w:t>Supersedes all prior implementation-order, project-flow, milestone-order, and execution-sequence documents. ILAIOS_Master_Implementation_Specification_v1_0_CANONICAL_FINAL.docx and its governed change-control process are authoritative for this implementation specification.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Authority hierarchy: </w:t>
      </w:r>
      <w:r>
        <w:rPr>
          <w:rFonts w:ascii="Aptos" w:hAnsi="Aptos"/>
          <w:sz w:val="21"/>
        </w:rPr>
        <w:t>ILAIOS_Master_Implementation_Specification_v1_0_CANONICAL_FINAL.docx defines the binding implementation and promotion order. ILAIOS_Canonical_Milestone_Manifest_v1_0.docx defines the exact machine-executable dependencies, scope, validations, evidence requirements, and stop conditions.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Implementation-state truth: </w:t>
      </w:r>
      <w:r>
        <w:rPr>
          <w:rFonts w:ascii="Aptos" w:hAnsi="Aptos"/>
          <w:sz w:val="21"/>
        </w:rPr>
        <w:t>Repository state, tests, static checks, CI results, and evidence bundles determine actual completion status. Documentation cannot promote a capability beyond its proven state.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External tooling independence: </w:t>
      </w:r>
      <w:r>
        <w:rPr>
          <w:rFonts w:ascii="Aptos" w:hAnsi="Aptos"/>
          <w:sz w:val="21"/>
        </w:rPr>
        <w:t>External development orchestrators, including OpenClaw when used, are non-product tooling. No released ILAIOS runtime component may depend on them. They may be removed after implementation without affecting platform operation.</w:t>
      </w:r>
    </w:p>
    <w:p>
      <w:pPr>
        <w:pStyle w:val="Heading1"/>
      </w:pPr>
      <w:r>
        <w:t>2. LOCKED DECISIONS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Identity: </w:t>
      </w:r>
      <w:r>
        <w:rPr>
          <w:rFonts w:ascii="Aptos" w:hAnsi="Aptos"/>
          <w:sz w:val="21"/>
        </w:rPr>
        <w:t>ILAIOS is the master commercial brand and extensible platform. Hermes is historical implementation lineage/provenance only.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Evolution strategy: </w:t>
      </w:r>
      <w:r>
        <w:rPr>
          <w:rFonts w:ascii="Aptos" w:hAnsi="Aptos"/>
          <w:sz w:val="21"/>
        </w:rPr>
        <w:t>Evolve the proven repository into ILAIOS; do not rebuild accepted code paths from scratch without evidence-backed cause.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Client stack: </w:t>
      </w:r>
      <w:r>
        <w:rPr>
          <w:rFonts w:ascii="Aptos" w:hAnsi="Aptos"/>
          <w:sz w:val="21"/>
        </w:rPr>
        <w:t>Flutter/Dart shared client family is locked. Windows Desktop is the initial first-class v1 client target. Mobile enablement/signing/store release remains post-v1 unless governed otherwise.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Authority: </w:t>
      </w:r>
      <w:r>
        <w:rPr>
          <w:rFonts w:ascii="Aptos" w:hAnsi="Aptos"/>
          <w:sz w:val="21"/>
        </w:rPr>
        <w:t>Canonical implementation authority resides in ILAIOS_Master_Implementation_Specification_v1_0_CANONICAL_FINAL.docx, with machine-execution constraints defined by ILAIOS_Canonical_Milestone_Manifest_v1_0.docx. Runtime state, authorization, security-policy enforcement, workflow truth, execution grants, and product-runtime authority reside in the backend/control-plane. Clients are non-authoritative command/query/event projections only.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Agent autonomy: </w:t>
      </w:r>
      <w:r>
        <w:rPr>
          <w:rFonts w:ascii="Aptos" w:hAnsi="Aptos"/>
          <w:sz w:val="21"/>
        </w:rPr>
        <w:t>LLM/model invocation is a capability, not the default execution path. Deterministic execution MUST be used whenever an acceptable deterministic implementation exists. Model output is never execution authority.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Verification: </w:t>
      </w:r>
      <w:r>
        <w:rPr>
          <w:rFonts w:ascii="Aptos" w:hAnsi="Aptos"/>
          <w:sz w:val="21"/>
        </w:rPr>
        <w:t>A generator cannot self-verify material work where independent verification is required. Verification strength is risk-driven V0-V4.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Release separation: </w:t>
      </w:r>
      <w:r>
        <w:rPr>
          <w:rFonts w:ascii="Aptos" w:hAnsi="Aptos"/>
          <w:sz w:val="21"/>
        </w:rPr>
        <w:t>CapabilityMaturity and ReleaseState are independent. VERIFIED does not imply PRODUCTION.</w:t>
      </w:r>
    </w:p>
    <w:p>
      <w:pPr>
        <w:pStyle w:val="Heading1"/>
      </w:pPr>
      <w:r>
        <w:t>3. CANONICAL NAMESPACE</w:t>
      </w:r>
    </w:p>
    <w:p>
      <w:r>
        <w:t>Every implementation package MUST use a canonical &lt;namespace&gt;.&lt;milestone_id&gt; identifier. Human-readable aliases and legacy Mxx/Axx labels are traceability metadata only and MUST NOT be used as machine execution identity.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Preparation &amp; Baseline: </w:t>
      </w:r>
      <w:r>
        <w:rPr>
          <w:rFonts w:ascii="Aptos" w:hAnsi="Aptos"/>
          <w:sz w:val="21"/>
        </w:rPr>
        <w:t>PRE.S00 (Read-Only Repository Snapshot), PRE.S01 (Video Final Deterministic Acceptance).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Video Automation: </w:t>
      </w:r>
      <w:r>
        <w:rPr>
          <w:rFonts w:ascii="Aptos" w:hAnsi="Aptos"/>
          <w:sz w:val="21"/>
        </w:rPr>
        <w:t>VIDEO.V01 through VIDEO.V30.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Platform Implementation: </w:t>
      </w:r>
      <w:r>
        <w:rPr>
          <w:rFonts w:ascii="Aptos" w:hAnsi="Aptos"/>
          <w:sz w:val="21"/>
        </w:rPr>
        <w:t>PLATFORM.P00 through PLATFORM.P20.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Release &amp; Promotion: </w:t>
      </w:r>
      <w:r>
        <w:rPr>
          <w:rFonts w:ascii="Aptos" w:hAnsi="Aptos"/>
          <w:sz w:val="21"/>
        </w:rPr>
        <w:t>RELEASE.R00 (Promotion Eligibility / NOT_DEPLOYED), RELEASE.R01 (CANARY), RELEASE.R02 (LIMITED), RELEASE.R03 (PRODUCTION).</w:t>
      </w:r>
    </w:p>
    <w:p>
      <w:pPr>
        <w:pStyle w:val="Heading1"/>
      </w:pPr>
      <w:r>
        <w:t>4. CANONICAL EXECUTION GRAPH &amp; DEPENDENCY FLOW</w:t>
      </w:r>
    </w:p>
    <w:p>
      <w:r>
        <w:t>The graph defines mandatory dependency and promotion order, not unconditional serial execution. Parallel execution is permitted only where explicitly declared by the machine-readable dependency manifest. No dependent milestone may be promoted until every required predecessor exit gate has passed.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milestone_id: PLATFORM.P05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dependencies: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- PLATFORM.P03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- PLATFORM.P04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PRE.S00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VIDEO.V01 -&gt; ... -&gt; VIDEO.V30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PRE.S01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PLATFORM.P00 -&gt; PLATFORM.P01 -&gt; PLATFORM.P02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                                |\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                                | +-&gt; PLATFORM.P03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                                +---&gt; PLATFORM.P04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                                         |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                           P03 + P04 ----+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                                         v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                                    PLATFORM.P05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                                         |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                                         v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P06 -&gt; P07 -&gt; P08 -&gt; P09 -&gt; P10 -&gt; P11 -&gt; P12 -&gt; P13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-&gt; P14 -&gt; P15 -&gt; P16 -&gt; P17 -&gt; P18 -&gt; P19 -&gt; P20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-&gt; RELEASE.R00 -&gt; RELEASE.R01 -&gt; RELEASE.R02 -&gt; RELEASE.R03</w:t>
      </w:r>
    </w:p>
    <w:p>
      <w:pPr>
        <w:pStyle w:val="Heading1"/>
      </w:pPr>
      <w:r>
        <w:t>5. MANDATORY MILESTONE ORDER AND EXIT 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6F2"/>
          </w:tcPr>
          <w:p>
            <w:r>
              <w:t>ID</w:t>
            </w:r>
          </w:p>
        </w:tc>
        <w:tc>
          <w:tcPr>
            <w:tcW w:type="dxa" w:w="3360"/>
            <w:shd w:fill="D9E6F2"/>
          </w:tcPr>
          <w:p>
            <w:r>
              <w:t>Binding Scope</w:t>
            </w:r>
          </w:p>
        </w:tc>
        <w:tc>
          <w:tcPr>
            <w:tcW w:type="dxa" w:w="3360"/>
            <w:shd w:fill="D9E6F2"/>
          </w:tcPr>
          <w:p>
            <w:r>
              <w:t>Exit Intent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PRE.S00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Read-only repository snapshot: HEAD/tree/branch/worktree/origin/test/toolchain/CI/identifier/evidence inventory.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Reproducible pre-mutation snapshot.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VIDEO.V01-V30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Complete existing Video Automation chain with bounded changes and deterministic validation. No rename/platform refactor.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video milestones accepted; repository clean/synchronized.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PRE.S01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Final deterministic video acceptance plus provider/publish reconciliation and evidence closure.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Migration-ready video baseline.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Immutable migration baseline, evidence bundle, rollback reference, capability snapshot.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Baseline reproducible; no stale-memory claims.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Inventory-driven HermesEnterpriseOS -&gt; ilaios identity migration; preserve history/provenance.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Tests/CI pass; no identity-migration breakage.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Monorepo logical boundaries, toolchain, dependency-direction rules, ADR foundation.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Clean bootstrap and fitness checks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Flutter Windows Desktop shell; non-authoritative projections only.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Reliable launch; no fake authoritative state.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Versioned canonical schemas/contracts and compatibility tests.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No competing lifecycle/state semantics.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Authenticated local Command/Query APIs, durable state, registry/event/config boundaries.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Real persistent goal/job through control plane.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GoalSpec, acceptance criteria, risk/data classification, budget envelope, bounded DAG proposal.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Deterministic inspectable proposal; no privileged execution.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Durable workflow, task/attempt, checkpoints, retry/timeout, outbox/inbox, reconciliation/compensation.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Crash/restart and duplicate-event recovery proven.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Sequenced/replayable/reconnectable DLP-safe event/live-state transport.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Authoritative state survives reconnect/reorder.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P09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Agent/Skill/Provider Runtime, routing, supply-chain validation, deterministic-first enforcement.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No authority expansion; routing evidence; unapproved skills blocked.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Worker profiles, leases, heartbeats, fencing, quotas, scheduling, safe rescheduling.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Split-brain/lease-loss cannot cause uncontrolled side effects.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Policy, scoped ExecutionGrants, blast-radius budgets, revocation, kill switches.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Invalid grants fail closed; stopped work cannot auto-resume.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Artifact store plus append-only/tamper-evident evidence/provenance.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Evidence independently proves execution.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Secrets/KMS, DLP, durable HITL, metering, ledger, Pricing Registry, credit reservation, hard caps, reconciliation.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High-risk/billable work cannot bypass security/approval/financial gates.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Adapter-driven migration of proven video chain into ILAIOS contracts; grants/evidence/FinOps/publish integration.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Baseline quality plus cost/latency/QA/publish evidence.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Real governed Video goal from Windows Desktop with real DAG/workers/approvals/cost/evidence/delivery.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First complete product proof passes AcceptanceManifest.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Web Control Center on same authoritative contracts/events.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Desktop/Web semantic parity; no bypass.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Web Factory produces ILAIOS official website through governed golden workflow.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Machine-readable golden acceptance passes.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Isolated Software Factory and bounded controlled self-change.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No autonomous direct production mutation.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P19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Cloud/multi-tenant/regional/dedicated/private/HA/quotas/billing/abuse hardening.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Isolation/residency/profile acceptance passes.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P20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Security/red-team, chaos/outage, DR/restore, load, compromise/revocation, supply-chain, rollback drills.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Evidence-backed promotion eligibility only.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R00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Independent promotion eligibility check; feature flags/allowlists/health/rollback prerequisites.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Eligible but NOT_DEPLOYED.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CANARY bounded exposure.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Canary evidence passes.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R02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LIMITED promotion only after R01.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Limited evidence passes.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R03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PRODUCTION only after R02; continued monitoring and post-delivery verification.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Controlled, traceable, reversible production state.</w:t>
            </w:r>
          </w:p>
        </w:tc>
      </w:tr>
    </w:tbl>
    <w:p>
      <w:pPr>
        <w:pStyle w:val="Heading1"/>
      </w:pPr>
      <w:r>
        <w:t>6. REQUIREMENT BINDING &amp; GOVERNANCE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Activation rule: </w:t>
      </w:r>
      <w:r>
        <w:rPr>
          <w:rFonts w:ascii="Aptos" w:hAnsi="Aptos"/>
          <w:sz w:val="21"/>
        </w:rPr>
        <w:t>Requirements bind through explicit owning_phases and binding_phases, not merely by numeric milestone position.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Deterministic-first: </w:t>
      </w:r>
      <w:r>
        <w:rPr>
          <w:rFonts w:ascii="Aptos" w:hAnsi="Aptos"/>
          <w:sz w:val="21"/>
        </w:rPr>
        <w:t>Applies where planning/execution choices occur, including P06/P09 and later applicable execution paths.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Verification V0-V4: </w:t>
      </w:r>
      <w:r>
        <w:rPr>
          <w:rFonts w:ascii="Aptos" w:hAnsi="Aptos"/>
          <w:sz w:val="21"/>
        </w:rPr>
        <w:t>Risk-driven independent verification applies to material work from contract acceptance through production hardening as required.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Policy/grants: </w:t>
      </w:r>
      <w:r>
        <w:rPr>
          <w:rFonts w:ascii="Aptos" w:hAnsi="Aptos"/>
          <w:sz w:val="21"/>
        </w:rPr>
        <w:t>Owned principally by P11 and binding on later applicable side effects.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Secrets/DLP/HITL/FinOps: </w:t>
      </w:r>
      <w:r>
        <w:rPr>
          <w:rFonts w:ascii="Aptos" w:hAnsi="Aptos"/>
          <w:sz w:val="21"/>
        </w:rPr>
        <w:t>Owned principally by P13 and binding on applicable provider egress, high-risk actions, and billable workflows thereafter.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Maturity vs. Release: </w:t>
      </w:r>
      <w:r>
        <w:rPr>
          <w:rFonts w:ascii="Aptos" w:hAnsi="Aptos"/>
          <w:sz w:val="21"/>
        </w:rPr>
        <w:t>Passing Pxx or reaching VERIFIED MUST NOT automatically promote ReleaseState.</w:t>
      </w:r>
    </w:p>
    <w:p>
      <w:pPr>
        <w:pStyle w:val="Heading1"/>
      </w:pPr>
      <w:r>
        <w:t>7. EXTERNAL AUTOMATION PROTOCOL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Package identity: </w:t>
      </w:r>
      <w:r>
        <w:rPr>
          <w:rFonts w:ascii="Aptos" w:hAnsi="Aptos"/>
          <w:sz w:val="21"/>
        </w:rPr>
        <w:t>Automation MUST execute only explicit canonical IDs.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Manifest minimum: </w:t>
      </w:r>
      <w:r>
        <w:rPr>
          <w:rFonts w:ascii="Aptos" w:hAnsi="Aptos"/>
          <w:sz w:val="21"/>
        </w:rPr>
        <w:t>milestone_id, dependencies, allowed_paths, actions/commands, validations, requirement IDs, evidence_requirements, approvals where applicable, rollback, and stop_conditions.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No prose inference: </w:t>
      </w:r>
      <w:r>
        <w:rPr>
          <w:rFonts w:ascii="Aptos" w:hAnsi="Aptos"/>
          <w:sz w:val="21"/>
        </w:rPr>
        <w:t>Missing/conflicting identity, dependency, scope, requirement, or authorization is a STOP condition.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Fail-closed: </w:t>
      </w:r>
      <w:r>
        <w:rPr>
          <w:rFonts w:ascii="Aptos" w:hAnsi="Aptos"/>
          <w:sz w:val="21"/>
        </w:rPr>
        <w:t>Failed/missing dependency, validation, evidence, approval, grant, budget, pricing basis, or allowed scope blocks execution.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Bounded authority: </w:t>
      </w:r>
      <w:r>
        <w:rPr>
          <w:rFonts w:ascii="Aptos" w:hAnsi="Aptos"/>
          <w:sz w:val="21"/>
        </w:rPr>
        <w:t>Automation may apply specified changes and validations but cannot independently change architecture, security boundaries, policy priority, grant semantics, verifier requirements, or release state.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Independence/decommissioning: </w:t>
      </w:r>
      <w:r>
        <w:rPr>
          <w:rFonts w:ascii="Aptos" w:hAnsi="Aptos"/>
          <w:sz w:val="21"/>
        </w:rPr>
        <w:t>Released product/runtime/evidence remain independent of temporary actuators. Temporary tooling may be removed after implementation.</w:t>
      </w:r>
    </w:p>
    <w:p>
      <w:pPr>
        <w:pStyle w:val="Heading1"/>
      </w:pPr>
      <w:r>
        <w:t>8. PARALLELISM, STOP CONDITIONS, AND CHANGE CONTROL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Declared parallelism: </w:t>
      </w:r>
      <w:r>
        <w:rPr>
          <w:rFonts w:ascii="Aptos" w:hAnsi="Aptos"/>
          <w:sz w:val="21"/>
        </w:rPr>
        <w:t>P03 and P04 may run in parallel after P02; P05 requires both PASS.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UI rule: </w:t>
      </w:r>
      <w:r>
        <w:rPr>
          <w:rFonts w:ascii="Aptos" w:hAnsi="Aptos"/>
          <w:sz w:val="21"/>
        </w:rPr>
        <w:t>UI/design may proceed ahead only as non-authoritative projection work.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Evidence conflict: </w:t>
      </w:r>
      <w:r>
        <w:rPr>
          <w:rFonts w:ascii="Aptos" w:hAnsi="Aptos"/>
          <w:sz w:val="21"/>
        </w:rPr>
        <w:t>If repository/runtime evidence conflicts with documentation, the lower proven lifecycle state wins.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Rename rollback: </w:t>
      </w:r>
      <w:r>
        <w:rPr>
          <w:rFonts w:ascii="Aptos" w:hAnsi="Aptos"/>
          <w:sz w:val="21"/>
        </w:rPr>
        <w:t>If a bounded rename step breaks accepted behavior, revert that step rather than destabilizing the baseline.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Canonical amendment: </w:t>
      </w:r>
      <w:r>
        <w:rPr>
          <w:rFonts w:ascii="Aptos" w:hAnsi="Aptos"/>
          <w:sz w:val="21"/>
        </w:rPr>
        <w:t>Changes to binding architectural or execution constraints require a governed revision of ILAIOS_Master_Implementation_Specification_v1_0_CANONICAL_FINAL.docx; execution tooling cannot silently redefine those constraints.</w:t>
      </w:r>
    </w:p>
    <w:p>
      <w:pPr>
        <w:pStyle w:val="Heading1"/>
      </w:pPr>
      <w:r>
        <w:t>9. CANONICAL START POINT</w:t>
      </w:r>
    </w:p>
    <w:p>
      <w:r>
        <w:rPr>
          <w:rFonts w:ascii="Aptos" w:hAnsi="Aptos"/>
          <w:b/>
          <w:sz w:val="22"/>
        </w:rPr>
        <w:t>NEXT EXECUTABLE PACKAGE: PRE.S00 - READ-ONLY REPOSITORY SNAPSHOT.</w:t>
      </w:r>
    </w:p>
    <w:p>
      <w:r>
        <w:t>No repository rename, broad platform refactor, or platform promotion begins before PRE.S00, VIDEO.V01-V30 completion, and PRE.S01 final acceptance pass. PLATFORM.P00 then freezes the accepted migration baseline; PLATFORM.P01 performs controlled identity migration.</w:t>
      </w:r>
    </w:p>
    <w:p>
      <w:pPr>
        <w:pStyle w:val="Heading1"/>
      </w:pPr>
      <w:r>
        <w:t>10. FREEZE STATUS</w:t>
      </w:r>
    </w:p>
    <w:p>
      <w:r>
        <w:t>CANONICAL v1.0 - FROZEN FOR EXECUTION. Prior implementation-order/project-flow documents remain provenance/reference material only and are non-authoritative for execution order.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Version 1.0 | 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sz w:val="16"/>
      </w:rPr>
      <w:t>ILAIOS | CANONICAL ENGINEERING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