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a1a5e"/>
          <w:sz w:val="44"/>
          <w:szCs w:val="44"/>
        </w:rPr>
        <w:t xml:space="preserve">TurboCD: Cooperative Displacement Caching for</w:t>
      </w:r>
    </w:p>
    <w:p>
      <w:pPr>
        <w:spacing w:before="0" w:after="160"/>
        <w:jc w:val="center"/>
      </w:pPr>
      <w:r>
        <w:rPr>
          <w:rFonts w:ascii="Arial" w:cs="Arial" w:eastAsia="Arial" w:hAnsi="Arial"/>
          <w:b/>
          <w:bCs/>
          <w:color w:val="1a1a5e"/>
          <w:sz w:val="44"/>
          <w:szCs w:val="44"/>
        </w:rPr>
        <w:t xml:space="preserve">Transformer KV Caches via Adaptive Priority Scheduling</w:t>
      </w:r>
    </w:p>
    <w:p>
      <w:pPr>
        <w:spacing w:before="80" w:after="40"/>
        <w:jc w:val="center"/>
      </w:pPr>
      <w:r>
        <w:rPr>
          <w:rFonts w:ascii="Arial" w:cs="Arial" w:eastAsia="Arial" w:hAnsi="Arial"/>
          <w:b/>
          <w:bCs/>
          <w:color w:val="2c3e7a"/>
          <w:sz w:val="26"/>
          <w:szCs w:val="26"/>
        </w:rPr>
        <w:t xml:space="preserve">Aliwey</w:t>
      </w:r>
    </w:p>
    <w:p>
      <w:pPr>
        <w:spacing w:before="0" w:after="40"/>
        <w:jc w:val="center"/>
      </w:pPr>
      <w:r>
        <w:rPr>
          <w:rFonts w:ascii="Arial" w:cs="Arial" w:eastAsia="Arial" w:hAnsi="Arial"/>
          <w:i/>
          <w:iCs/>
          <w:color w:val="555555"/>
          <w:sz w:val="20"/>
          <w:szCs w:val="20"/>
        </w:rPr>
        <w:t xml:space="preserve">Independent Researcher</w:t>
      </w:r>
    </w:p>
    <w:p>
      <w:pPr>
        <w:spacing w:before="0" w:after="40"/>
        <w:jc w:val="center"/>
      </w:pPr>
      <w:r>
        <w:rPr>
          <w:rFonts w:ascii="Arial" w:cs="Arial" w:eastAsia="Arial" w:hAnsi="Arial"/>
          <w:color w:val="888888"/>
          <w:sz w:val="18"/>
          <w:szCs w:val="18"/>
        </w:rPr>
        <w:t xml:space="preserve">Submitted: 29 March 2026  |  Timestamp: 07:12:57 UTC+3</w:t>
      </w:r>
    </w:p>
    <w:p>
      <w:pPr>
        <w:pBdr>
          <w:bottom w:val="single" w:color="2c3e7a" w:sz="4" w:space="1"/>
        </w:pBdr>
        <w:spacing w:before="120" w:after="120"/>
      </w:pPr>
      <w:r>
        <w:t xml:space="preserve"/>
      </w:r>
    </w:p>
    <w:p>
      <w:pPr>
        <w:pStyle w:val="Heading2"/>
        <w:spacing w:before="220" w:after="100"/>
      </w:pPr>
      <w:r>
        <w:rPr>
          <w:rFonts w:ascii="Arial" w:cs="Arial" w:eastAsia="Arial" w:hAnsi="Arial"/>
          <w:b/>
          <w:bCs/>
          <w:color w:val="2c3e7a"/>
          <w:sz w:val="26"/>
          <w:szCs w:val="26"/>
        </w:rPr>
        <w:t xml:space="preserve">Abstract</w:t>
      </w:r>
    </w:p>
    <w:p>
      <w:pPr>
        <w:spacing w:before="60" w:after="100"/>
        <w:jc w:val="both"/>
      </w:pPr>
      <w:r>
        <w:rPr>
          <w:rFonts w:ascii="Arial" w:cs="Arial" w:eastAsia="Arial" w:hAnsi="Arial"/>
          <w:b w:val="false"/>
          <w:bCs w:val="false"/>
          <w:i w:val="false"/>
          <w:iCs w:val="false"/>
          <w:color w:val="000000"/>
          <w:sz w:val="22"/>
          <w:szCs w:val="22"/>
        </w:rPr>
        <w:t xml:space="preserve">We present TurboCD, a novel KV-cache management framework for large language models that combines three complementary mechanisms: (1) Cooperative Displacement (CD-KV), a priority-driven eviction policy inspired by cooperative scheduling in which cache entries voluntarily yield their positions based on a multi-factor priority function; (2) accumulation-weighted importance scoring from H2O; and (3) hardware-aware compression from TurboQuant (6x) and NVIDIA KVTC (20x). Our simulation study demonstrates that TurboCD achieves a cache hit rate of 83.7% with zero important token evictions, compared to 65.7% (H2O) and 69.4% (LRU), while simultaneously reducing effective VRAM consumption by 6-20x. The core insight is that token displacement—rather than deletion—preserves semantic continuity during inference. Additionally, we extend the CD-KV principle to embedding layers, showing a 64.1% reduction in FLOPS with cosine similarity retention of approximately 0.60. TurboCD is architecture-agnostic and applicable to any attention-based model.</w:t>
      </w:r>
    </w:p>
    <w:p>
      <w:pPr>
        <w:pBdr>
          <w:bottom w:val="single" w:color="2c3e7a" w:sz="4" w:space="1"/>
        </w:pBdr>
        <w:spacing w:before="120" w:after="120"/>
      </w:pPr>
      <w:r>
        <w:t xml:space="preserve"/>
      </w:r>
    </w:p>
    <w:p>
      <w:pPr>
        <w:pStyle w:val="Heading1"/>
        <w:spacing w:before="320" w:after="160"/>
      </w:pPr>
      <w:r>
        <w:rPr>
          <w:rFonts w:ascii="Arial" w:cs="Arial" w:eastAsia="Arial" w:hAnsi="Arial"/>
          <w:b/>
          <w:bCs/>
          <w:color w:val="1a1a5e"/>
          <w:sz w:val="32"/>
          <w:szCs w:val="32"/>
        </w:rPr>
        <w:t xml:space="preserve">1. Introduction</w:t>
      </w:r>
    </w:p>
    <w:p>
      <w:pPr>
        <w:spacing w:before="60" w:after="100"/>
        <w:jc w:val="both"/>
      </w:pPr>
      <w:r>
        <w:rPr>
          <w:rFonts w:ascii="Arial" w:cs="Arial" w:eastAsia="Arial" w:hAnsi="Arial"/>
          <w:b w:val="false"/>
          <w:bCs w:val="false"/>
          <w:i w:val="false"/>
          <w:iCs w:val="false"/>
          <w:color w:val="000000"/>
          <w:sz w:val="22"/>
          <w:szCs w:val="22"/>
        </w:rPr>
        <w:t xml:space="preserve">The quadratic complexity of self-attention in transformer architectures poses a fundamental scalability challenge. As context windows extend to hundreds of thousands of tokens, the KV cache—which stores intermediate key and value representations to avoid recomputation—becomes the dominant memory bottleneck during inference. Existing mitigation strategies fall into three categories: eviction-based methods such as H2O (Zhang et al., 2023) and StreamingLLM (Xiao et al., 2023), compression-based methods such as TurboQuant (Google Research, 2026) and NVIDIA KVTC (2026), and sparse attention methods that approximate the full attention matrix.</w:t>
      </w:r>
    </w:p>
    <w:p>
      <w:pPr>
        <w:spacing w:before="60" w:after="100"/>
        <w:jc w:val="both"/>
      </w:pPr>
      <w:r>
        <w:rPr>
          <w:rFonts w:ascii="Arial" w:cs="Arial" w:eastAsia="Arial" w:hAnsi="Arial"/>
          <w:b w:val="false"/>
          <w:bCs w:val="false"/>
          <w:i w:val="false"/>
          <w:iCs w:val="false"/>
          <w:color w:val="000000"/>
          <w:sz w:val="22"/>
          <w:szCs w:val="22"/>
        </w:rPr>
        <w:t xml:space="preserve">Each approach targets a single axis of the problem. Eviction methods reduce occupancy but risk permanently discarding semantically important tokens. Compression methods reduce per-token footprint but do not address which tokens to retain. Sparse attention reduces computation but does not address memory.</w:t>
      </w:r>
    </w:p>
    <w:p>
      <w:pPr>
        <w:spacing w:before="60" w:after="100"/>
        <w:jc w:val="both"/>
      </w:pPr>
      <w:r>
        <w:rPr>
          <w:rFonts w:ascii="Arial" w:cs="Arial" w:eastAsia="Arial" w:hAnsi="Arial"/>
          <w:b w:val="false"/>
          <w:bCs w:val="false"/>
          <w:i w:val="false"/>
          <w:iCs w:val="false"/>
          <w:color w:val="000000"/>
          <w:sz w:val="22"/>
          <w:szCs w:val="22"/>
        </w:rPr>
        <w:t xml:space="preserve">We propose TurboCD, which coordinates all three axes through a unified cooperative displacement framework. The central metaphor—and the conceptual origin of this work—is the behavior of passengers in Iraqi minibuses (kia), where riders cooperatively shift positions to allow others to exit, returning to optimal seats afterward, or remaining in better positions if available. This cooperative, non-preemptive relocation maps precisely onto cache management: rather than evicting tokens permanently, TurboCD implements a graduated displacement policy guided by a multi-factor priority function.</w:t>
      </w:r>
    </w:p>
    <w:p>
      <w:pPr>
        <w:pStyle w:val="Heading1"/>
        <w:spacing w:before="320" w:after="160"/>
      </w:pPr>
      <w:r>
        <w:rPr>
          <w:rFonts w:ascii="Arial" w:cs="Arial" w:eastAsia="Arial" w:hAnsi="Arial"/>
          <w:b/>
          <w:bCs/>
          <w:color w:val="1a1a5e"/>
          <w:sz w:val="32"/>
          <w:szCs w:val="32"/>
        </w:rPr>
        <w:t xml:space="preserve">2. Background and Related Work</w:t>
      </w:r>
    </w:p>
    <w:p>
      <w:pPr>
        <w:pStyle w:val="Heading2"/>
        <w:spacing w:before="220" w:after="100"/>
      </w:pPr>
      <w:r>
        <w:rPr>
          <w:rFonts w:ascii="Arial" w:cs="Arial" w:eastAsia="Arial" w:hAnsi="Arial"/>
          <w:b/>
          <w:bCs/>
          <w:color w:val="2c3e7a"/>
          <w:sz w:val="26"/>
          <w:szCs w:val="26"/>
        </w:rPr>
        <w:t xml:space="preserve">2.1 KV Cache Management</w:t>
      </w:r>
    </w:p>
    <w:p>
      <w:pPr>
        <w:spacing w:before="60" w:after="100"/>
        <w:jc w:val="both"/>
      </w:pPr>
      <w:r>
        <w:rPr>
          <w:rFonts w:ascii="Arial" w:cs="Arial" w:eastAsia="Arial" w:hAnsi="Arial"/>
          <w:b w:val="false"/>
          <w:bCs w:val="false"/>
          <w:i w:val="false"/>
          <w:iCs w:val="false"/>
          <w:color w:val="000000"/>
          <w:sz w:val="22"/>
          <w:szCs w:val="22"/>
        </w:rPr>
        <w:t xml:space="preserve">Standard transformer inference caches K and V matrices for all past tokens. For a model with L layers, H attention heads, and a context of n tokens, the cache occupies O(2LHnd) memory in full precision, where d is the head dimension. At n = 128K tokens this becomes intractable on consumer hardware.</w:t>
      </w:r>
    </w:p>
    <w:p>
      <w:pPr>
        <w:pStyle w:val="Heading2"/>
        <w:spacing w:before="220" w:after="100"/>
      </w:pPr>
      <w:r>
        <w:rPr>
          <w:rFonts w:ascii="Arial" w:cs="Arial" w:eastAsia="Arial" w:hAnsi="Arial"/>
          <w:b/>
          <w:bCs/>
          <w:color w:val="2c3e7a"/>
          <w:sz w:val="26"/>
          <w:szCs w:val="26"/>
        </w:rPr>
        <w:t xml:space="preserve">2.2 H2O — Heavy Hitter Oracle</w:t>
      </w:r>
    </w:p>
    <w:p>
      <w:pPr>
        <w:spacing w:before="60" w:after="100"/>
        <w:jc w:val="both"/>
      </w:pPr>
      <w:r>
        <w:rPr>
          <w:rFonts w:ascii="Arial" w:cs="Arial" w:eastAsia="Arial" w:hAnsi="Arial"/>
          <w:b w:val="false"/>
          <w:bCs w:val="false"/>
          <w:i w:val="false"/>
          <w:iCs w:val="false"/>
          <w:color w:val="000000"/>
          <w:sz w:val="22"/>
          <w:szCs w:val="22"/>
        </w:rPr>
        <w:t xml:space="preserve">H2O (Zhang et al., 2023) maintains a running sum of per-token attention scores across decoding steps. Tokens with the lowest accumulated attention—termed non-heavy-hitters—are evicted. H2O achieves zero important evictions in our study but does not address per-token memory footprint.</w:t>
      </w:r>
    </w:p>
    <w:p>
      <w:pPr>
        <w:pStyle w:val="Heading2"/>
        <w:spacing w:before="220" w:after="100"/>
      </w:pPr>
      <w:r>
        <w:rPr>
          <w:rFonts w:ascii="Arial" w:cs="Arial" w:eastAsia="Arial" w:hAnsi="Arial"/>
          <w:b/>
          <w:bCs/>
          <w:color w:val="2c3e7a"/>
          <w:sz w:val="26"/>
          <w:szCs w:val="26"/>
        </w:rPr>
        <w:t xml:space="preserve">2.3 TurboQuant</w:t>
      </w:r>
    </w:p>
    <w:p>
      <w:pPr>
        <w:spacing w:before="60" w:after="100"/>
        <w:jc w:val="both"/>
      </w:pPr>
      <w:r>
        <w:rPr>
          <w:rFonts w:ascii="Arial" w:cs="Arial" w:eastAsia="Arial" w:hAnsi="Arial"/>
          <w:b w:val="false"/>
          <w:bCs w:val="false"/>
          <w:i w:val="false"/>
          <w:iCs w:val="false"/>
          <w:color w:val="000000"/>
          <w:sz w:val="22"/>
          <w:szCs w:val="22"/>
        </w:rPr>
        <w:t xml:space="preserve">TurboQuant (Google Research, 2026) applies a two-stage quantization pipeline: PolarQuant, which finds the MSE-optimal (b-1)-bit code, followed by QJL (Quantized Johnson-Lindenstrauss), which corrects residual error using a single sign bit projected through a Gaussian matrix. The combination achieves 6x compression of KV cache entries with provably unbiased attention estimation.</w:t>
      </w:r>
    </w:p>
    <w:p>
      <w:pPr>
        <w:pStyle w:val="Heading2"/>
        <w:spacing w:before="220" w:after="100"/>
      </w:pPr>
      <w:r>
        <w:rPr>
          <w:rFonts w:ascii="Arial" w:cs="Arial" w:eastAsia="Arial" w:hAnsi="Arial"/>
          <w:b/>
          <w:bCs/>
          <w:color w:val="2c3e7a"/>
          <w:sz w:val="26"/>
          <w:szCs w:val="26"/>
        </w:rPr>
        <w:t xml:space="preserve">2.4 NVIDIA KVTC</w:t>
      </w:r>
    </w:p>
    <w:p>
      <w:pPr>
        <w:spacing w:before="60" w:after="100"/>
        <w:jc w:val="both"/>
      </w:pPr>
      <w:r>
        <w:rPr>
          <w:rFonts w:ascii="Arial" w:cs="Arial" w:eastAsia="Arial" w:hAnsi="Arial"/>
          <w:b w:val="false"/>
          <w:bCs w:val="false"/>
          <w:i w:val="false"/>
          <w:iCs w:val="false"/>
          <w:color w:val="000000"/>
          <w:sz w:val="22"/>
          <w:szCs w:val="22"/>
        </w:rPr>
        <w:t xml:space="preserve">KVTC (NVIDIA, ICLR 2026) achieves 20x KV cache compression with fewer than 1% accuracy degradation through a learned tensor decomposition scheme, enabling effective cache capacities an order of magnitude larger than the physical VRAM budget.</w:t>
      </w:r>
    </w:p>
    <w:p>
      <w:pPr>
        <w:pStyle w:val="Heading1"/>
        <w:spacing w:before="320" w:after="160"/>
      </w:pPr>
      <w:r>
        <w:rPr>
          <w:rFonts w:ascii="Arial" w:cs="Arial" w:eastAsia="Arial" w:hAnsi="Arial"/>
          <w:b/>
          <w:bCs/>
          <w:color w:val="1a1a5e"/>
          <w:sz w:val="32"/>
          <w:szCs w:val="32"/>
        </w:rPr>
        <w:t xml:space="preserve">3. Method: TurboCD</w:t>
      </w:r>
    </w:p>
    <w:p>
      <w:pPr>
        <w:pStyle w:val="Heading2"/>
        <w:spacing w:before="220" w:after="100"/>
      </w:pPr>
      <w:r>
        <w:rPr>
          <w:rFonts w:ascii="Arial" w:cs="Arial" w:eastAsia="Arial" w:hAnsi="Arial"/>
          <w:b/>
          <w:bCs/>
          <w:color w:val="2c3e7a"/>
          <w:sz w:val="26"/>
          <w:szCs w:val="26"/>
        </w:rPr>
        <w:t xml:space="preserve">3.1 Priority Function</w:t>
      </w:r>
    </w:p>
    <w:p>
      <w:pPr>
        <w:spacing w:before="60" w:after="100"/>
        <w:jc w:val="both"/>
      </w:pPr>
      <w:r>
        <w:rPr>
          <w:rFonts w:ascii="Arial" w:cs="Arial" w:eastAsia="Arial" w:hAnsi="Arial"/>
          <w:b w:val="false"/>
          <w:bCs w:val="false"/>
          <w:i w:val="false"/>
          <w:iCs w:val="false"/>
          <w:color w:val="000000"/>
          <w:sz w:val="22"/>
          <w:szCs w:val="22"/>
        </w:rPr>
        <w:t xml:space="preserve">For a cached token t, define the multi-factor priority:</w:t>
      </w:r>
    </w:p>
    <w:p>
      <w:pPr>
        <w:spacing w:before="60" w:after="60"/>
        <w:ind w:left="720"/>
      </w:pPr>
      <w:r>
        <w:rPr>
          <w:rFonts w:ascii="Courier New" w:cs="Courier New" w:eastAsia="Courier New" w:hAnsi="Courier New"/>
          <w:color w:val="1a3a1a"/>
          <w:sz w:val="18"/>
          <w:szCs w:val="18"/>
        </w:rPr>
        <w:t xml:space="preserve">π(t) = α · A_accum(t) + β · (1 / age(t)) + γ · recency(t)</w:t>
      </w:r>
    </w:p>
    <w:p>
      <w:pPr>
        <w:spacing w:before="60" w:after="100"/>
        <w:jc w:val="both"/>
      </w:pPr>
      <w:r>
        <w:rPr>
          <w:rFonts w:ascii="Arial" w:cs="Arial" w:eastAsia="Arial" w:hAnsi="Arial"/>
          <w:b w:val="false"/>
          <w:bCs w:val="false"/>
          <w:i w:val="false"/>
          <w:iCs w:val="false"/>
          <w:color w:val="000000"/>
          <w:sz w:val="22"/>
          <w:szCs w:val="22"/>
        </w:rPr>
        <w:t xml:space="preserve">where:</w:t>
      </w:r>
    </w:p>
    <w:p>
      <w:pPr>
        <w:pStyle w:val="ListParagraph"/>
        <w:numPr>
          <w:ilvl w:val="0"/>
          <w:numId w:val="2"/>
        </w:numPr>
        <w:spacing w:before="40" w:after="40"/>
      </w:pPr>
      <w:r>
        <w:rPr>
          <w:rFonts w:ascii="Arial" w:cs="Arial" w:eastAsia="Arial" w:hAnsi="Arial"/>
          <w:sz w:val="22"/>
          <w:szCs w:val="22"/>
        </w:rPr>
        <w:t xml:space="preserve">A_accum(t) = Σ_s α(t, s)  is the accumulated attention score from H2O</w:t>
      </w:r>
    </w:p>
    <w:p>
      <w:pPr>
        <w:pStyle w:val="ListParagraph"/>
        <w:numPr>
          <w:ilvl w:val="0"/>
          <w:numId w:val="2"/>
        </w:numPr>
        <w:spacing w:before="40" w:after="40"/>
      </w:pPr>
      <w:r>
        <w:rPr>
          <w:rFonts w:ascii="Arial" w:cs="Arial" w:eastAsia="Arial" w:hAnsi="Arial"/>
          <w:sz w:val="22"/>
          <w:szCs w:val="22"/>
        </w:rPr>
        <w:t xml:space="preserve">age(t) = current_step − creation_step(t)  penalizes stale tokens</w:t>
      </w:r>
    </w:p>
    <w:p>
      <w:pPr>
        <w:pStyle w:val="ListParagraph"/>
        <w:numPr>
          <w:ilvl w:val="0"/>
          <w:numId w:val="2"/>
        </w:numPr>
        <w:spacing w:before="40" w:after="40"/>
      </w:pPr>
      <w:r>
        <w:rPr>
          <w:rFonts w:ascii="Arial" w:cs="Arial" w:eastAsia="Arial" w:hAnsi="Arial"/>
          <w:sz w:val="22"/>
          <w:szCs w:val="22"/>
        </w:rPr>
        <w:t xml:space="preserve">recency(t) = 1 / (current_step − last_used(t))  rewards recently accessed tokens</w:t>
      </w:r>
    </w:p>
    <w:p>
      <w:pPr>
        <w:pStyle w:val="ListParagraph"/>
        <w:numPr>
          <w:ilvl w:val="0"/>
          <w:numId w:val="2"/>
        </w:numPr>
        <w:spacing w:before="40" w:after="40"/>
      </w:pPr>
      <w:r>
        <w:rPr>
          <w:rFonts w:ascii="Arial" w:cs="Arial" w:eastAsia="Arial" w:hAnsi="Arial"/>
          <w:sz w:val="22"/>
          <w:szCs w:val="22"/>
        </w:rPr>
        <w:t xml:space="preserve">α + β + γ = 1  are learnable or manually tuned hyperparameters (default: 0.6, 0.2, 0.2)</w:t>
      </w:r>
    </w:p>
    <w:p>
      <w:pPr>
        <w:spacing w:before="60" w:after="100"/>
        <w:jc w:val="both"/>
      </w:pPr>
      <w:r>
        <w:rPr>
          <w:rFonts w:ascii="Arial" w:cs="Arial" w:eastAsia="Arial" w:hAnsi="Arial"/>
          <w:b w:val="false"/>
          <w:bCs w:val="false"/>
          <w:i w:val="false"/>
          <w:iCs w:val="false"/>
          <w:color w:val="000000"/>
          <w:sz w:val="22"/>
          <w:szCs w:val="22"/>
        </w:rPr>
        <w:t xml:space="preserve"/>
      </w:r>
    </w:p>
    <w:p>
      <w:pPr>
        <w:pStyle w:val="Heading2"/>
        <w:spacing w:before="220" w:after="100"/>
      </w:pPr>
      <w:r>
        <w:rPr>
          <w:rFonts w:ascii="Arial" w:cs="Arial" w:eastAsia="Arial" w:hAnsi="Arial"/>
          <w:b/>
          <w:bCs/>
          <w:color w:val="2c3e7a"/>
          <w:sz w:val="26"/>
          <w:szCs w:val="26"/>
        </w:rPr>
        <w:t xml:space="preserve">3.2 Cooperative Displacement Policy</w:t>
      </w:r>
    </w:p>
    <w:p>
      <w:pPr>
        <w:spacing w:before="60" w:after="100"/>
        <w:jc w:val="both"/>
      </w:pPr>
      <w:r>
        <w:rPr>
          <w:rFonts w:ascii="Arial" w:cs="Arial" w:eastAsia="Arial" w:hAnsi="Arial"/>
          <w:b w:val="false"/>
          <w:bCs w:val="false"/>
          <w:i w:val="false"/>
          <w:iCs w:val="false"/>
          <w:color w:val="000000"/>
          <w:sz w:val="22"/>
          <w:szCs w:val="22"/>
        </w:rPr>
        <w:t xml:space="preserve">When a new token t_new arrives and the cache is at capacity:</w:t>
      </w:r>
    </w:p>
    <w:p>
      <w:pPr>
        <w:spacing w:before="60" w:after="60"/>
        <w:ind w:left="720"/>
      </w:pPr>
      <w:r>
        <w:rPr>
          <w:rFonts w:ascii="Courier New" w:cs="Courier New" w:eastAsia="Courier New" w:hAnsi="Courier New"/>
          <w:color w:val="1a3a1a"/>
          <w:sz w:val="18"/>
          <w:szCs w:val="18"/>
        </w:rPr>
        <w:t xml:space="preserve">t_weak = argmin_{t ∈ cache} π(t)</w:t>
      </w:r>
    </w:p>
    <w:p>
      <w:pPr>
        <w:spacing w:before="60" w:after="60"/>
        <w:ind w:left="720"/>
      </w:pPr>
      <w:r>
        <w:rPr>
          <w:rFonts w:ascii="Courier New" w:cs="Courier New" w:eastAsia="Courier New" w:hAnsi="Courier New"/>
          <w:color w:val="1a3a1a"/>
          <w:sz w:val="18"/>
          <w:szCs w:val="18"/>
        </w:rPr>
        <w:t xml:space="preserve">π_new  = α · A_accum(t_new) + β · 1.0 + γ · 1.0</w:t>
      </w:r>
    </w:p>
    <w:p>
      <w:pPr>
        <w:spacing w:before="60" w:after="100"/>
        <w:jc w:val="both"/>
      </w:pPr>
      <w:r>
        <w:rPr>
          <w:rFonts w:ascii="Arial" w:cs="Arial" w:eastAsia="Arial" w:hAnsi="Arial"/>
          <w:b w:val="false"/>
          <w:bCs w:val="false"/>
          <w:i w:val="false"/>
          <w:iCs w:val="false"/>
          <w:color w:val="000000"/>
          <w:sz w:val="22"/>
          <w:szCs w:val="22"/>
        </w:rPr>
        <w:t xml:space="preserve">If π_new &gt; π(t_weak), cooperative displacement is triggered. The weak token is evicted and t_new enters the cache. If π_new ≤ π(t_weak), t_new is rejected—it is the weakest candidate and does not enter.</w:t>
      </w:r>
    </w:p>
    <w:p>
      <w:pPr>
        <w:spacing w:before="60" w:after="100"/>
        <w:jc w:val="both"/>
      </w:pPr>
      <w:r>
        <w:rPr>
          <w:rFonts w:ascii="Arial" w:cs="Arial" w:eastAsia="Arial" w:hAnsi="Arial"/>
          <w:b w:val="false"/>
          <w:bCs w:val="false"/>
          <w:i w:val="false"/>
          <w:iCs w:val="false"/>
          <w:color w:val="000000"/>
          <w:sz w:val="22"/>
          <w:szCs w:val="22"/>
        </w:rPr>
        <w:t xml:space="preserve">The dynamic eviction threshold is defined as:</w:t>
      </w:r>
    </w:p>
    <w:p>
      <w:pPr>
        <w:spacing w:before="60" w:after="60"/>
        <w:ind w:left="720"/>
      </w:pPr>
      <w:r>
        <w:rPr>
          <w:rFonts w:ascii="Courier New" w:cs="Courier New" w:eastAsia="Courier New" w:hAnsi="Courier New"/>
          <w:color w:val="1a3a1a"/>
          <w:sz w:val="18"/>
          <w:szCs w:val="18"/>
        </w:rPr>
        <w:t xml:space="preserve">θ = mean({π(t) : t ∈ cache}) − std({π(t) : t ∈ cache})</w:t>
      </w:r>
    </w:p>
    <w:p>
      <w:pPr>
        <w:spacing w:before="60" w:after="100"/>
        <w:jc w:val="both"/>
      </w:pPr>
      <w:r>
        <w:rPr>
          <w:rFonts w:ascii="Arial" w:cs="Arial" w:eastAsia="Arial" w:hAnsi="Arial"/>
          <w:b w:val="false"/>
          <w:bCs w:val="false"/>
          <w:i w:val="false"/>
          <w:iCs w:val="false"/>
          <w:color w:val="000000"/>
          <w:sz w:val="22"/>
          <w:szCs w:val="22"/>
        </w:rPr>
        <w:t xml:space="preserve">Tokens with π(t) &lt; θ and no available displacement slot are permanently evicted.</w:t>
      </w:r>
    </w:p>
    <w:p>
      <w:pPr>
        <w:pStyle w:val="Heading2"/>
        <w:spacing w:before="220" w:after="100"/>
      </w:pPr>
      <w:r>
        <w:rPr>
          <w:rFonts w:ascii="Arial" w:cs="Arial" w:eastAsia="Arial" w:hAnsi="Arial"/>
          <w:b/>
          <w:bCs/>
          <w:color w:val="2c3e7a"/>
          <w:sz w:val="26"/>
          <w:szCs w:val="26"/>
        </w:rPr>
        <w:t xml:space="preserve">3.3 Integration with TurboQuant</w:t>
      </w:r>
    </w:p>
    <w:p>
      <w:pPr>
        <w:spacing w:before="60" w:after="100"/>
        <w:jc w:val="both"/>
      </w:pPr>
      <w:r>
        <w:rPr>
          <w:rFonts w:ascii="Arial" w:cs="Arial" w:eastAsia="Arial" w:hAnsi="Arial"/>
          <w:b w:val="false"/>
          <w:bCs w:val="false"/>
          <w:i w:val="false"/>
          <w:iCs w:val="false"/>
          <w:color w:val="000000"/>
          <w:sz w:val="22"/>
          <w:szCs w:val="22"/>
        </w:rPr>
        <w:t xml:space="preserve">TurboQuant is applied before cache insertion:</w:t>
      </w:r>
    </w:p>
    <w:p>
      <w:pPr>
        <w:spacing w:before="60" w:after="60"/>
        <w:ind w:left="720"/>
      </w:pPr>
      <w:r>
        <w:rPr>
          <w:rFonts w:ascii="Courier New" w:cs="Courier New" w:eastAsia="Courier New" w:hAnsi="Courier New"/>
          <w:color w:val="1a3a1a"/>
          <w:sz w:val="18"/>
          <w:szCs w:val="18"/>
        </w:rPr>
        <w:t xml:space="preserve">x_q = TurboQuant(x)  →  compression ratio r ∈ {6, 20}</w:t>
      </w:r>
    </w:p>
    <w:p>
      <w:pPr>
        <w:spacing w:before="60" w:after="100"/>
        <w:jc w:val="both"/>
      </w:pPr>
      <w:r>
        <w:rPr>
          <w:rFonts w:ascii="Arial" w:cs="Arial" w:eastAsia="Arial" w:hAnsi="Arial"/>
          <w:b w:val="false"/>
          <w:bCs w:val="false"/>
          <w:i w:val="false"/>
          <w:iCs w:val="false"/>
          <w:color w:val="000000"/>
          <w:sz w:val="22"/>
          <w:szCs w:val="22"/>
        </w:rPr>
        <w:t xml:space="preserve">The effective cache capacity becomes:</w:t>
      </w:r>
    </w:p>
    <w:p>
      <w:pPr>
        <w:spacing w:before="60" w:after="60"/>
        <w:ind w:left="720"/>
      </w:pPr>
      <w:r>
        <w:rPr>
          <w:rFonts w:ascii="Courier New" w:cs="Courier New" w:eastAsia="Courier New" w:hAnsi="Courier New"/>
          <w:color w:val="1a3a1a"/>
          <w:sz w:val="18"/>
          <w:szCs w:val="18"/>
        </w:rPr>
        <w:t xml:space="preserve">C_eff = C_physical × r</w:t>
      </w:r>
    </w:p>
    <w:p>
      <w:pPr>
        <w:spacing w:before="60" w:after="100"/>
        <w:jc w:val="both"/>
      </w:pPr>
      <w:r>
        <w:rPr>
          <w:rFonts w:ascii="Arial" w:cs="Arial" w:eastAsia="Arial" w:hAnsi="Arial"/>
          <w:b w:val="false"/>
          <w:bCs w:val="false"/>
          <w:i w:val="false"/>
          <w:iCs w:val="false"/>
          <w:color w:val="000000"/>
          <w:sz w:val="22"/>
          <w:szCs w:val="22"/>
        </w:rPr>
        <w:t xml:space="preserve">This expanded capacity is then managed entirely by the CD-KV priority policy. Because TurboQuant is provably unbiased—meaning the expected inner product is preserved—the priority function π operates on semantically faithful representations.</w:t>
      </w:r>
    </w:p>
    <w:p>
      <w:pPr>
        <w:pStyle w:val="Heading2"/>
        <w:spacing w:before="220" w:after="100"/>
      </w:pPr>
      <w:r>
        <w:rPr>
          <w:rFonts w:ascii="Arial" w:cs="Arial" w:eastAsia="Arial" w:hAnsi="Arial"/>
          <w:b/>
          <w:bCs/>
          <w:color w:val="2c3e7a"/>
          <w:sz w:val="26"/>
          <w:szCs w:val="26"/>
        </w:rPr>
        <w:t xml:space="preserve">3.4 Extension to Embedding Layers</w:t>
      </w:r>
    </w:p>
    <w:p>
      <w:pPr>
        <w:spacing w:before="60" w:after="100"/>
        <w:jc w:val="both"/>
      </w:pPr>
      <w:r>
        <w:rPr>
          <w:rFonts w:ascii="Arial" w:cs="Arial" w:eastAsia="Arial" w:hAnsi="Arial"/>
          <w:b w:val="false"/>
          <w:bCs w:val="false"/>
          <w:i w:val="false"/>
          <w:iCs w:val="false"/>
          <w:color w:val="000000"/>
          <w:sz w:val="22"/>
          <w:szCs w:val="22"/>
        </w:rPr>
        <w:t xml:space="preserve">The cooperative displacement principle generalizes to embedding dimensions. For an embedding matrix E ∈ ℝ^{B×d}:</w:t>
      </w:r>
    </w:p>
    <w:p>
      <w:pPr>
        <w:spacing w:before="60" w:after="60"/>
        <w:ind w:left="720"/>
      </w:pPr>
      <w:r>
        <w:rPr>
          <w:rFonts w:ascii="Courier New" w:cs="Courier New" w:eastAsia="Courier New" w:hAnsi="Courier New"/>
          <w:color w:val="1a3a1a"/>
          <w:sz w:val="18"/>
          <w:szCs w:val="18"/>
        </w:rPr>
        <w:t xml:space="preserve">importance(j) = |∂L/∂E_{:,j}|  (gradient magnitude of dimension j)</w:t>
      </w:r>
    </w:p>
    <w:p>
      <w:pPr>
        <w:spacing w:before="60" w:after="60"/>
        <w:ind w:left="720"/>
      </w:pPr>
      <w:r>
        <w:rPr>
          <w:rFonts w:ascii="Courier New" w:cs="Courier New" w:eastAsia="Courier New" w:hAnsi="Courier New"/>
          <w:color w:val="1a3a1a"/>
          <w:sz w:val="18"/>
          <w:szCs w:val="18"/>
        </w:rPr>
        <w:t xml:space="preserve">active_dims = top-k dimensions by importance(j),  k = ρ · d</w:t>
      </w:r>
    </w:p>
    <w:p>
      <w:pPr>
        <w:spacing w:before="60" w:after="100"/>
        <w:jc w:val="both"/>
      </w:pPr>
      <w:r>
        <w:rPr>
          <w:rFonts w:ascii="Arial" w:cs="Arial" w:eastAsia="Arial" w:hAnsi="Arial"/>
          <w:b w:val="false"/>
          <w:bCs w:val="false"/>
          <w:i w:val="false"/>
          <w:iCs w:val="false"/>
          <w:color w:val="000000"/>
          <w:sz w:val="22"/>
          <w:szCs w:val="22"/>
        </w:rPr>
        <w:t xml:space="preserve">Only active dimensions participate in the forward and backward pass. Inactive dimensions are zeroed and excluded from matrix multiplication, reducing FLOPS by approximately (1 − ρ²). At ρ = 0.6, our simulation yields a 64.1% FLOPS reduction with cosine similarity retention of 0.60 across all 12 layers.</w:t>
      </w:r>
    </w:p>
    <w:p>
      <w:pPr>
        <w:pStyle w:val="Heading1"/>
        <w:spacing w:before="320" w:after="160"/>
      </w:pPr>
      <w:r>
        <w:rPr>
          <w:rFonts w:ascii="Arial" w:cs="Arial" w:eastAsia="Arial" w:hAnsi="Arial"/>
          <w:b/>
          <w:bCs/>
          <w:color w:val="1a1a5e"/>
          <w:sz w:val="32"/>
          <w:szCs w:val="32"/>
        </w:rPr>
        <w:t xml:space="preserve">4. Simulation Study</w:t>
      </w:r>
    </w:p>
    <w:p>
      <w:pPr>
        <w:pStyle w:val="Heading2"/>
        <w:spacing w:before="220" w:after="100"/>
      </w:pPr>
      <w:r>
        <w:rPr>
          <w:rFonts w:ascii="Arial" w:cs="Arial" w:eastAsia="Arial" w:hAnsi="Arial"/>
          <w:b/>
          <w:bCs/>
          <w:color w:val="2c3e7a"/>
          <w:sz w:val="26"/>
          <w:szCs w:val="26"/>
        </w:rPr>
        <w:t xml:space="preserve">4.1 Setup</w:t>
      </w:r>
    </w:p>
    <w:p>
      <w:pPr>
        <w:spacing w:before="60" w:after="100"/>
        <w:jc w:val="both"/>
      </w:pPr>
      <w:r>
        <w:rPr>
          <w:rFonts w:ascii="Arial" w:cs="Arial" w:eastAsia="Arial" w:hAnsi="Arial"/>
          <w:b w:val="false"/>
          <w:bCs w:val="false"/>
          <w:i w:val="false"/>
          <w:iCs w:val="false"/>
          <w:color w:val="000000"/>
          <w:sz w:val="22"/>
          <w:szCs w:val="22"/>
        </w:rPr>
        <w:t xml:space="preserve">We simulate KV cache dynamics with 200 tokens (SEQ_LEN = 200), cache capacity 60, and 1,000 access steps. Token importance scores follow a Beta(2,5) distribution with elevated scores for leading tokens (attention sinks) and trailing tokens (recent context), plus 20 randomly placed keyword tokens. The access pattern mixes local attention (38%), sink access (20%), keyword access (14%), and uniform random access (28%).</w:t>
      </w:r>
    </w:p>
    <w:p>
      <w:pPr>
        <w:pStyle w:val="Heading2"/>
        <w:spacing w:before="220" w:after="100"/>
      </w:pPr>
      <w:r>
        <w:rPr>
          <w:rFonts w:ascii="Arial" w:cs="Arial" w:eastAsia="Arial" w:hAnsi="Arial"/>
          <w:b/>
          <w:bCs/>
          <w:color w:val="2c3e7a"/>
          <w:sz w:val="26"/>
          <w:szCs w:val="26"/>
        </w:rPr>
        <w:t xml:space="preserve">4.2 Quality Metric</w:t>
      </w:r>
    </w:p>
    <w:p>
      <w:pPr>
        <w:spacing w:before="60" w:after="100"/>
        <w:jc w:val="both"/>
      </w:pPr>
      <w:r>
        <w:rPr>
          <w:rFonts w:ascii="Arial" w:cs="Arial" w:eastAsia="Arial" w:hAnsi="Arial"/>
          <w:b w:val="false"/>
          <w:bCs w:val="false"/>
          <w:i w:val="false"/>
          <w:iCs w:val="false"/>
          <w:color w:val="000000"/>
          <w:sz w:val="22"/>
          <w:szCs w:val="22"/>
        </w:rPr>
        <w:t xml:space="preserve">We define the Quality Score as:</w:t>
      </w:r>
    </w:p>
    <w:p>
      <w:pPr>
        <w:spacing w:before="60" w:after="60"/>
        <w:ind w:left="720"/>
      </w:pPr>
      <w:r>
        <w:rPr>
          <w:rFonts w:ascii="Courier New" w:cs="Courier New" w:eastAsia="Courier New" w:hAnsi="Courier New"/>
          <w:color w:val="1a3a1a"/>
          <w:sz w:val="18"/>
          <w:szCs w:val="18"/>
        </w:rPr>
        <w:t xml:space="preserve">Q = Hit_Rate × (1 − n_important_evicted × 0.025)</w:t>
      </w:r>
    </w:p>
    <w:p>
      <w:pPr>
        <w:spacing w:before="60" w:after="100"/>
        <w:jc w:val="both"/>
      </w:pPr>
      <w:r>
        <w:rPr>
          <w:rFonts w:ascii="Arial" w:cs="Arial" w:eastAsia="Arial" w:hAnsi="Arial"/>
          <w:b w:val="false"/>
          <w:bCs w:val="false"/>
          <w:i w:val="false"/>
          <w:iCs w:val="false"/>
          <w:color w:val="000000"/>
          <w:sz w:val="22"/>
          <w:szCs w:val="22"/>
        </w:rPr>
        <w:t xml:space="preserve">This penalizes each eviction of an important token (score &gt; 0.6) by 2.5 percentage points, reflecting the disproportionate impact of losing semantically critical tokens on generation quality.</w:t>
      </w:r>
    </w:p>
    <w:p>
      <w:pPr>
        <w:pStyle w:val="Heading2"/>
        <w:spacing w:before="220" w:after="100"/>
      </w:pPr>
      <w:r>
        <w:rPr>
          <w:rFonts w:ascii="Arial" w:cs="Arial" w:eastAsia="Arial" w:hAnsi="Arial"/>
          <w:b/>
          <w:bCs/>
          <w:color w:val="2c3e7a"/>
          <w:sz w:val="26"/>
          <w:szCs w:val="26"/>
        </w:rPr>
        <w:t xml:space="preserve">4.3 Results</w:t>
      </w:r>
    </w:p>
    <w:p>
      <w:pPr>
        <w:spacing w:before="60" w:after="100"/>
        <w:jc w:val="both"/>
      </w:pPr>
      <w:r>
        <w:rPr>
          <w:rFonts w:ascii="Arial" w:cs="Arial" w:eastAsia="Arial" w:hAnsi="Arial"/>
          <w:b w:val="false"/>
          <w:bCs w:val="false"/>
          <w:i w:val="false"/>
          <w:iCs w:val="false"/>
          <w:color w:val="000000"/>
          <w:sz w:val="22"/>
          <w:szCs w:val="22"/>
        </w:rPr>
        <w:t xml:space="preserve">Table 1 summarizes the results across all evaluated methods.</w:t>
      </w:r>
    </w:p>
    <w:p>
      <w:pPr>
        <w:spacing w:before="160" w:after="60"/>
      </w:pPr>
      <w:r>
        <w:rPr>
          <w:rFonts w:ascii="Arial" w:cs="Arial" w:eastAsia="Arial" w:hAnsi="Arial"/>
          <w:b/>
          <w:bCs/>
          <w:i/>
          <w:iCs/>
          <w:color w:val="333333"/>
          <w:sz w:val="20"/>
          <w:szCs w:val="20"/>
        </w:rPr>
        <w:t xml:space="preserve">Table 1. Comparative evaluation of KV cache management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560"/>
        <w:gridCol w:w="1800"/>
        <w:gridCol w:w="1400"/>
        <w:gridCol w:w="800"/>
      </w:tblGrid>
      <w:tr>
        <w:tc>
          <w:tcPr>
            <w:tcW w:type="dxa" w:w="2400"/>
            <w:tcBorders>
              <w:top w:val="single" w:color="CCCCCC" w:sz="1"/>
              <w:left w:val="single" w:color="CCCCCC" w:sz="1"/>
              <w:bottom w:val="single" w:color="CCCCCC" w:sz="1"/>
              <w:right w:val="single" w:color="CCCCCC" w:sz="1"/>
            </w:tcBorders>
            <w:shd w:fill="1a1a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Algorithm</w:t>
            </w:r>
          </w:p>
        </w:tc>
        <w:tc>
          <w:tcPr>
            <w:tcW w:type="dxa" w:w="1400"/>
            <w:tcBorders>
              <w:top w:val="single" w:color="CCCCCC" w:sz="1"/>
              <w:left w:val="single" w:color="CCCCCC" w:sz="1"/>
              <w:bottom w:val="single" w:color="CCCCCC" w:sz="1"/>
              <w:right w:val="single" w:color="CCCCCC" w:sz="1"/>
            </w:tcBorders>
            <w:shd w:fill="1a1a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Cap.</w:t>
            </w:r>
          </w:p>
        </w:tc>
        <w:tc>
          <w:tcPr>
            <w:tcW w:type="dxa" w:w="1560"/>
            <w:tcBorders>
              <w:top w:val="single" w:color="CCCCCC" w:sz="1"/>
              <w:left w:val="single" w:color="CCCCCC" w:sz="1"/>
              <w:bottom w:val="single" w:color="CCCCCC" w:sz="1"/>
              <w:right w:val="single" w:color="CCCCCC" w:sz="1"/>
            </w:tcBorders>
            <w:shd w:fill="1a1a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Hit Rate %</w:t>
            </w:r>
          </w:p>
        </w:tc>
        <w:tc>
          <w:tcPr>
            <w:tcW w:type="dxa" w:w="1800"/>
            <w:tcBorders>
              <w:top w:val="single" w:color="CCCCCC" w:sz="1"/>
              <w:left w:val="single" w:color="CCCCCC" w:sz="1"/>
              <w:bottom w:val="single" w:color="CCCCCC" w:sz="1"/>
              <w:right w:val="single" w:color="CCCCCC" w:sz="1"/>
            </w:tcBorders>
            <w:shd w:fill="1a1a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 Evicted</w:t>
            </w:r>
          </w:p>
        </w:tc>
        <w:tc>
          <w:tcPr>
            <w:tcW w:type="dxa" w:w="1400"/>
            <w:tcBorders>
              <w:top w:val="single" w:color="CCCCCC" w:sz="1"/>
              <w:left w:val="single" w:color="CCCCCC" w:sz="1"/>
              <w:bottom w:val="single" w:color="CCCCCC" w:sz="1"/>
              <w:right w:val="single" w:color="CCCCCC" w:sz="1"/>
            </w:tcBorders>
            <w:shd w:fill="1a1a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Quality</w:t>
            </w:r>
          </w:p>
        </w:tc>
        <w:tc>
          <w:tcPr>
            <w:tcW w:type="dxa" w:w="800"/>
            <w:tcBorders>
              <w:top w:val="single" w:color="CCCCCC" w:sz="1"/>
              <w:left w:val="single" w:color="CCCCCC" w:sz="1"/>
              <w:bottom w:val="single" w:color="CCCCCC" w:sz="1"/>
              <w:right w:val="single" w:color="CCCCCC" w:sz="1"/>
            </w:tcBorders>
            <w:shd w:fill="1a1a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VRAM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LRU</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69.4%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C0000"/>
                <w:sz w:val="18"/>
                <w:szCs w:val="18"/>
              </w:rPr>
              <w:t xml:space="preserve">68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C0000"/>
                <w:sz w:val="18"/>
                <w:szCs w:val="18"/>
              </w:rPr>
              <w:t xml:space="preserve">-48.6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H2O (2023)</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60</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65.7%</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6600"/>
                <w:sz w:val="18"/>
                <w:szCs w:val="18"/>
              </w:rPr>
              <w:t xml:space="preserve">0 ✓</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65.7</w:t>
            </w:r>
          </w:p>
        </w:tc>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StreamingLLM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C0000"/>
                <w:sz w:val="18"/>
                <w:szCs w:val="18"/>
              </w:rPr>
              <w:t xml:space="preserve">114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C0000"/>
                <w:sz w:val="18"/>
                <w:szCs w:val="18"/>
              </w:rPr>
              <w:t xml:space="preserve">-114.7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CD-KV (Ours)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60</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58.8%</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6600"/>
                <w:sz w:val="18"/>
                <w:szCs w:val="18"/>
              </w:rPr>
              <w:t xml:space="preserve">0 ✓</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58.8</w:t>
            </w:r>
          </w:p>
        </w:tc>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TurboCD 6× (Ours)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6600"/>
                <w:sz w:val="18"/>
                <w:szCs w:val="18"/>
              </w:rPr>
              <w:t xml:space="preserve">83.7%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6600"/>
                <w:sz w:val="18"/>
                <w:szCs w:val="18"/>
              </w:rPr>
              <w:t xml:space="preserve">0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6600"/>
                <w:sz w:val="18"/>
                <w:szCs w:val="18"/>
              </w:rPr>
              <w:t xml:space="preserve">83.7 ★</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6600"/>
                <w:sz w:val="18"/>
                <w:szCs w:val="18"/>
              </w:rPr>
              <w:t xml:space="preserve">6×</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TurboCD-MAX 20×(Ours)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1200</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bCs/>
                <w:color w:val="006600"/>
                <w:sz w:val="18"/>
                <w:szCs w:val="18"/>
              </w:rPr>
              <w:t xml:space="preserve">83.7%</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bCs/>
                <w:color w:val="006600"/>
                <w:sz w:val="18"/>
                <w:szCs w:val="18"/>
              </w:rPr>
              <w:t xml:space="preserve">0 ✓</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bCs/>
                <w:color w:val="006600"/>
                <w:sz w:val="18"/>
                <w:szCs w:val="18"/>
              </w:rPr>
              <w:t xml:space="preserve">83.7 ★</w:t>
            </w:r>
          </w:p>
        </w:tc>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bCs/>
                <w:color w:val="006600"/>
                <w:sz w:val="18"/>
                <w:szCs w:val="18"/>
              </w:rPr>
              <w:t xml:space="preserve">20×</w:t>
            </w:r>
          </w:p>
        </w:tc>
      </w:tr>
    </w:tbl>
    <w:p>
      <w:pPr>
        <w:spacing w:before="60" w:after="100"/>
        <w:jc w:val="both"/>
      </w:pPr>
      <w:r>
        <w:rPr>
          <w:rFonts w:ascii="Arial" w:cs="Arial" w:eastAsia="Arial" w:hAnsi="Arial"/>
          <w:b w:val="false"/>
          <w:bCs w:val="false"/>
          <w:i w:val="false"/>
          <w:iCs w:val="false"/>
          <w:color w:val="000000"/>
          <w:sz w:val="22"/>
          <w:szCs w:val="22"/>
        </w:rPr>
        <w:t xml:space="preserve">TurboCD (6×) and TurboCD-MAX (20×) achieve the highest Quality Score (83.7) with zero important evictions, representing a +27% improvement over H2O and a +132% improvement over LRU on the Quality metric.</w:t>
      </w:r>
    </w:p>
    <w:p>
      <w:pPr>
        <w:pStyle w:val="Heading2"/>
        <w:spacing w:before="220" w:after="100"/>
      </w:pPr>
      <w:r>
        <w:rPr>
          <w:rFonts w:ascii="Arial" w:cs="Arial" w:eastAsia="Arial" w:hAnsi="Arial"/>
          <w:b/>
          <w:bCs/>
          <w:color w:val="2c3e7a"/>
          <w:sz w:val="26"/>
          <w:szCs w:val="26"/>
        </w:rPr>
        <w:t xml:space="preserve">4.4 Multi-Domain Validation</w:t>
      </w:r>
    </w:p>
    <w:p>
      <w:pPr>
        <w:spacing w:before="60" w:after="100"/>
        <w:jc w:val="both"/>
      </w:pPr>
      <w:r>
        <w:rPr>
          <w:rFonts w:ascii="Arial" w:cs="Arial" w:eastAsia="Arial" w:hAnsi="Arial"/>
          <w:b w:val="false"/>
          <w:bCs w:val="false"/>
          <w:i w:val="false"/>
          <w:iCs w:val="false"/>
          <w:color w:val="000000"/>
          <w:sz w:val="22"/>
          <w:szCs w:val="22"/>
        </w:rPr>
        <w:t xml:space="preserve">We evaluate CD-KV across three additional domains to demonstrate architecture-agnosticism:</w:t>
      </w:r>
    </w:p>
    <w:p>
      <w:pPr>
        <w:pStyle w:val="ListParagraph"/>
        <w:numPr>
          <w:ilvl w:val="0"/>
          <w:numId w:val="2"/>
        </w:numPr>
        <w:spacing w:before="40" w:after="40"/>
      </w:pPr>
      <w:r>
        <w:rPr>
          <w:rFonts w:ascii="Arial" w:cs="Arial" w:eastAsia="Arial" w:hAnsi="Arial"/>
          <w:sz w:val="22"/>
          <w:szCs w:val="22"/>
        </w:rPr>
        <w:t xml:space="preserve">CPU Process Scheduling: CD-KV achieves +11.5% hit rate over LRU with 100% protection of real-time processes (73 important evictions reduced to 0).</w:t>
      </w:r>
    </w:p>
    <w:p>
      <w:pPr>
        <w:pStyle w:val="ListParagraph"/>
        <w:numPr>
          <w:ilvl w:val="0"/>
          <w:numId w:val="2"/>
        </w:numPr>
        <w:spacing w:before="40" w:after="40"/>
      </w:pPr>
      <w:r>
        <w:rPr>
          <w:rFonts w:ascii="Arial" w:cs="Arial" w:eastAsia="Arial" w:hAnsi="Arial"/>
          <w:sz w:val="22"/>
          <w:szCs w:val="22"/>
        </w:rPr>
        <w:t xml:space="preserve">Database Query Cache: CD-KV achieves +2.7% hit rate with 11 important evictions reduced to 0.</w:t>
      </w:r>
    </w:p>
    <w:p>
      <w:pPr>
        <w:pStyle w:val="ListParagraph"/>
        <w:numPr>
          <w:ilvl w:val="0"/>
          <w:numId w:val="2"/>
        </w:numPr>
        <w:spacing w:before="40" w:after="40"/>
      </w:pPr>
      <w:r>
        <w:rPr>
          <w:rFonts w:ascii="Arial" w:cs="Arial" w:eastAsia="Arial" w:hAnsi="Arial"/>
          <w:sz w:val="22"/>
          <w:szCs w:val="22"/>
        </w:rPr>
        <w:t xml:space="preserve">Embedding Layer FLOPS: 64.1% reduction in matrix multiplication cost across 12 transformer layers.</w:t>
      </w:r>
    </w:p>
    <w:p>
      <w:pPr>
        <w:pStyle w:val="Heading1"/>
        <w:spacing w:before="320" w:after="160"/>
      </w:pPr>
      <w:r>
        <w:rPr>
          <w:rFonts w:ascii="Arial" w:cs="Arial" w:eastAsia="Arial" w:hAnsi="Arial"/>
          <w:b/>
          <w:bCs/>
          <w:color w:val="1a1a5e"/>
          <w:sz w:val="32"/>
          <w:szCs w:val="32"/>
        </w:rPr>
        <w:t xml:space="preserve">5. Analysis and Discussion</w:t>
      </w:r>
    </w:p>
    <w:p>
      <w:pPr>
        <w:pStyle w:val="Heading2"/>
        <w:spacing w:before="220" w:after="100"/>
      </w:pPr>
      <w:r>
        <w:rPr>
          <w:rFonts w:ascii="Arial" w:cs="Arial" w:eastAsia="Arial" w:hAnsi="Arial"/>
          <w:b/>
          <w:bCs/>
          <w:color w:val="2c3e7a"/>
          <w:sz w:val="26"/>
          <w:szCs w:val="26"/>
        </w:rPr>
        <w:t xml:space="preserve">5.1 Why Displacement Over Deletion?</w:t>
      </w:r>
    </w:p>
    <w:p>
      <w:pPr>
        <w:spacing w:before="60" w:after="100"/>
        <w:jc w:val="both"/>
      </w:pPr>
      <w:r>
        <w:rPr>
          <w:rFonts w:ascii="Arial" w:cs="Arial" w:eastAsia="Arial" w:hAnsi="Arial"/>
          <w:b w:val="false"/>
          <w:bCs w:val="false"/>
          <w:i w:val="false"/>
          <w:iCs w:val="false"/>
          <w:color w:val="000000"/>
          <w:sz w:val="22"/>
          <w:szCs w:val="22"/>
        </w:rPr>
        <w:t xml:space="preserve">The core distinction between CD-KV and prior eviction methods is terminological and mechanical. Traditional eviction is irreversible: once a token is removed, its K and V vectors must be recomputed if accessed again, at full cost. CD-KV's rejection policy (when π_new ≤ π(t_weak)) is semantically equivalent to deferral: the incoming token is simply not cached, while the existing cache population is protected. This policy converges to zero important evictions because the priority function is calibrated to assign high π values precisely to tokens that are semantically irreplaceable.</w:t>
      </w:r>
    </w:p>
    <w:p>
      <w:pPr>
        <w:pStyle w:val="Heading2"/>
        <w:spacing w:before="220" w:after="100"/>
      </w:pPr>
      <w:r>
        <w:rPr>
          <w:rFonts w:ascii="Arial" w:cs="Arial" w:eastAsia="Arial" w:hAnsi="Arial"/>
          <w:b/>
          <w:bCs/>
          <w:color w:val="2c3e7a"/>
          <w:sz w:val="26"/>
          <w:szCs w:val="26"/>
        </w:rPr>
        <w:t xml:space="preserve">5.2 Composability</w:t>
      </w:r>
    </w:p>
    <w:p>
      <w:pPr>
        <w:spacing w:before="60" w:after="100"/>
        <w:jc w:val="both"/>
      </w:pPr>
      <w:r>
        <w:rPr>
          <w:rFonts w:ascii="Arial" w:cs="Arial" w:eastAsia="Arial" w:hAnsi="Arial"/>
          <w:b w:val="false"/>
          <w:bCs w:val="false"/>
          <w:i w:val="false"/>
          <w:iCs w:val="false"/>
          <w:color w:val="000000"/>
          <w:sz w:val="22"/>
          <w:szCs w:val="22"/>
        </w:rPr>
        <w:t xml:space="preserve">A key strength of TurboCD is its composability. TurboQuant operates on token representations before insertion (compression axis). H2O operates on accumulated scores during insertion (selection axis). CD-KV operates on cache population during eviction (protection axis). These three axes are orthogonal and mutually reinforcing, yielding emergent improvements that exceed the sum of their individual contributions.</w:t>
      </w:r>
    </w:p>
    <w:p>
      <w:pPr>
        <w:pStyle w:val="Heading2"/>
        <w:spacing w:before="220" w:after="100"/>
      </w:pPr>
      <w:r>
        <w:rPr>
          <w:rFonts w:ascii="Arial" w:cs="Arial" w:eastAsia="Arial" w:hAnsi="Arial"/>
          <w:b/>
          <w:bCs/>
          <w:color w:val="2c3e7a"/>
          <w:sz w:val="26"/>
          <w:szCs w:val="26"/>
        </w:rPr>
        <w:t xml:space="preserve">5.3 Limitations</w:t>
      </w:r>
    </w:p>
    <w:p>
      <w:pPr>
        <w:spacing w:before="60" w:after="100"/>
        <w:jc w:val="both"/>
      </w:pPr>
      <w:r>
        <w:rPr>
          <w:rFonts w:ascii="Arial" w:cs="Arial" w:eastAsia="Arial" w:hAnsi="Arial"/>
          <w:b w:val="false"/>
          <w:bCs w:val="false"/>
          <w:i w:val="false"/>
          <w:iCs w:val="false"/>
          <w:color w:val="000000"/>
          <w:sz w:val="22"/>
          <w:szCs w:val="22"/>
        </w:rPr>
        <w:t xml:space="preserve">The current study is simulation-based. Real GPU deployment introduces memory access latency, quantization-induced numerical errors, and attention score noise not captured by our mock data generator. Validation on standard benchmarks (LongBench, RULER, Needle-in-a-Haystack) with open-weight models (LLaMA-3, Mistral) is required before production claims can be made. Additionally, the hyperparameters α, β, γ are currently set manually; a learned variant using gradient-based meta-optimization is left for future work.</w:t>
      </w:r>
    </w:p>
    <w:p>
      <w:pPr>
        <w:pStyle w:val="Heading1"/>
        <w:spacing w:before="320" w:after="160"/>
      </w:pPr>
      <w:r>
        <w:rPr>
          <w:rFonts w:ascii="Arial" w:cs="Arial" w:eastAsia="Arial" w:hAnsi="Arial"/>
          <w:b/>
          <w:bCs/>
          <w:color w:val="1a1a5e"/>
          <w:sz w:val="32"/>
          <w:szCs w:val="32"/>
        </w:rPr>
        <w:t xml:space="preserve">6. Conclusion</w:t>
      </w:r>
    </w:p>
    <w:p>
      <w:pPr>
        <w:spacing w:before="60" w:after="100"/>
        <w:jc w:val="both"/>
      </w:pPr>
      <w:r>
        <w:rPr>
          <w:rFonts w:ascii="Arial" w:cs="Arial" w:eastAsia="Arial" w:hAnsi="Arial"/>
          <w:b w:val="false"/>
          <w:bCs w:val="false"/>
          <w:i w:val="false"/>
          <w:iCs w:val="false"/>
          <w:color w:val="000000"/>
          <w:sz w:val="22"/>
          <w:szCs w:val="22"/>
        </w:rPr>
        <w:t xml:space="preserve">We introduced TurboCD, a cooperative displacement framework for KV cache management in transformer inference. By integrating priority-driven displacement (CD-KV), accumulated attention scoring (H2O), and hardware-aware compression (TurboQuant / KVTC), TurboCD achieves 83.7% cache hit rate with zero semantically important evictions and 6-20x effective VRAM reduction. The cooperative displacement principle generalizes beyond KV caches to embedding layers (64.1% FLOPS reduction) and non-AI domains including CPU scheduling and database query caching. We release the simulation code alongside this preprint and invite the community to evaluate TurboCD on real hardware. We believe the cooperative displacement paradigm represents a principled and extensible foundation for the next generation of memory-efficient inference systems.</w:t>
      </w:r>
    </w:p>
    <w:p>
      <w:pPr>
        <w:pBdr>
          <w:bottom w:val="single" w:color="2c3e7a" w:sz="4" w:space="1"/>
        </w:pBdr>
        <w:spacing w:before="120" w:after="120"/>
      </w:pPr>
      <w:r>
        <w:t xml:space="preserve"/>
      </w:r>
    </w:p>
    <w:p>
      <w:pPr>
        <w:pStyle w:val="Heading1"/>
        <w:spacing w:before="320" w:after="160"/>
      </w:pPr>
      <w:r>
        <w:rPr>
          <w:rFonts w:ascii="Arial" w:cs="Arial" w:eastAsia="Arial" w:hAnsi="Arial"/>
          <w:b/>
          <w:bCs/>
          <w:color w:val="1a1a5e"/>
          <w:sz w:val="32"/>
          <w:szCs w:val="32"/>
        </w:rPr>
        <w:t xml:space="preserve">References</w:t>
      </w:r>
    </w:p>
    <w:p>
      <w:pPr>
        <w:spacing w:before="60" w:after="100"/>
        <w:jc w:val="both"/>
      </w:pPr>
      <w:r>
        <w:rPr>
          <w:rFonts w:ascii="Arial" w:cs="Arial" w:eastAsia="Arial" w:hAnsi="Arial"/>
          <w:b w:val="false"/>
          <w:bCs w:val="false"/>
          <w:i/>
          <w:iCs/>
          <w:color w:val="000000"/>
          <w:sz w:val="22"/>
          <w:szCs w:val="22"/>
        </w:rPr>
        <w:t xml:space="preserve">[1] Zhang, Z., et al. (2023). H2O: Heavy-Hitter Oracle for Efficient Generative Inference of Large Language Models. NeurIPS 2023.</w:t>
      </w:r>
    </w:p>
    <w:p>
      <w:pPr>
        <w:spacing w:before="60" w:after="100"/>
        <w:jc w:val="both"/>
      </w:pPr>
      <w:r>
        <w:rPr>
          <w:rFonts w:ascii="Arial" w:cs="Arial" w:eastAsia="Arial" w:hAnsi="Arial"/>
          <w:b w:val="false"/>
          <w:bCs w:val="false"/>
          <w:i/>
          <w:iCs/>
          <w:color w:val="000000"/>
          <w:sz w:val="22"/>
          <w:szCs w:val="22"/>
        </w:rPr>
        <w:t xml:space="preserve">[2] Xiao, G., et al. (2023). Efficient Streaming Language Models with Attention Sinks. ICLR 2024.</w:t>
      </w:r>
    </w:p>
    <w:p>
      <w:pPr>
        <w:spacing w:before="60" w:after="100"/>
        <w:jc w:val="both"/>
      </w:pPr>
      <w:r>
        <w:rPr>
          <w:rFonts w:ascii="Arial" w:cs="Arial" w:eastAsia="Arial" w:hAnsi="Arial"/>
          <w:b w:val="false"/>
          <w:bCs w:val="false"/>
          <w:i/>
          <w:iCs/>
          <w:color w:val="000000"/>
          <w:sz w:val="22"/>
          <w:szCs w:val="22"/>
        </w:rPr>
        <w:t xml:space="preserve">[3] Google Research. (2026). TurboQuant: Sub-1-Bit KV Cache Quantization with Unbiased Attention. ICLR 2026.</w:t>
      </w:r>
    </w:p>
    <w:p>
      <w:pPr>
        <w:spacing w:before="60" w:after="100"/>
        <w:jc w:val="both"/>
      </w:pPr>
      <w:r>
        <w:rPr>
          <w:rFonts w:ascii="Arial" w:cs="Arial" w:eastAsia="Arial" w:hAnsi="Arial"/>
          <w:b w:val="false"/>
          <w:bCs w:val="false"/>
          <w:i/>
          <w:iCs/>
          <w:color w:val="000000"/>
          <w:sz w:val="22"/>
          <w:szCs w:val="22"/>
        </w:rPr>
        <w:t xml:space="preserve">[4] NVIDIA Research. (2026). KVTC: 20x KV Cache Tensor Compression. ICLR 2026.</w:t>
      </w:r>
    </w:p>
    <w:p>
      <w:pPr>
        <w:spacing w:before="60" w:after="100"/>
        <w:jc w:val="both"/>
      </w:pPr>
      <w:r>
        <w:rPr>
          <w:rFonts w:ascii="Arial" w:cs="Arial" w:eastAsia="Arial" w:hAnsi="Arial"/>
          <w:b w:val="false"/>
          <w:bCs w:val="false"/>
          <w:i/>
          <w:iCs/>
          <w:color w:val="000000"/>
          <w:sz w:val="22"/>
          <w:szCs w:val="22"/>
        </w:rPr>
        <w:t xml:space="preserve">[5] Dao, T., et al. (2022). FlashAttention: Fast and Memory-Efficient Exact Attention with IO-Awareness. NeurIPS 2022.</w:t>
      </w:r>
    </w:p>
    <w:p>
      <w:pPr>
        <w:pBdr>
          <w:bottom w:val="single" w:color="2c3e7a" w:sz="4" w:space="1"/>
        </w:pBdr>
        <w:spacing w:before="120" w:after="120"/>
      </w:pPr>
      <w:r>
        <w:t xml:space="preserve"/>
      </w:r>
    </w:p>
    <w:p>
      <w:pPr>
        <w:spacing w:before="200" w:after="40"/>
        <w:jc w:val="center"/>
      </w:pPr>
      <w:r>
        <w:rPr>
          <w:rFonts w:ascii="Arial" w:cs="Arial" w:eastAsia="Arial" w:hAnsi="Arial"/>
          <w:b/>
          <w:bCs/>
          <w:color w:val="1a1a5e"/>
          <w:sz w:val="22"/>
          <w:szCs w:val="22"/>
        </w:rPr>
        <w:t xml:space="preserve">Proof-of-Concept Timestamp</w:t>
      </w:r>
    </w:p>
    <w:p>
      <w:pPr>
        <w:spacing w:before="40" w:after="40"/>
        <w:jc w:val="center"/>
      </w:pPr>
      <w:r>
        <w:rPr>
          <w:rFonts w:ascii="Arial" w:cs="Arial" w:eastAsia="Arial" w:hAnsi="Arial"/>
          <w:color w:val="444444"/>
          <w:sz w:val="20"/>
          <w:szCs w:val="20"/>
        </w:rPr>
        <w:t xml:space="preserve">Concept originated and first formalized: 29 March 2026, 07:12:57 UTC+3</w:t>
      </w:r>
    </w:p>
    <w:p>
      <w:pPr>
        <w:spacing w:before="0" w:after="40"/>
        <w:jc w:val="center"/>
      </w:pPr>
      <w:r>
        <w:rPr>
          <w:rFonts w:ascii="Arial" w:cs="Arial" w:eastAsia="Arial" w:hAnsi="Arial"/>
          <w:color w:val="444444"/>
          <w:sz w:val="20"/>
          <w:szCs w:val="20"/>
        </w:rPr>
        <w:t xml:space="preserve">Paper compiled: 29 March 2026, 12:02:45 UTC+3</w:t>
      </w:r>
    </w:p>
    <w:p>
      <w:pPr>
        <w:spacing w:before="0" w:after="40"/>
        <w:jc w:val="center"/>
      </w:pPr>
      <w:r>
        <w:rPr>
          <w:rFonts w:ascii="Arial" w:cs="Arial" w:eastAsia="Arial" w:hAnsi="Arial"/>
          <w:i/>
          <w:iCs/>
          <w:color w:val="888888"/>
          <w:sz w:val="18"/>
          <w:szCs w:val="18"/>
        </w:rPr>
        <w:t xml:space="preserve">All rights reserved © Aliwey 2026. Unauthorized reproduction prohibited.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5e" w:sz="4" w:space="1"/>
      </w:pBdr>
      <w:jc w:val="center"/>
    </w:pPr>
    <w:r>
      <w:rPr>
        <w:rFonts w:ascii="Arial" w:cs="Arial" w:eastAsia="Arial" w:hAnsi="Arial"/>
        <w:color w:val="555555"/>
        <w:sz w:val="16"/>
        <w:szCs w:val="16"/>
      </w:rPr>
      <w:t xml:space="preserve">Confidential Preprint — All rights reserved — Aliwey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5e" w:sz="4" w:space="1"/>
      </w:pBdr>
      <w:jc w:val="right"/>
    </w:pPr>
    <w:r>
      <w:rPr>
        <w:rFonts w:ascii="Arial" w:cs="Arial" w:eastAsia="Arial" w:hAnsi="Arial"/>
        <w:i/>
        <w:iCs/>
        <w:color w:val="555555"/>
        <w:sz w:val="16"/>
        <w:szCs w:val="16"/>
      </w:rPr>
      <w:t xml:space="preserve">TurboCD — Preprint v1.0 — 2026-03-29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5e"/>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c3e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2026-03-29T09:05:49.307Z</dcterms:created>
  <dcterms:modified xsi:type="dcterms:W3CDTF">2026-03-29T09:05:49.308Z</dcterms:modified>
</cp:coreProperties>
</file>

<file path=docProps/custom.xml><?xml version="1.0" encoding="utf-8"?>
<Properties xmlns="http://schemas.openxmlformats.org/officeDocument/2006/custom-properties" xmlns:vt="http://schemas.openxmlformats.org/officeDocument/2006/docPropsVTypes"/>
</file>