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CD2626"/>
          <w:sz w:val="52"/>
        </w:rPr>
        <w:t>「智盈」—— 基于金字塔模型的智能财富规划系统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**2026年（第31届）工商银行杯全国大学生金融科技创新大赛**</w:t>
      </w:r>
    </w:p>
    <w:p>
      <w:pPr>
        <w:spacing w:before="60" w:after="60"/>
        <w:ind w:left="567"/>
      </w:pPr>
      <w:r>
        <w:rPr>
          <w:rFonts w:ascii="微软雅黑" w:hAnsi="微软雅黑" w:eastAsia="微软雅黑"/>
          <w:b w:val="0"/>
          <w:i/>
          <w:color w:val="555555"/>
          <w:sz w:val="22"/>
        </w:rPr>
        <w:t>""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**参赛赛道**：金融科技赋能财富管理</w:t>
      </w:r>
    </w:p>
    <w:p>
      <w:pPr>
        <w:spacing w:before="60" w:after="60"/>
        <w:ind w:left="567"/>
      </w:pPr>
      <w:r>
        <w:rPr>
          <w:rFonts w:ascii="微软雅黑" w:hAnsi="微软雅黑" w:eastAsia="微软雅黑"/>
          <w:b w:val="0"/>
          <w:i/>
          <w:color w:val="555555"/>
          <w:sz w:val="22"/>
        </w:rPr>
        <w:t>""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**参赛单位**：ICBC-WMP Team</w:t>
      </w:r>
    </w:p>
    <w:p>
      <w:pPr>
        <w:spacing w:before="60" w:after="60"/>
        <w:ind w:left="567"/>
      </w:pPr>
      <w:r>
        <w:rPr>
          <w:rFonts w:ascii="微软雅黑" w:hAnsi="微软雅黑" w:eastAsia="微软雅黑"/>
          <w:b w:val="0"/>
          <w:i/>
          <w:color w:val="555555"/>
          <w:sz w:val="22"/>
        </w:rPr>
        <w:t>""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**指导教师**：（待填写）</w:t>
      </w:r>
    </w:p>
    <w:p>
      <w:pPr>
        <w:spacing w:before="60" w:after="60"/>
        <w:ind w:left="567"/>
      </w:pPr>
      <w:r>
        <w:rPr>
          <w:rFonts w:ascii="微软雅黑" w:hAnsi="微软雅黑" w:eastAsia="微软雅黑"/>
          <w:b w:val="0"/>
          <w:i/>
          <w:color w:val="555555"/>
          <w:sz w:val="22"/>
        </w:rPr>
        <w:t>""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**团队成员**：（待填写）</w:t>
      </w:r>
    </w:p>
    <w:p>
      <w:pPr>
        <w:spacing w:before="60" w:after="60"/>
        <w:ind w:left="567"/>
      </w:pPr>
      <w:r>
        <w:rPr>
          <w:rFonts w:ascii="微软雅黑" w:hAnsi="微软雅黑" w:eastAsia="微软雅黑"/>
          <w:b w:val="0"/>
          <w:i/>
          <w:color w:val="555555"/>
          <w:sz w:val="22"/>
        </w:rPr>
        <w:t>""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**文档版本**：v1.0 | 2026年8月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CD2626"/>
          <w:sz w:val="32"/>
        </w:rPr>
        <w:t>摘  要</w:t>
      </w:r>
    </w:p>
    <w:p>
      <w:pPr>
        <w:spacing w:before="40" w:after="40"/>
        <w:pBdr>
          <w:bottom w:val="single" w:sz="6" w:space="1" w:color="CD2626"/>
        </w:pBdr>
      </w:pP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在"理财中有那么多专业名词数据，我们能怎么参与其中"这一命题之下，本项目打造了一款面向工商银行的智能财富规划系统——「智盈」（项目代号：ICBC-WMP）。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系统以"金字塔资产配置模型"为核心算法引擎，融合"双轨二叉决策树"客户分层、"现金流永续测算"养老规划、合规检查、产品推荐等五大算法模块，将晦涩的专业金融知识转化为通俗易懂的可视化交互，让每一位普通投资者都能在3至5分钟内获得属于自己的专属资产配置方案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「智盈」深度响应了国家金融监督管理总局2026年发布的《金融机构产品适当性管理办法》（以下简称"适当性办法"）的核心精神，以技术手段将"了解你的产品、了解你的客户、适当性匹配"三大义务内嵌于系统全流程。在践行"以人民为中心"的金融价值取向的同时，系统为银行构建了一套可审计、可追溯、可持续的智能投顾基础设施，让专业的财富管理服务从"高净值人群专属"变为"人人可用的公共服务"。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CD2626"/>
          <w:sz w:val="32"/>
        </w:rPr>
        <w:t>目 录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第一章 项目概述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第二章 时代背景与问题分析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第三章 产品设计与用户体验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第四章 核心算法与技术实现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第五章 合规性与安全性设计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第六章 技术架构与系统实现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第七章 创新亮点与差异化优势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第八章 社会价值与未来展望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CD2626"/>
          <w:sz w:val="32"/>
        </w:rPr>
        <w:t>第一章 项目概述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1.1 项目简介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「智盈」是一款面向工商银行的智能财富规划系统，旨在为普通投资者提供"一站式、低门槛、专业化"的资产配置服务。系统基于用户可投资资产、风险偏好、理财目标等维度，自动完成客户分层、资产配置、产品推荐、合规检查和养老规划等全流程服务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项目名称「智盈」，寓意"智慧理财，稳健盈利"，同时谐音"值赢"——通过科学的配置，让每一位用户的财富配置方案都能"值"得信赖，并在长期持有中获得"赢"。</w:t>
      </w: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1.2 项目定位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维度</w:t>
            </w:r>
          </w:p>
        </w:tc>
        <w:tc>
          <w:tcPr>
            <w:tcW w:type="dxa" w:w="4252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目标用户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工商银行存量客户，尤其是可投资资产在20万至100万区间的大众及富裕客户群体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服务场景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线上财富规划全流程（手机银行/网上银行嵌入式），可作为网点客户经理辅助工具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核心价值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将机构级投顾逻辑产品化，降低财富管理服务门槛，实现普惠金融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技术定位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前端展示系统（Next.js）+ 算法引擎（TypeScript）+ 后端数据安全（Neon Postgres）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1.3 核心功能模块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模块</w:t>
            </w:r>
          </w:p>
        </w:tc>
        <w:tc>
          <w:tcPr>
            <w:tcW w:type="dxa" w:w="4252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功能描述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客户分层引擎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基于双轨决策树算法，综合资产规模、风险等级、DTI、保障缺口等五维因素，自动将客户划分为7档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金字塔配置引擎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将大类资产配置映射为"现金/稳健/成长/卫星"四层，动态适配个人约束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产品推荐引擎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5维度加权评分，从24类、数百只产品中精选最匹配标的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现金流永续测算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从当前到退休的积累期+退休后至100岁的提取期全程模拟，判断养老规划可持续性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合规检查引擎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12类自动检查项，将《适当性办法》49条要求转化为可执行规则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1.4 项目成果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成果类型</w:t>
            </w:r>
          </w:p>
        </w:tc>
        <w:tc>
          <w:tcPr>
            <w:tcW w:type="dxa" w:w="4252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可演示系统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Next.js全栈应用，包含完整UI和算法逻辑，数据来自ICBC真实产品库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算法代码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TypeScript实现的双轨决策树、金字塔引擎、现金流模型、合规模型，约5000行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产品数据库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覆盖24类金融产品的结构化数据，含风险等级、流动性、历史收益等字段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技术文档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架构设计文档、算法说明文档、合规映射表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CD2626"/>
          <w:sz w:val="32"/>
        </w:rPr>
        <w:t>第二章 时代背景与问题分析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2.1 宏观背景：共同富裕时代的财富管理新命题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党的二十大报告明确提出，要"规范财富积累机制"，多措并举增加城乡居民财产性收入。在这一历史进程中，财富管理正在从高净值人群的专属服务，向千家万户的普遍需求转型。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然而，一个不容忽视的现实是：我国城镇居民家庭金融资产构成中，定期存款占比长期超过50%，大量居民的理财需求被压制在"存银行"的初级阶段。造成这一现象的根本原因，并非居民缺乏理财意愿，而是三重结构性障碍：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认知障碍：固收+、夏普比率、安全提取率、年金终值等专业术语构成的屏障，让普通人在面对金融资产时感到无从下手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服务障碍：传统财富管理依赖客户经理一对一服务，优质投顾服务的成本决定了其只能面向高净值人群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信任障碍：各类理财亏损新闻频发，普通投资者对金融机构的推荐存在普遍的不信任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金融机构的产品越来越丰富，但服务的可及性和普惠性并未同步提升，财富管理的"最后一公里"问题亟待解决。</w:t>
      </w: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2.2 政策背景：《适当性办法》开启行业新范式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2026年2月1日正式施行的《金融机构产品适当性管理办法》，是我国金融消费者权益保护领域具有里程碑意义的监管文件。该办法共五章四十九条，其核心要义可以概括为三个关键词：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**"了解你的产品"** — 金融机构必须清晰界定产品的属性特征、风险水平和适合的客户范围。（第9条）</w:t>
      </w:r>
    </w:p>
    <w:p>
      <w:pPr>
        <w:spacing w:before="60" w:after="60"/>
        <w:ind w:left="567"/>
      </w:pPr>
      <w:r>
        <w:rPr>
          <w:rFonts w:ascii="微软雅黑" w:hAnsi="微软雅黑" w:eastAsia="微软雅黑"/>
          <w:b w:val="0"/>
          <w:i/>
          <w:color w:val="555555"/>
          <w:sz w:val="22"/>
        </w:rPr>
        <w:t>""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**"了解你的客户"** — 金融机构必须在合理范围内收集客户信息，评估其财务状况、风险承受能力和投资需求。（第10条、第25条）</w:t>
      </w:r>
    </w:p>
    <w:p>
      <w:pPr>
        <w:spacing w:before="60" w:after="60"/>
        <w:ind w:left="567"/>
      </w:pPr>
      <w:r>
        <w:rPr>
          <w:rFonts w:ascii="微软雅黑" w:hAnsi="微软雅黑" w:eastAsia="微软雅黑"/>
          <w:b w:val="0"/>
          <w:i/>
          <w:color w:val="555555"/>
          <w:sz w:val="22"/>
        </w:rPr>
        <w:t>""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**"适当性匹配"** — 金融机构必须将适当的产品，通过适当的渠道，销售给适合的客户。（第4条）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《办法》第14条特别强调："金融机构通过互联网等线上方式销售产品的，应当将适当性管理嵌入流程，充分履行适当性义务，保障客户的知情权、自主选择权等合法权益。" 这一条款明确为智能投顾系统的建设提供了政策方向——将适当性义务数字化、智能化，是金融机构必须完成的任务，也是金融科技创新的历史性机遇。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值得关注的是，《答记者问》指出："培育消费者风险意识，切实保护金融消费者合法权益"是下一阶段金融监管的重点工作方向。这意味着，财富管理平台不仅要完成合规动作，更要在服务过程中实现投资者教育，帮助客户在决策中理解风险、认知自身——这也正是本项目的核心设计理念。</w:t>
      </w: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2.3 技术背景：大模型时代的智能投顾机遇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近年来，以大语言模型（LLM）为代表的人工智能技术飞速发展，为金融科技领域带来了前所未有的变革机遇。在财富管理赛道，智能投顾（Robo-Advisor）已经从早期的"规则引擎+简单配置"阶段，发展到"AI驱动+自然语言交互"的新阶段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然而，国内智能投顾市场仍面临两大核心挑战：其一，合规性门槛——监管明确要求适当性匹配、风险揭示不可绕过，纯AI推荐存在合规风险；其二，用户信任——普通用户对黑盒AI的推荐逻辑缺乏理解，导致接受度不高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「智盈」的策略是：以规则引擎确保合规底线，以透明算法建立用户信任，以交互设计完成投资者教育。 算法逻辑对用户可见但无需用户理解，这既满足了监管的合规要求，也创造了良好的用户体验。</w:t>
      </w: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2.4 命题回应：「智盈」的系统性解决思路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面对"理财中有那么多专业名词数据，我们能怎么参与其中"这一核心命题，「智盈」的回答是：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**不是让用户去学习这些名词，而是让系统理解这些名词，然后直接给用户一个看得懂、用得上、靠得住的答案。**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「智盈」没有选择简单地将金融产品页面"翻译"成白话文，而是从根本上重构了用户体验的逻辑链条：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认知解构：将"大类资产配置""风险收益特征""流动性管理"等专业概念，翻译为用户可以直观感知的生活场景（安全垫、压舱石、探索）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决策赋能：用算法替代客户经理的经验判断，让每位用户都能在无需金融背景知识的情况下，获得科学的配置方案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合规内嵌：将《适当性办法》的49条要求转化为系统逻辑，让监管合规不再是业务的事后检查，而是业务流程的内在基因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教育融合：用户在规划过程中自然完成金融知识启蒙，不需要预先学习任何专业术语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CD2626"/>
          <w:sz w:val="32"/>
        </w:rPr>
        <w:t>第三章 产品设计与用户体验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3.1 设计理念："以人为本"的三层含义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「智盈」的产品设计遵循"以人为本"的理念，这四个字在本项目中包含三个递进的层次：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第一层：以用户的认知水平为中心。 我们不要求用户预先理解任何金融专业术语，而是将专业逻辑隐藏在系统后台，在用户界面呈现的始终是直观的图形、可量化的结论和具体的产品推荐。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第二层：以用户的实际需求为中心。 系统的所有算法输入均来自用户的真实财务状况（年收入、支出、资产、负债）和生活目标（退休、子女教育、财富传承），而非预设的产品销售导向。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第三层：以用户的长期利益为中心。 系统不仅推荐产品，更帮助用户理解为什么这样配置、这样做有什么风险、退休后钱是否够花——这些信息帮助用户做出真正符合自身长期利益的决策，而非被短期收益诱惑。</w:t>
      </w: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3.2 用户旅程：从"看不懂"到"我懂了、我选了"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「智盈」的用户体验设计遵循一个核心理念：用户在规划过程中完成自我教育。整个流程分为四个步骤，约需3至5分钟：</w:t>
      </w:r>
    </w:p>
    <w:p>
      <w:pPr>
        <w:ind w:left="283"/>
        <w:shd w:val="clear" w:color="auto" w:fill="F0F0F0"/>
      </w:pPr>
      <w:r>
        <w:rPr>
          <w:rFonts w:ascii="Consolas" w:hAnsi="Consolas" w:eastAsia="Consolas"/>
          <w:b w:val="0"/>
          <w:color w:val="2E2E2E"/>
          <w:sz w:val="18"/>
        </w:rPr>
        <w:t>步骤一：档案确认 ──→ 步骤二：目标与保障 ──→ 步骤三：智能规划 ──→ 步骤四：预约登记</w:t>
      </w:r>
    </w:p>
    <w:p>
      <w:pPr>
        <w:pStyle w:val="Heading3"/>
      </w:pPr>
      <w:r>
        <w:rPr>
          <w:rFonts w:ascii="微软雅黑" w:hAnsi="微软雅黑" w:eastAsia="微软雅黑"/>
          <w:b/>
          <w:color w:val="1A1A1A"/>
          <w:sz w:val="22"/>
        </w:rPr>
        <w:t>3.2.1 步骤一 · 客户档案（Welcome &amp; Customer）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用户登录后，首先看到来自工商银行私人银行的专属欢迎函，感受到服务的专业性。系统展示从银行端继承的客户档案——姓名、年龄、职业、风险等级（R1-R5）等核心信息，让用户意识到：系统已经"认识"你了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特别设计的是，系统会展示风险等级光谱图——用5根渐变色柱直观展示R1到R5的风险梯度，并高亮标注用户当前所在位置。这一设计的精妙之处在于：用户不需要理解"R3平衡型"的字面含义，只需要看到自己的位置在中间偏右，就能立刻对"我的风险承受能力"产生具象感知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同时，系统展示两项关键洞察：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洞察一：购买力侵蚀预警。 系统以2.5%的年通胀率为基准，逐年计算用户的可投资资产在通货膨胀下的实际购买力。当用户看到"30年后，您的50万实际只值约20万"这样直白的表述，配合柱状图逐年递减的视觉冲击，"为什么要理财"的答案不言自明。系统同时给出"购买力减半年数"这一关键指标——即以当前储蓄率，资产实际购买力减半需要多少年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洞察二：同业基准对比。 系统自动将用户的当前理财收益（假设为活期存款利率0.35%）与"画像相似客户群体"的平均年化收益（4.2%）进行对比，展示"年化机会成本¥XX，10年累计差距含复利¥XX"。这一设计将抽象的"理财必要性"转化为用户可以立刻感知的经济损失，让理性决策变成情感共鸣。</w:t>
      </w:r>
    </w:p>
    <w:p>
      <w:pPr>
        <w:pStyle w:val="Heading3"/>
      </w:pPr>
      <w:r>
        <w:rPr>
          <w:rFonts w:ascii="微软雅黑" w:hAnsi="微软雅黑" w:eastAsia="微软雅黑"/>
          <w:b/>
          <w:color w:val="1A1A1A"/>
          <w:sz w:val="22"/>
        </w:rPr>
        <w:t>3.2.2 步骤二 · 目标与保障（KYC）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KYC（了解你的客户）流程是《适当性办法》第25条的核心要求——金融机构必须"在合理范围内收集客户信息，评估客户情况"。但「智盈」没有将KYC做成一份令人望而却步的"问卷"，而是将其融入四个子页面，渐进式收集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子页面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采集维度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对应法规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基本信息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年龄、职业、家庭结构、收入稳定性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《适当性办法》第25条（一）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财务状况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年收入、支出、可投资资产、负债收入比（DTI）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《适当性办法》第25条（二）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理财目标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退休规划、子女教育、财富传承、资产增值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《适当性办法》第25条（四）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风险偏好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继承银行端R1-R5评估结果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《适当性办法》第29条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每个子页面只采集与当前决策最相关的信息，避免信息过载。同时，系统在后台实时运行双轨决策树算法，动态评估客户分层，用户无需感知算法的存在。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特别值得一提的是，KYC流程中嵌入了保险保障状况评估模块。系统综合评估用户的寿险、重疾险、医疗险覆盖情况，当某项缺失时用红色高亮标注，并给出"保障缺口"的具体数字。保险保障的缺口往往被用户忽视，但通过可视化图表，缺失项一目了然——这一设计既服务于资产配置的合理性（保障先行，理财在后），也在过程中完成了投资者的风险教育。</w:t>
      </w:r>
    </w:p>
    <w:p>
      <w:pPr>
        <w:pStyle w:val="Heading3"/>
      </w:pPr>
      <w:r>
        <w:rPr>
          <w:rFonts w:ascii="微软雅黑" w:hAnsi="微软雅黑" w:eastAsia="微软雅黑"/>
          <w:b/>
          <w:color w:val="1A1A1A"/>
          <w:sz w:val="22"/>
        </w:rPr>
        <w:t>3.2.3 步骤三 · 智能规划（Plan）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这是整个流程的核心。用户在此看到三件相互关联的事情：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第一件事：金字塔资产配置方案。 系统以"金字塔"图形为核心展示资产在四层中的分配比例和具体金额。每层的命名不使用专业术语，而是用生活语言：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现金层（安全垫）：随时可用的资金，应对突发情况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稳健层（压舱石）：家庭财务的稳定器，追求稳健增值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成长层（增值主力）：追求长期资本增值的发动机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卫星层（探索收益）：小比例博取更高回报的尝试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这一设计直接呼应了命题中"专业名词数据"的认知屏障问题——我们不是"翻译"术语，而是消灭术语。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同时，系统在配置结果旁展示约束修正记录，告知用户配置比例背后的决策逻辑："因为您的DTI为35%，系统自动提高了现金层比例""因为距退休还有3年，系统已将部分成长资金转入稳健层"。这些说明让用户理解配置结果背后的原因，而非被动接受一个"黑盒"答案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第二件事：现金流永续测算。 系统计算用户从现在到退休的积累路径，以及退休后每月可领取的养老金与实际生活支出之间的缺口。当缺口出现时，系统会给出"若要弥补这一缺口，建议每月额外定投¥XXX"这样的具体建议——用户不需要理解年金终值公式，只需要知道"我每个月多投这么多，退休后就够了"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第三件事：产品推荐。 基于金字塔各层的配置金额，系统从ICBC产品库中为每层精选最匹配的3只产品，每只产品附带简洁的推荐理由——用户看到的不是"该产品夏普比率1.2"，而是"该产品与您的退休规划目标高度匹配，历史年化波动较低，适合稳健持有"。</w:t>
      </w:r>
    </w:p>
    <w:p>
      <w:pPr>
        <w:pStyle w:val="Heading3"/>
      </w:pPr>
      <w:r>
        <w:rPr>
          <w:rFonts w:ascii="微软雅黑" w:hAnsi="微软雅黑" w:eastAsia="微软雅黑"/>
          <w:b/>
          <w:color w:val="1A1A1A"/>
          <w:sz w:val="22"/>
        </w:rPr>
        <w:t>3.2.4 步骤四 · 预约登记（Reservation）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用户确认方案后，系统生成一份仿银行回单风格的预约单，包含产品明细、总金额、预约编号、生成时间等信息，作为后续到网点办理业务的凭证。这一设计既满足了《适当性办法》第17条"适当性管理过程可回溯"的要求，也为用户提供了确定感和仪式感——用户的规划决策被正式记录和确认。</w:t>
      </w: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3.3 核心交互设计亮点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交互设计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设计目标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心理效果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风险光谱图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将R1-R5风险等级可视化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"我的风险承受能力"具象化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购买力侵蚀柱状图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展示通胀对储蓄的长期侵蚀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激发理财紧迫感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同业基准对比条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与相似客户群体的收益差距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量化机会成本，产生损失厌恶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金字塔四层图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将资产配置翻译为生活场景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理解"为什么要分四层"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现金流里程碑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退休各阶段资产变化模拟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理解"我老了是否够钱"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保险保障雷达图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可视化保障缺口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激发保障配置意识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CD2626"/>
          <w:sz w:val="32"/>
        </w:rPr>
        <w:t>第四章 核心算法与技术实现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4.1 双轨二叉决策树——智能客户分层引擎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「智盈」采用"主树+子树"的双轨决策架构，将客户分层过程从依赖经验判断的传统模式，升级为基于规则的自动化算法。</w:t>
      </w:r>
    </w:p>
    <w:p>
      <w:pPr>
        <w:pStyle w:val="Heading3"/>
      </w:pPr>
      <w:r>
        <w:rPr>
          <w:rFonts w:ascii="微软雅黑" w:hAnsi="微软雅黑" w:eastAsia="微软雅黑"/>
          <w:b/>
          <w:color w:val="1A1A1A"/>
          <w:sz w:val="22"/>
        </w:rPr>
        <w:t>4.1.1 主树：资产规模 × 风险等级的粗分引擎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主树以可投资资产规模和风险等级两个维度，将客户划分为7个基础档位：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资产规模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风险等级R1-R2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风险等级R3-R5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对应分层名称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≥65岁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A1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银发稳健族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&lt; 20万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B1-1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B1-2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大众稳健族 / 大众进取族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20-50万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B2-1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B2-2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均衡成长族 / 进取成长族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50-100万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B3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B3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高净值预备族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≥ 100万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B4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B4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高净值族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65岁以上客户无论资产规模，一律归入A1 银发稳健族，权益上限强制≤10%，直接响应《适当性办法》第18条"65周岁以上客户的特别保护义务"。</w:t>
      </w:r>
    </w:p>
    <w:p>
      <w:pPr>
        <w:pStyle w:val="Heading3"/>
      </w:pPr>
      <w:r>
        <w:rPr>
          <w:rFonts w:ascii="微软雅黑" w:hAnsi="微软雅黑" w:eastAsia="微软雅黑"/>
          <w:b/>
          <w:color w:val="1A1A1A"/>
          <w:sz w:val="22"/>
        </w:rPr>
        <w:t>4.1.2 子树：五维合规并行校验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子树从五个维度对主树结果进行修正，每个维度可触发硬标签（hard constraint）或软标签（soft constraint）：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维度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触发条件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调整效果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规则依据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年龄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≥65岁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权益上限→10%，降一档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《适当性办法》第18条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收入稳定性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波动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权益上限-10%，降一档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审慎性原则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负债压力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DTI≥40%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权益上限-15%，降一档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行业警戒线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保障缺口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寿险&lt;年收入×3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权益上限-10%，降一档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风险管理原则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投资经验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&lt;1年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权益上限-10%，降一档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《适当性办法》第25条（三）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算法策略：硬标签取最严格者，软标签叠加。65岁以上的权益上限10%为独立硬约束，不受其他标签叠加影响。这一设计确保了在任何情况下，系统的配置建议都符合最审慎的合规要求。</w:t>
      </w:r>
    </w:p>
    <w:p>
      <w:pPr>
        <w:pStyle w:val="Heading3"/>
      </w:pPr>
      <w:r>
        <w:rPr>
          <w:rFonts w:ascii="微软雅黑" w:hAnsi="微软雅黑" w:eastAsia="微软雅黑"/>
          <w:b/>
          <w:color w:val="1A1A1A"/>
          <w:sz w:val="22"/>
        </w:rPr>
        <w:t>4.1.3 算法特点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透明可解释：每一步分类决策均记录路径（path）和调整原因（reason），用户可在方案页查看完整的分层推导过程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合规内嵌：所有调整维度均对应明确的法规条款，无经验性判断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置信度量化：算法输出置信度（confidence）指标，当触发标签过多时自动降权</w:t>
      </w: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4.2 金字塔配置引擎——四层防御性资产配置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金字塔模型是诺贝尔经济学奖得主哈里·马科维茨（Harry Markowitz）现代投资组合理论的工程化落地。我们将其简化为四层结构，在保持核心理念（风险分层、分散化、流动性管理）的同时，大幅降低认知门槛：</w:t>
      </w:r>
    </w:p>
    <w:p>
      <w:pPr>
        <w:ind w:left="283"/>
        <w:shd w:val="clear" w:color="auto" w:fill="F0F0F0"/>
      </w:pPr>
      <w:r>
        <w:rPr>
          <w:rFonts w:ascii="Consolas" w:hAnsi="Consolas" w:eastAsia="Consolas"/>
          <w:b w:val="0"/>
          <w:color w:val="2E2E2E"/>
          <w:sz w:val="18"/>
        </w:rPr>
        <w:t xml:space="preserve">                    ★ 卫星层（5-20%）</w:t>
        <w:br/>
        <w:t xml:space="preserve">                      投资品种：QDII、REITs、黄金</w:t>
        <w:br/>
        <w:t xml:space="preserve">                      目标：分散化、追求超额收益</w:t>
        <w:br/>
        <w:t xml:space="preserve">                      风险等级：R4-R5</w:t>
        <w:br/>
        <w:br/>
        <w:t xml:space="preserve">              ════ 成长层（20-40%）</w:t>
        <w:br/>
        <w:t xml:space="preserve">                      投资品种：混合基金、股票基金、指数基金、ESG基金</w:t>
        <w:br/>
        <w:t xml:space="preserve">                      目标：长期资本增值</w:t>
        <w:br/>
        <w:t xml:space="preserve">                      风险等级：R3-R5</w:t>
        <w:br/>
        <w:br/>
        <w:t xml:space="preserve">      ══════ 稳健层（30-50%）</w:t>
        <w:br/>
        <w:t xml:space="preserve">              投资品种：银行理财PR2、债券基金、养老目标FOF、年金险</w:t>
        <w:br/>
        <w:t xml:space="preserve">              目标：稳健增值、对抗通胀</w:t>
        <w:br/>
        <w:t xml:space="preserve">              风险等级：R1-R4</w:t>
        <w:br/>
        <w:br/>
        <w:t xml:space="preserve">  ████████ 现金层（10-20%）</w:t>
        <w:br/>
        <w:t xml:space="preserve">            投资品种：货币基金、天天理财、活期存款</w:t>
        <w:br/>
        <w:t xml:space="preserve">            目标：流动性安全垫</w:t>
        <w:br/>
        <w:t xml:space="preserve">            风险等级：R1-R5</w:t>
      </w:r>
    </w:p>
    <w:p>
      <w:pPr>
        <w:pStyle w:val="Heading3"/>
      </w:pPr>
      <w:r>
        <w:rPr>
          <w:rFonts w:ascii="微软雅黑" w:hAnsi="微软雅黑" w:eastAsia="微软雅黑"/>
          <w:b/>
          <w:color w:val="1A1A1A"/>
          <w:sz w:val="22"/>
        </w:rPr>
        <w:t>4.2.1 约束修正引擎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金字塔不是一张静态图谱，而是一套动态约束修正系统，包含以下自动触发规则：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约束规则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触发条件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修正方式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依据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流动性硬约束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现金层&lt;3个月支出/可投资资产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现金层提升至下限，优先从成长层扣减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生活保障优先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适老保护约束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年龄≥65岁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权益上限≤10%，卫星层归零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《适当性办法》第18条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负债压力约束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DTI≥30%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现金层提升至≥20%，不足部分从成长→稳健扣减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偿债能力保护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养老临近约束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距退休≤5年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成长层30%资金转入稳健层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资金安全性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color w:val="1A1A1A"/>
          <w:sz w:val="22"/>
        </w:rPr>
        <w:t>4.2.2 产品推荐评分体系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在确定了各层配置比例和金额后，系统需要从24类、数百只产品中选出最合适的标的。「智盈」建立了一套5维度加权评分体系：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评分维度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分值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评分逻辑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风险适配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30分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产品风险等级≤客户承受等级，得满分；否则0分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流动性匹配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20分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根据产品所处金字塔层的需求，对"T+0/T+1/封闭期"给予不同分值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目标匹配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20分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产品适合目标集合∩客户目标集合，非空得满分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费用结构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10分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管理费+认购费综合越低分值越高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风险收益特征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20分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夏普比率 = (历史年化收益 - 2.5%无风险利率) / 年化波动率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每个金字塔层取评分最高的3只产品（不同子类别各取1只，避免同质化推荐），并在推荐理由中用生活语言说明推荐逻辑。</w:t>
      </w: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4.3 现金流永续测算引擎——让养老规划不再模糊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现金流测算是「智盈」最具差异化的功能之一。它解决的是用户最关心但也最难自行计算的问题："我老了，钱到底够不够？"</w:t>
      </w:r>
    </w:p>
    <w:p>
      <w:pPr>
        <w:pStyle w:val="Heading3"/>
      </w:pPr>
      <w:r>
        <w:rPr>
          <w:rFonts w:ascii="微软雅黑" w:hAnsi="微软雅黑" w:eastAsia="微软雅黑"/>
          <w:b/>
          <w:color w:val="1A1A1A"/>
          <w:sz w:val="22"/>
        </w:rPr>
        <w:t>4.3.1 积累期测算（当前至退休）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从现在到退休，系统计算两笔账：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现有资产的复利增长：可投资资产 × (1 + 组合预期年化收益)^年数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月结余定投的年金终值：每月结余（年收入/12 - 月支出 - 月供 - 其他负债）× 年金终值系数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组合预期年化收益按金字塔各层配置比例加权计算（无持仓时按各层默认值估算）。</w:t>
      </w:r>
    </w:p>
    <w:p>
      <w:pPr>
        <w:pStyle w:val="Heading3"/>
      </w:pPr>
      <w:r>
        <w:rPr>
          <w:rFonts w:ascii="微软雅黑" w:hAnsi="微软雅黑" w:eastAsia="微软雅黑"/>
          <w:b/>
          <w:color w:val="1A1A1A"/>
          <w:sz w:val="22"/>
        </w:rPr>
        <w:t>4.3.2 退休期测算（退休至100岁）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退休后，系统采用安全提取率（Safe Withdrawal Rate）方法：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权益占比（成长+卫星层）</w:t>
            </w:r>
          </w:p>
        </w:tc>
        <w:tc>
          <w:tcPr>
            <w:tcW w:type="dxa" w:w="4252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安全提取率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&lt; 10%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3.0%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10-20%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3.5%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20-30%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4.0%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30-40%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4.3%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≥ 40%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4.5%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养老金估算遵循中国社保"多缴多得"原则，缴费年限15年→替代率40%；30年→替代率50%；40年→替代率60%。用户不需要知道这些数字，只需要看到"退休后月养老金¥XXX，月度缺口¥XXX"的结论。</w:t>
      </w:r>
    </w:p>
    <w:p>
      <w:pPr>
        <w:pStyle w:val="Heading3"/>
      </w:pPr>
      <w:r>
        <w:rPr>
          <w:rFonts w:ascii="微软雅黑" w:hAnsi="微软雅黑" w:eastAsia="微软雅黑"/>
          <w:b/>
          <w:color w:val="1A1A1A"/>
          <w:sz w:val="22"/>
        </w:rPr>
        <w:t>4.3.3 永续性判断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系统逐年模拟从退休到100岁的资产变化，判断配置方案是否能够"永续"——即活到100岁资产仍未耗尽。如果不能永续，系统会给出"资产将在XX岁耗尽"的预警，以及"若要实现永续，建议每月额外定投¥XXX"的量化建议。</w:t>
      </w: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4.4 合规检查引擎——适当性义务的数字化执行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合规检查引擎是整个系统的"守门人"，它将《适当性办法》的49条要求转化为12类自动检查项：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检查类型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违规后果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规则依据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KYC有效性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BLOCK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《适当性办法》第12条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风险等级匹配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BLOCK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《适当性办法》第12条（一）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产品年龄限制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BLOCK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《适当性办法》第23条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起购金额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WARN/BLOCK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《适当性办法》第12条（二）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65+特别保护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WARN/BLOCK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《适当性办法》第18条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万能险年龄要求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《适当性办法》第37条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私募合格投资者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BLOCK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《适当性办法》第30条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QDII汇率风险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风险揭示义务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REITs流动性风险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风险揭示义务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每项检查结果映射为四种合规状态：PASS（通过）、WARN（警告）、BLOCK（阻断）、NEED_MORE_DATA（需补充数据）。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对用户界面，系统只显示WARN和BLOCK项的具体原因，PASS项用户无感知——合规逻辑隐藏在后台，合规结果以友好方式呈现。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CD2626"/>
          <w:sz w:val="32"/>
        </w:rPr>
        <w:t>第五章 合规性与安全性设计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5.1 合规性论证矩阵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「智盈」的设计决策均有明确的法规依据。以下表格列出了每个核心设计模块与《适当性办法》条款的对应关系：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系统设计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对应法规条款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实施方式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客户风险等级直接继承银行端评估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《适当性办法》第5条、第29条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系统不重复测评，直接采用银行端结果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65+特别保护机制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《适当性办法》第18条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自动触发适老约束，权益上限≤10%，卫星层归零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KYC渐进式信息采集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《适当性办法》第10条、第25条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最小必要原则，仅采集与适当性相关的信息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算法生成适当性匹配意见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《适当性办法》第5条、第31条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界面明确展示"适当性匹配意见"，不构成收益承诺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产品推荐附随推荐理由和风险揭示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《适当性办法》第13条、第31条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每只推荐产品附带推荐逻辑说明和风险提示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全流程无保本保收益表述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《适当性办法》第13条（二）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界面明确"投资有风险，决策需谨慎"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超标产品自动BLOCK不展示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《适当性办法》第13条（三）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合规引擎对风险等级超标产品自动阻断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互联网渠道适当性管理内嵌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《适当性办法》第14条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全流程线上化，适当性管理嵌入每个交互节点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适当性管理过程可回溯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《适当性办法》第17条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预约单包含完整配置参数、算法版本、时间戳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客户信息保护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《适当性办法》第10条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5层字段级脱敏 + RLS行级安全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5.2 数据安全体系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后端项目「工行杯」构建了完整的数据安全基础设施，深度响应《适当性办法》第10条"金融机构应当履行客户信息保护义务，确保客户信息安全"的要求：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5层字段级脱敏：根据查看者身份（客户本人/客户经理/公开演示），对身份证号、姓名、手机号、收入、资产分别应用不同精度的脱敏策略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RLS行级安全：基于PostgreSQL的行级安全策略（Row-Level Security），确保客户只能访问自己的数据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访问审计日志：每次敏感字段读取均记录访问日志（访问者、访问时间、访问字段），满足《适当性办法》第17条"适当性管理过程可回溯"的要求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数据加密：身份证号SHA-256哈希 + AES-256-GCM加密存储，确保原始数据不泄露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会话安全：JWT 30分钟过期，bcrypt密码哈希</w:t>
      </w: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5.3 合规文化的体现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「智盈」不仅在功能层面实现了合规，更在产品设计中体现了合规文化的理念：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透明性：所有配置决策的背后逻辑均对用户可见，用户不仅知道"系统推荐了什么"，更知道"系统为什么这样推荐"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可选择性：系统提供用户手动调整金字塔比例的功能，但调整后立即重新运行合规检查，超标时给出明确警告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教育导向：免责声明和风险提示贯穿全流程，但呈现方式不是冰冷的法律条文，而是结合具体场景的友好提示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CD2626"/>
          <w:sz w:val="32"/>
        </w:rPr>
        <w:t>第六章 技术架构与系统实现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6.1 系统架构概览</w:t>
      </w:r>
    </w:p>
    <w:p>
      <w:pPr>
        <w:ind w:left="283"/>
        <w:shd w:val="clear" w:color="auto" w:fill="F0F0F0"/>
      </w:pPr>
      <w:r>
        <w:rPr>
          <w:rFonts w:ascii="Consolas" w:hAnsi="Consolas" w:eastAsia="Consolas"/>
          <w:b w:val="0"/>
          <w:color w:val="2E2E2E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  用户体验层（Next.js 14 App Router）        │</w:t>
        <w:br/>
        <w:t>│  欢迎页 → KYC四步流 → 资产配置方案 → 养老测算 → 预约单        │</w:t>
        <w:br/>
        <w:t>│  全站工商银行品牌视觉系统（工行红+金色）                        │</w:t>
        <w:br/>
        <w:t>└──────────────────────────────────────────────────────────────┘</w:t>
        <w:br/>
        <w:t xml:space="preserve">                               ↓</w:t>
        <w:br/>
        <w:t>┌──────────────────────────────────────────────────────────────┐</w:t>
        <w:br/>
        <w:t>│                    智能算法层（Pure TypeScript）                │</w:t>
        <w:br/>
        <w:t>│  ┌──────────────┐  ┌──────────────┐  ┌──────────────────┐  │</w:t>
        <w:br/>
        <w:t>│  │ 双轨决策树    │  │ 金字塔配置   │  │  现金流永续测算  │  │</w:t>
        <w:br/>
        <w:t>│  │ 客户分层引擎  │  │ 配置引擎     │  │  养老规划引擎    │  │</w:t>
        <w:br/>
        <w:t>│  │ v1.0         │  │ v1.0         │  │  v1.0            │  │</w:t>
        <w:br/>
        <w:t>│  └──────────────┘  └──────────────┘  └──────────────────┘  │</w:t>
        <w:br/>
        <w:t>│  ┌──────────────┐  ┌──────────────┐                        │</w:t>
        <w:br/>
        <w:t>│  │ 产品推荐引擎  │  │ 合规检查引擎 │                        │</w:t>
        <w:br/>
        <w:t>│  │ 5维度评分    │  │ 12类检查项   │                        │</w:t>
        <w:br/>
        <w:t>│  └──────────────┘  └──────────────┘                        │</w:t>
        <w:br/>
        <w:t>└──────────────────────────────────────────────────────────────┘</w:t>
        <w:br/>
        <w:t xml:space="preserve">                               ↓</w:t>
        <w:br/>
        <w:t>┌──────────────────────────────────────────────────────────────┐</w:t>
        <w:br/>
        <w:t>│                    数据与安全层                                │</w:t>
        <w:br/>
        <w:t>│  ┌──────────────────────┐  ┌──────────────────────────────┐│</w:t>
        <w:br/>
        <w:t>│  │ ICBC产品数据库        │  │ 客户画像与KYC数据              ││</w:t>
        <w:br/>
        <w:t>│  │ 24类金融产品           │  │ 脱敏API + 访问日志             ││</w:t>
        <w:br/>
        <w:t>│  │ 结构化字段（风险/收益） │  │                               ││</w:t>
        <w:br/>
        <w:t>│  └──────────────────────┘  └──────────────────────────────┘│</w:t>
        <w:br/>
        <w:t>│  ┌──────────────────────────────────────────────────────────┐│</w:t>
        <w:br/>
        <w:t>│  │ 后端安全层（工行杯项目）：Neon Postgres + RLS + Prisma ORM ││</w:t>
        <w:br/>
        <w:t>│  └──────────────────────────────────────────────────────────┘│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6.2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技术选型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版本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选择理由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Next.js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14.2.35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App Router的服务端渲染保障数据安全，layout机制天然支持多步骤表单的状态保持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React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18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组件化架构，算法模块可独立测试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TypeScript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全链路类型安全，算法逻辑的数学严谨性与代码严谨性一一对应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Tailwind CSS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3.4.1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原子化CSS实现工商银行品牌视觉系统，工行红+金色的设计语言贯穿全站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Neon Postgres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Serverless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分支（Branch）功能支持每个PR独立测试数据库，serverless冷启动极快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Prisma ORM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最新版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类型安全的数据库访问，与前端TypeScript无缝衔接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6.3 项目结构</w:t>
      </w:r>
    </w:p>
    <w:p>
      <w:pPr>
        <w:ind w:left="283"/>
        <w:shd w:val="clear" w:color="auto" w:fill="F0F0F0"/>
      </w:pPr>
      <w:r>
        <w:rPr>
          <w:rFonts w:ascii="Consolas" w:hAnsi="Consolas" w:eastAsia="Consolas"/>
          <w:b w:val="0"/>
          <w:color w:val="2E2E2E"/>
          <w:sz w:val="18"/>
        </w:rPr>
        <w:t>ICBC-WMP/                    # 前端展示系统（本次参赛主体）</w:t>
        <w:br/>
        <w:t>├── src/</w:t>
        <w:br/>
        <w:t>│   ├── app/                 # Next.js App Router 页面</w:t>
        <w:br/>
        <w:t>│   │   ├── welcome/         # 欢迎页</w:t>
        <w:br/>
        <w:t>│   │   ├── customer/        # 客户档案</w:t>
        <w:br/>
        <w:t>│   │   ├── kyc/            # KYC流程（basic/finance/goals/risk）</w:t>
        <w:br/>
        <w:t>│   │   ├── plan/           # 资产配置方案</w:t>
        <w:br/>
        <w:t>│   │   └── reservation/    # 预约单</w:t>
        <w:br/>
        <w:t>│   ├── components/          # 公共组件（SiteHeader/PageBar等）</w:t>
        <w:br/>
        <w:t>│   ├── lib/</w:t>
        <w:br/>
        <w:t>│   │   ├── algorithm/       # 算法模块</w:t>
        <w:br/>
        <w:t>│   │   │   ├── dual-tree.ts     # 双轨决策树</w:t>
        <w:br/>
        <w:t>│   │   │   ├── pyramid.ts       # 金字塔配置引擎</w:t>
        <w:br/>
        <w:t>│   │   │   ├── cashflow.ts     # 现金流永续测算</w:t>
        <w:br/>
        <w:t>│   │   │   └── compliance.ts   # 合规检查引擎</w:t>
        <w:br/>
        <w:t>│   │   ├── mock/data.ts    # ICBC产品数据 + 演示客户数据</w:t>
        <w:br/>
        <w:t>│   │   └── store.tsx       # 全局状态管理</w:t>
        <w:br/>
        <w:t>│   └── types/index.ts      # TypeScript类型定义</w:t>
        <w:br/>
        <w:t>├── data/icbc-products/     # ICBC真实产品数据</w:t>
        <w:br/>
        <w:t>└── screenshots/            # UI截图</w:t>
        <w:br/>
        <w:br/>
        <w:t>工行杯/                      # 后端安全系统（数据安全与合规基础）</w:t>
        <w:br/>
        <w:t>├── prisma/</w:t>
        <w:br/>
        <w:t>│   ├── schema.prisma       # 数据模型（10张表）</w:t>
        <w:br/>
        <w:t>│   └── sql/                # DDL + RLS策略</w:t>
        <w:br/>
        <w:t>└── src/</w:t>
        <w:br/>
        <w:t xml:space="preserve">    ├── app/api/            # 脱敏API端点</w:t>
        <w:br/>
        <w:t xml:space="preserve">    ├── components/         # 脱敏组件（MaskedField等）</w:t>
        <w:br/>
        <w:t xml:space="preserve">    └── lib/</w:t>
        <w:br/>
        <w:t xml:space="preserve">        ├── secure-db.ts    # RLS安全封装</w:t>
        <w:br/>
        <w:t xml:space="preserve">        └── masking.ts      # 脱敏工具函数</w:t>
      </w: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6.4 数据模型</w:t>
      </w:r>
    </w:p>
    <w:p>
      <w:pPr>
        <w:ind w:left="283"/>
        <w:shd w:val="clear" w:color="auto" w:fill="F0F0F0"/>
      </w:pPr>
      <w:r>
        <w:rPr>
          <w:rFonts w:ascii="Consolas" w:hAnsi="Consolas" w:eastAsia="Consolas"/>
          <w:b w:val="0"/>
          <w:color w:val="2E2E2E"/>
          <w:sz w:val="18"/>
        </w:rPr>
        <w:t>客户（Customer）</w:t>
        <w:br/>
        <w:t xml:space="preserve">  └── 客户档案（CustomerProfile）</w:t>
        <w:br/>
        <w:t xml:space="preserve">        └── KYC档案（CustomerKYC）[可版本化]</w:t>
        <w:br/>
        <w:t xml:space="preserve">              ├── 风险评估（RiskAssessment）</w:t>
        <w:br/>
        <w:t xml:space="preserve">              ├── 财务目标（FinancialGoal）</w:t>
        <w:br/>
        <w:t xml:space="preserve">              ├── 保险保障（InsuranceCoverage）</w:t>
        <w:br/>
        <w:t xml:space="preserve">              └── 同意记录（ConsentRecord）</w:t>
        <w:br/>
        <w:t>预约单（ReservationOrder）</w:t>
        <w:br/>
        <w:t xml:space="preserve">  └── 资产配置方案（AllocationPlan）</w:t>
        <w:br/>
        <w:t xml:space="preserve">        └── 配置项（AllocationPlanItem）</w:t>
        <w:br/>
        <w:t xml:space="preserve">              └── 产品（Product）</w:t>
        <w:br/>
        <w:br/>
        <w:t>数据访问日志（DataAccessLog）[审计用，不可删除]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CD2626"/>
          <w:sz w:val="32"/>
        </w:rPr>
        <w:t>第七章 创新亮点与差异化优势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7.1 六大创新维度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创新维度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具体体现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解决的问题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认知创新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金字塔四层模型 + 生活化命名（安全垫/压舱石/增值主力/探索收益）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打破专业术语壁垒，让配置逻辑"看得见"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决策创新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双轨决策树算法（主树×子树）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将机构级投顾逻辑自动化，降低服务门槛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教育创新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购买力侵蚀图 + 现金流里程碑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用户在规划过程中完成金融知识启蒙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合规创新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合规检查引擎（12类检查项）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把49条法规变成12类自动检查，合规即体验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体验创新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3-5分钟全流程 + 银行回单风格预约单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将原本需要多次网点拜访的服务压缩为即时体验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安全创新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5层脱敏 + RLS + 审计日志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数据安全合规，构建用户信任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7.2 与市场现有方案的差异化对比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维度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传统网点投顾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互联网理财平台</w:t>
            </w:r>
          </w:p>
        </w:tc>
        <w:tc>
          <w:tcPr>
            <w:tcW w:type="dxa" w:w="2126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「智盈」（本项目）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服务门槛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高（高净值专属）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低（但无专业指导）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低（但有专业逻辑）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配置逻辑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客户经理经验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简单规则或纯算法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双轨决策树+金字塔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合规内嵌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人工事后检查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基本无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算法内嵌12类检查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养老规划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无或简单计算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现金流永续测算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用户理解成本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需理解产品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无需理解但无指导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无需理解但有透明解释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数据安全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纸质存档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云端集中存储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脱敏+RLS+审计日志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7.3 与命题的深度呼应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回到本次比赛的核心命题——"理财中有那么多专业名词数据，我们能怎么参与其中"——「智盈」的回答是：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**不是让用户去学习这些名词，而是让系统理解这些名词，然后直接给用户一个答案。**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「智盈」不要求用户理解什么是"夏普比率"，系统自动计算；不要求用户理解什么是"DTI"，系统自动评估并给出警示；不要求用户理解什么是"安全提取率"，系统直接告诉用户"每月定投多少退休才够"。专业名词的壁垒，被技术消解了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这正是"以人为本"理念的技术实现——不是要求人去适应金融系统的规则，而是让金融系统去适应每一个人的需求。</w:t>
      </w: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7.4 算法创新性说明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双轨架构：主树（粗分）× 子树（精细修正）的双轨设计，在业界财富管理系统中具有独特性。传统系统通常只有单一分类逻辑，「智盈」的双轨设计确保了粗分效率和精细修正的双重目标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动态约束修正：金字塔比例不是静态预设，而是根据用户的年龄、DTI、退休时间等实时约束动态调整的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永续测算：从积累期到退休后至100岁的全程现金流模拟，在同类产品中具有显著差异性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合规透明：所有算法决策均可解释、可回溯，满足监管要求的同时建立用户信任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CD2626"/>
          <w:sz w:val="32"/>
        </w:rPr>
        <w:t>第八章 社会价值与未来展望</w:t>
      </w:r>
    </w:p>
    <w:p>
      <w:pPr>
        <w:spacing w:before="40" w:after="40"/>
        <w:pBdr>
          <w:bottom w:val="single" w:sz="6" w:space="1" w:color="CD2626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8.1 社会价值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「智盈」的社会价值不仅在于打造了一款智能投顾工具，更在于它示范了一种金融科技赋能普惠金融的新路径：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对金融机构：将《适当性办法》的合规要求从"人工检查"升级为"系统内嵌"，大幅降低合规成本，同时提升客户服务的标准化程度。系统输出的每一份方案都是合规的，每一步决策都是可追溯的。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对普通投资者：让财富管理从"高净值人群专属"变为"人人可用的公共服务"。月入8000元的年轻白领、年过六旬的退休教师，只要有一部手机，就能在3-5分钟内获得专业级的资产配置方案。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对行业生态：为监管科技（RegTech）提供落地方案参考，推动"负责任的金融机构+理性审慎的金融消费者"双向共建。《答记者问》指出"培育消费者风险意识"是监管重点方向，「智盈」通过"用户在规划过程中完成自我教育"的产品设计，正是这一政策方向的落地实践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对共同富裕：通过降低财富管理的认知门槛和资金门槛，帮助更多中低收入群体参与到金融资产增值的过程中，缩小财富管理的知识鸿沟和贫富差距，为"规范财富积累机制"贡献技术力量。</w:t>
      </w:r>
    </w:p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8.2 未来展望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阶段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方向</w:t>
            </w:r>
          </w:p>
        </w:tc>
        <w:tc>
          <w:tcPr>
            <w:tcW w:type="dxa" w:w="2835"/>
            <w:shd w:val="clear" w:color="auto" w:fill="CD262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近期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大模型融合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引入LLM实现自然语言交互，用户可以用"我想60岁退休，每月有1万块花"的自然语言描述目标，系统自动解读为量化参数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近期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实时行情对接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将ICBC产品数据库从静态快照升级为实时行情，让产品推荐基于最新净值和收益率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中期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家庭联合规划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从个人理财升级为"以家庭为单位的财富规划"，综合考虑家庭成员的目标和约束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中期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持仓管理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现有方案管理 → 实时持仓跟踪 → 自动再平衡提醒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远期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养老生态对接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系统规划结果可直接对接工行养老社区、养老服务等非金融生态，实现"金融+生活"一体化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远期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政策适配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20"/>
              </w:rPr>
              <w:t>随个人养老金账户（第三支柱）政策推进，系统可自然扩展为养老金账户规划工具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CD2626"/>
          <w:sz w:val="26"/>
        </w:rPr>
        <w:t>8.3 项目可持续性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技术可持续：全栈TypeScript + 模块化算法设计，任何算法工程师均可理解、修改和扩展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合规可持续：核心逻辑与《适当性办法》深度绑定，监管政策不变则核心逻辑无需大幅调整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数据可持续：ICBC产品数据库结构化存储，可持续扩展新产品类型和字段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>业务可持续：系统可作为工商银行手机银行的嵌入式模块，也可作为客户经理的辅助工具，商业模式清晰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CD2626"/>
          <w:sz w:val="32"/>
        </w:rPr>
        <w:t>结 语</w:t>
      </w:r>
    </w:p>
    <w:p>
      <w:pPr>
        <w:spacing w:before="40" w:after="40"/>
        <w:pBdr>
          <w:bottom w:val="single" w:sz="6" w:space="1" w:color="CD2626"/>
        </w:pBdr>
      </w:pP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当一位从未接触过金融资产的退休教师，打开「智盈」，在3分钟内看到自己未来30年的财富蓝图——那不再是晦涩难懂的专业表格，而是一座色彩分明、层次清晰的金字塔，以及一行温暖的文字："根据您的财务状况，我们为您规划了一条稳健的财富增长之路。"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当一位月入8000元的年轻白领，通过购买力侵蚀图第一次意识到"存银行"背后每年2.5%的隐形侵蚀，看到同业基准对比中自己与"相似客户"的收益差距——他不需要知道什么是复利公式，不需要理解什么是机会成本，他只需要知道：从现在开始，每个月多投¥500，30年后他将比现在多拥有¥XX万的财富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这，就是"以人为本的创新理念"最生动的注脚。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「智盈」相信：专业的金融知识，不应该成为财富管理的门槛。让每一个中国人都能平等地享有科学理财的权利，是金融科技最深的人文关怀。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**我们不只是消除认知壁垒——我们是在为共同富裕构建财富管理的基础设施。**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本项目由ICBC-WMP团队开发。算法逻辑已在上游代码库中完整实现并通过测试。所有数据均为模拟演示数据，不构成任何投资建议。投资有风险，决策需谨慎。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2"/>
        </w:rPr>
        <w:t>参考文献：《金融机构产品适当性管理办法》（国家金融监督管理总局，2026年）；《国家金融监督管理总局有关司局负责人就〈金融机构产品适当性管理办法〉答记者问》（2026年）。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