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center"/>
      </w:pPr>
      <w:r>
        <w:rPr>
          <w:rFonts w:ascii="微软雅黑" w:hAnsi="微软雅黑" w:eastAsia="微软雅黑"/>
          <w:b/>
          <w:i w:val="0"/>
          <w:color w:val="CD2626"/>
          <w:sz w:val="52"/>
          <w:u w:val="none"/>
        </w:rPr>
        <w:t>「智盈」—— 基于金字塔模型的智能财富规划系统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  <w:u w:val="none"/>
        </w:rPr>
        <w:t>2026年（第31届）工商银行杯全国大学生金融科技创新大赛</w:t>
      </w:r>
    </w:p>
    <w:p>
      <w:pPr>
        <w:spacing w:before="80" w:after="80"/>
        <w:ind w:left="567"/>
        <w:shd w:val="clear" w:color="auto" w:fill="FFF8E7"/>
        <w:pBdr>
          <w:left w:val="single" w:sz="12" w:space="4" w:color="B89738"/>
        </w:pBdr>
      </w:pPr>
      <w:r>
        <w:rPr>
          <w:rFonts w:ascii="微软雅黑" w:hAnsi="微软雅黑" w:eastAsia="微软雅黑"/>
          <w:b w:val="0"/>
          <w:i/>
          <w:color w:val="5D4000"/>
          <w:sz w:val="22"/>
          <w:u w:val="none"/>
        </w:rPr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  <w:u w:val="none"/>
        </w:rPr>
        <w:t>参赛赛道：金融科技赋能财富管理</w:t>
      </w:r>
    </w:p>
    <w:p>
      <w:pPr>
        <w:spacing w:before="80" w:after="80"/>
        <w:ind w:left="567"/>
        <w:shd w:val="clear" w:color="auto" w:fill="FFF8E7"/>
        <w:pBdr>
          <w:left w:val="single" w:sz="12" w:space="4" w:color="B89738"/>
        </w:pBdr>
      </w:pPr>
      <w:r>
        <w:rPr>
          <w:rFonts w:ascii="微软雅黑" w:hAnsi="微软雅黑" w:eastAsia="微软雅黑"/>
          <w:b w:val="0"/>
          <w:i/>
          <w:color w:val="5D4000"/>
          <w:sz w:val="22"/>
          <w:u w:val="none"/>
        </w:rPr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  <w:u w:val="none"/>
        </w:rPr>
        <w:t>参赛单位：ICBC-WMP Team</w:t>
      </w:r>
    </w:p>
    <w:p>
      <w:pPr>
        <w:spacing w:before="80" w:after="80"/>
        <w:ind w:left="567"/>
        <w:shd w:val="clear" w:color="auto" w:fill="FFF8E7"/>
        <w:pBdr>
          <w:left w:val="single" w:sz="12" w:space="4" w:color="B89738"/>
        </w:pBdr>
      </w:pPr>
      <w:r>
        <w:rPr>
          <w:rFonts w:ascii="微软雅黑" w:hAnsi="微软雅黑" w:eastAsia="微软雅黑"/>
          <w:b w:val="0"/>
          <w:i/>
          <w:color w:val="5D4000"/>
          <w:sz w:val="22"/>
          <w:u w:val="none"/>
        </w:rPr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  <w:u w:val="none"/>
        </w:rPr>
        <w:t>指导教师：（待填写）</w:t>
      </w:r>
    </w:p>
    <w:p>
      <w:pPr>
        <w:spacing w:before="80" w:after="80"/>
        <w:ind w:left="567"/>
        <w:shd w:val="clear" w:color="auto" w:fill="FFF8E7"/>
        <w:pBdr>
          <w:left w:val="single" w:sz="12" w:space="4" w:color="B89738"/>
        </w:pBdr>
      </w:pPr>
      <w:r>
        <w:rPr>
          <w:rFonts w:ascii="微软雅黑" w:hAnsi="微软雅黑" w:eastAsia="微软雅黑"/>
          <w:b w:val="0"/>
          <w:i/>
          <w:color w:val="5D4000"/>
          <w:sz w:val="22"/>
          <w:u w:val="none"/>
        </w:rPr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  <w:u w:val="none"/>
        </w:rPr>
        <w:t>团队成员：（待填写）</w:t>
      </w:r>
    </w:p>
    <w:p>
      <w:pPr>
        <w:spacing w:before="80" w:after="80"/>
        <w:ind w:left="567"/>
        <w:shd w:val="clear" w:color="auto" w:fill="FFF8E7"/>
        <w:pBdr>
          <w:left w:val="single" w:sz="12" w:space="4" w:color="B89738"/>
        </w:pBdr>
      </w:pPr>
      <w:r>
        <w:rPr>
          <w:rFonts w:ascii="微软雅黑" w:hAnsi="微软雅黑" w:eastAsia="微软雅黑"/>
          <w:b w:val="0"/>
          <w:i/>
          <w:color w:val="5D4000"/>
          <w:sz w:val="22"/>
          <w:u w:val="none"/>
        </w:rPr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  <w:u w:val="none"/>
        </w:rPr>
        <w:t>文档版本：v1.0 | 2026年8月</w:t>
      </w:r>
    </w:p>
    <w:p/>
    <w:p>
      <w:pPr>
        <w:pStyle w:val="Heading1"/>
      </w:pPr>
      <w:r>
        <w:rPr>
          <w:rFonts w:ascii="微软雅黑" w:hAnsi="微软雅黑" w:eastAsia="微软雅黑"/>
          <w:b/>
          <w:i w:val="0"/>
          <w:color w:val="CD2626"/>
          <w:sz w:val="32"/>
          <w:u w:val="none"/>
        </w:rPr>
        <w:t>摘  要</w:t>
      </w:r>
    </w:p>
    <w:p>
      <w:pPr>
        <w:spacing w:before="40" w:after="40"/>
        <w:pBdr>
          <w:bottom w:val="single" w:sz="6" w:space="1" w:color="CD2626"/>
        </w:pBdr>
      </w:pP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在"理财中有那么多专业名词数据，我们能怎么参与其中"这一命题之下，本项目打造了一款面向工商银行的智能财富规划系统——「智盈」（项目代号：ICBC-WMP）。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系统以"金字塔资产配置模型"为核心算法引擎，融合"双轨二叉决策树"客户分层、"现金流永续测算"养老规划、合规检查、产品推荐等五大算法模块，将晦涩的专业金融知识转化为通俗易懂的可视化交互，让每一位普通投资者都能在3至5分钟内获得属于自己的专属资产配置方案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「智盈」深度响应了国家金融监督管理总局2026年发布的《金融机构产品适当性管理办法》（以下简称"适当性办法"）的核心精神，以技术手段将"了解你的产品、了解你的客户、适当性匹配"三大义务内嵌于系统全流程。在践行"以人民为中心"的金融价值取向的同时，系统为银行构建了一套可审计、可追溯、可持续的智能投顾基础设施，让专业的财富管理服务从"高净值人群专属"变为"人人可用的公共服务"。</w:t>
      </w:r>
    </w:p>
    <w:p/>
    <w:p>
      <w:pPr>
        <w:pStyle w:val="Heading1"/>
      </w:pPr>
      <w:r>
        <w:rPr>
          <w:rFonts w:ascii="微软雅黑" w:hAnsi="微软雅黑" w:eastAsia="微软雅黑"/>
          <w:b/>
          <w:i w:val="0"/>
          <w:color w:val="CD2626"/>
          <w:sz w:val="32"/>
          <w:u w:val="none"/>
        </w:rPr>
        <w:t>目 录</w:t>
      </w:r>
    </w:p>
    <w:p>
      <w:pPr>
        <w:spacing w:before="40" w:after="40"/>
        <w:pBdr>
          <w:bottom w:val="single" w:sz="6" w:space="1" w:color="CD2626"/>
        </w:pBdr>
      </w:pP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第一章 项目概述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第二章 时代背景与问题分析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第三章 产品设计与用户体验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第四章 核心算法与技术实现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第五章 合规性与安全性设计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第六章 技术架构与系统实现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第七章 创新亮点与差异化优势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第八章 社会价值与未来展望</w:t>
      </w:r>
    </w:p>
    <w:p/>
    <w:p>
      <w:pPr>
        <w:pStyle w:val="Heading1"/>
      </w:pPr>
      <w:r>
        <w:rPr>
          <w:rFonts w:ascii="微软雅黑" w:hAnsi="微软雅黑" w:eastAsia="微软雅黑"/>
          <w:b/>
          <w:i w:val="0"/>
          <w:color w:val="CD2626"/>
          <w:sz w:val="32"/>
          <w:u w:val="none"/>
        </w:rPr>
        <w:t>第一章 项目概述</w:t>
      </w:r>
    </w:p>
    <w:p>
      <w:pPr>
        <w:spacing w:before="40" w:after="40"/>
        <w:pBdr>
          <w:bottom w:val="single" w:sz="6" w:space="1" w:color="CD2626"/>
        </w:pBdr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1.1 项目简介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「智盈」是一款面向工商银行的智能财富规划系统，旨在为普通投资者提供"一站式、低门槛、专业化"的资产配置服务。系统基于用户可投资资产、风险偏好、理财目标等维度，自动完成客户分层、资产配置、产品推荐、合规检查和养老规划等全流程服务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项目名称「智盈」，寓意"智慧理财，稳健盈利"，同时谐音"值赢"——通过科学的配置，让每一位用户的财富配置方案都能"值"得信赖，并在长期持有中获得"赢"。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1.2 项目定位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4366"/>
        <w:gridCol w:w="4366"/>
      </w:tblGrid>
      <w:tr>
        <w:tc>
          <w:tcPr>
            <w:tcW w:type="dxa" w:w="4366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维度</w:t>
            </w:r>
          </w:p>
        </w:tc>
        <w:tc>
          <w:tcPr>
            <w:tcW w:type="dxa" w:w="4366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描述</w:t>
            </w:r>
          </w:p>
        </w:tc>
      </w:tr>
      <w:tr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目标用户</w:t>
            </w:r>
          </w:p>
        </w:tc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工商银行存量客户，尤其是可投资资产在20万至100万区间的大众及富裕客户群体</w:t>
            </w:r>
          </w:p>
        </w:tc>
      </w:tr>
      <w:tr>
        <w:tc>
          <w:tcPr>
            <w:tcW w:type="dxa" w:w="4366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服务场景</w:t>
            </w:r>
          </w:p>
        </w:tc>
        <w:tc>
          <w:tcPr>
            <w:tcW w:type="dxa" w:w="4366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线上财富规划全流程（手机银行/网上银行嵌入式），可作为网点客户经理辅助工具</w:t>
            </w:r>
          </w:p>
        </w:tc>
      </w:tr>
      <w:tr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核心价值</w:t>
            </w:r>
          </w:p>
        </w:tc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将机构级投顾逻辑产品化，降低财富管理服务门槛，实现普惠金融</w:t>
            </w:r>
          </w:p>
        </w:tc>
      </w:tr>
      <w:tr>
        <w:tc>
          <w:tcPr>
            <w:tcW w:type="dxa" w:w="4366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技术定位</w:t>
            </w:r>
          </w:p>
        </w:tc>
        <w:tc>
          <w:tcPr>
            <w:tcW w:type="dxa" w:w="4366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前端展示系统（Next.js）+ 算法引擎（TypeScript）+ 后端数据安全（Neon Postgres）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1.3 核心功能模块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4366"/>
        <w:gridCol w:w="4366"/>
      </w:tblGrid>
      <w:tr>
        <w:tc>
          <w:tcPr>
            <w:tcW w:type="dxa" w:w="4366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模块</w:t>
            </w:r>
          </w:p>
        </w:tc>
        <w:tc>
          <w:tcPr>
            <w:tcW w:type="dxa" w:w="4366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功能描述</w:t>
            </w:r>
          </w:p>
        </w:tc>
      </w:tr>
      <w:tr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客户分层引擎</w:t>
            </w:r>
          </w:p>
        </w:tc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基于双轨决策树算法，综合资产规模、风险等级、DTI、保障缺口等五维因素，自动将客户划分为7档</w:t>
            </w:r>
          </w:p>
        </w:tc>
      </w:tr>
      <w:tr>
        <w:tc>
          <w:tcPr>
            <w:tcW w:type="dxa" w:w="4366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金字塔配置引擎</w:t>
            </w:r>
          </w:p>
        </w:tc>
        <w:tc>
          <w:tcPr>
            <w:tcW w:type="dxa" w:w="4366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将大类资产配置映射为"现金/稳健/成长/卫星"四层，动态适配个人约束</w:t>
            </w:r>
          </w:p>
        </w:tc>
      </w:tr>
      <w:tr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产品推荐引擎</w:t>
            </w:r>
          </w:p>
        </w:tc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5维度加权评分，从24类、数百只产品中精选最匹配标的</w:t>
            </w:r>
          </w:p>
        </w:tc>
      </w:tr>
      <w:tr>
        <w:tc>
          <w:tcPr>
            <w:tcW w:type="dxa" w:w="4366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现金流永续测算</w:t>
            </w:r>
          </w:p>
        </w:tc>
        <w:tc>
          <w:tcPr>
            <w:tcW w:type="dxa" w:w="4366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从当前到退休的积累期+退休后至100岁的提取期全程模拟，判断养老规划可持续性</w:t>
            </w:r>
          </w:p>
        </w:tc>
      </w:tr>
      <w:tr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合规检查引擎</w:t>
            </w:r>
          </w:p>
        </w:tc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12类自动检查项，将《适当性办法》49条要求转化为可执行规则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1.4 项目成果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4366"/>
        <w:gridCol w:w="4366"/>
      </w:tblGrid>
      <w:tr>
        <w:tc>
          <w:tcPr>
            <w:tcW w:type="dxa" w:w="4366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成果类型</w:t>
            </w:r>
          </w:p>
        </w:tc>
        <w:tc>
          <w:tcPr>
            <w:tcW w:type="dxa" w:w="4366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说明</w:t>
            </w:r>
          </w:p>
        </w:tc>
      </w:tr>
      <w:tr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可演示系统</w:t>
            </w:r>
          </w:p>
        </w:tc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Next.js全栈应用，包含完整UI和算法逻辑，数据来自ICBC真实产品库</w:t>
            </w:r>
          </w:p>
        </w:tc>
      </w:tr>
      <w:tr>
        <w:tc>
          <w:tcPr>
            <w:tcW w:type="dxa" w:w="4366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算法代码</w:t>
            </w:r>
          </w:p>
        </w:tc>
        <w:tc>
          <w:tcPr>
            <w:tcW w:type="dxa" w:w="4366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TypeScript实现的双轨决策树、金字塔引擎、现金流模型、合规模型，约5000行</w:t>
            </w:r>
          </w:p>
        </w:tc>
      </w:tr>
      <w:tr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产品数据库</w:t>
            </w:r>
          </w:p>
        </w:tc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覆盖24类金融产品的结构化数据，含风险等级、流动性、历史收益等字段</w:t>
            </w:r>
          </w:p>
        </w:tc>
      </w:tr>
      <w:tr>
        <w:tc>
          <w:tcPr>
            <w:tcW w:type="dxa" w:w="4366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技术文档</w:t>
            </w:r>
          </w:p>
        </w:tc>
        <w:tc>
          <w:tcPr>
            <w:tcW w:type="dxa" w:w="4366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架构设计文档、算法说明文档、合规映射表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i w:val="0"/>
          <w:color w:val="CD2626"/>
          <w:sz w:val="32"/>
          <w:u w:val="none"/>
        </w:rPr>
        <w:t>第二章 时代背景与问题分析</w:t>
      </w:r>
    </w:p>
    <w:p>
      <w:pPr>
        <w:spacing w:before="40" w:after="40"/>
        <w:pBdr>
          <w:bottom w:val="single" w:sz="6" w:space="1" w:color="CD2626"/>
        </w:pBdr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2.1 宏观背景：共同富裕时代的财富管理新命题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党的二十大报告明确提出，要"规范财富积累机制"，多措并举增加城乡居民财产性收入。在这一历史进程中，财富管理正在从高净值人群的专属服务，向千家万户的普遍需求转型。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然而，一个不容忽视的现实是：我国城镇居民家庭金融资产构成中，定期存款占比长期超过50%，大量居民的理财需求被压制在"存银行"的初级阶段。造成这一现象的根本原因，并非居民缺乏理财意愿，而是三重结构性障碍：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认知障碍：固收+、夏普比率、安全提取率、年金终值等专业术语构成的屏障，让普通人在面对金融资产时感到无从下手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服务障碍：传统财富管理依赖客户经理一对一服务，优质投顾服务的成本决定了其只能面向高净值人群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信任障碍：各类理财亏损新闻频发，普通投资者对金融机构的推荐存在普遍的不信任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金融机构的产品越来越丰富，但服务的可及性和普惠性并未同步提升，财富管理的"最后一公里"问题亟待解决。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2.2 政策背景：《适当性办法》开启行业新范式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2026年2月1日正式施行的《金融机构产品适当性管理办法》，是我国金融消费者权益保护领域具有里程碑意义的监管文件。该办法共五章四十九条，其核心要义可以概括为三个关键词：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  <w:u w:val="none"/>
        </w:rPr>
        <w:t>"了解你的产品" — 金融机构必须清晰界定产品的属性特征、风险水平和适合的客户范围。（第9条）</w:t>
      </w:r>
    </w:p>
    <w:p>
      <w:pPr>
        <w:spacing w:before="80" w:after="80"/>
        <w:ind w:left="567"/>
        <w:shd w:val="clear" w:color="auto" w:fill="FFF8E7"/>
        <w:pBdr>
          <w:left w:val="single" w:sz="12" w:space="4" w:color="B89738"/>
        </w:pBdr>
      </w:pPr>
      <w:r>
        <w:rPr>
          <w:rFonts w:ascii="微软雅黑" w:hAnsi="微软雅黑" w:eastAsia="微软雅黑"/>
          <w:b w:val="0"/>
          <w:i/>
          <w:color w:val="5D4000"/>
          <w:sz w:val="22"/>
          <w:u w:val="none"/>
        </w:rPr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  <w:u w:val="none"/>
        </w:rPr>
        <w:t>"了解你的客户" — 金融机构必须在合理范围内收集客户信息，评估其财务状况、风险承受能力和投资需求。（第10条、第25条）</w:t>
      </w:r>
    </w:p>
    <w:p>
      <w:pPr>
        <w:spacing w:before="80" w:after="80"/>
        <w:ind w:left="567"/>
        <w:shd w:val="clear" w:color="auto" w:fill="FFF8E7"/>
        <w:pBdr>
          <w:left w:val="single" w:sz="12" w:space="4" w:color="B89738"/>
        </w:pBdr>
      </w:pPr>
      <w:r>
        <w:rPr>
          <w:rFonts w:ascii="微软雅黑" w:hAnsi="微软雅黑" w:eastAsia="微软雅黑"/>
          <w:b w:val="0"/>
          <w:i/>
          <w:color w:val="5D4000"/>
          <w:sz w:val="22"/>
          <w:u w:val="none"/>
        </w:rPr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  <w:u w:val="none"/>
        </w:rPr>
        <w:t>"适当性匹配" — 金融机构必须将适当的产品，通过适当的渠道，销售给适合的客户。（第4条）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《办法》第14条特别强调："金融机构通过互联网等线上方式销售产品的，应当将适当性管理嵌入流程，充分履行适当性义务，保障客户的知情权、自主选择权等合法权益。" 这一条款明确为智能投顾系统的建设提供了政策方向——将适当性义务数字化、智能化，是金融机构必须完成的任务，也是金融科技创新的历史性机遇。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值得关注的是，《答记者问》指出："培育消费者风险意识，切实保护金融消费者合法权益"是下一阶段金融监管的重点工作方向。这意味着，财富管理平台不仅要完成合规动作，更要在服务过程中实现投资者教育，帮助客户在决策中理解风险、认知自身——这也正是本项目的核心设计理念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2.3 技术背景：大模型时代的智能投顾机遇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近年来，以大语言模型（LLM）为代表的人工智能技术飞速发展，为金融科技领域带来了前所未有的变革机遇。在财富管理赛道，智能投顾（Robo-Advisor）已经从早期的"规则引擎+简单配置"阶段，发展到"AI驱动+自然语言交互"的新阶段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然而，国内智能投顾市场仍面临两大核心挑战：其一，合规性门槛——监管明确要求适当性匹配、风险揭示不可绕过，纯AI推荐存在合规风险；其二，用户信任——普通用户对黑盒AI的推荐逻辑缺乏理解，导致接受度不高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「智盈」的策略是：以规则引擎确保合规底线，以透明算法建立用户信任，以交互设计完成投资者教育。 算法逻辑对用户可见但无需用户理解，这既满足了监管的合规要求，也创造了良好的用户体验。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2.4 命题回应：「智盈」的系统性解决思路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面对"理财中有那么多专业名词数据，我们能怎么参与其中"这一核心命题，「智盈」的回答是：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  <w:u w:val="none"/>
        </w:rPr>
        <w:t>不是让用户去学习这些名词，而是让系统理解这些名词，然后直接给用户一个看得懂、用得上、靠得住的答案。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「智盈」没有选择简单地将金融产品页面"翻译"成白话文，而是从根本上重构了用户体验的逻辑链条：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认知解构：将"大类资产配置""风险收益特征""流动性管理"等专业概念，翻译为用户可以直观感知的生活场景（安全垫、压舱石、探索）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决策赋能：用算法替代客户经理的经验判断，让每位用户都能在无需金融背景知识的情况下，获得科学的配置方案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合规内嵌：将《适当性办法》的49条要求转化为系统逻辑，让监管合规不再是业务的事后检查，而是业务流程的内在基因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教育融合：用户在规划过程中自然完成金融知识启蒙，不需要预先学习任何专业术语</w:t>
      </w:r>
    </w:p>
    <w:p/>
    <w:p>
      <w:pPr>
        <w:pStyle w:val="Heading1"/>
      </w:pPr>
      <w:r>
        <w:rPr>
          <w:rFonts w:ascii="微软雅黑" w:hAnsi="微软雅黑" w:eastAsia="微软雅黑"/>
          <w:b/>
          <w:i w:val="0"/>
          <w:color w:val="CD2626"/>
          <w:sz w:val="32"/>
          <w:u w:val="none"/>
        </w:rPr>
        <w:t>第三章 产品设计与用户体验</w:t>
      </w:r>
    </w:p>
    <w:p>
      <w:pPr>
        <w:spacing w:before="40" w:after="40"/>
        <w:pBdr>
          <w:bottom w:val="single" w:sz="6" w:space="1" w:color="CD2626"/>
        </w:pBdr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3.1 设计理念："以人为本"的三层含义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「智盈」的产品设计遵循"以人为本"的理念，这四个字在本项目中包含三个递进的层次：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第一层：以用户的认知水平为中心。 我们不要求用户预先理解任何金融专业术语，而是将专业逻辑隐藏在系统后台，在用户界面呈现的始终是直观的图形、可量化的结论和具体的产品推荐。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第二层：以用户的实际需求为中心。 系统的所有算法输入均来自用户的真实财务状况（年收入、支出、资产、负债）和生活目标（退休、子女教育、财富传承），而非预设的产品销售导向。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第三层：以用户的长期利益为中心。 系统不仅推荐产品，更帮助用户理解为什么这样配置、这样做有什么风险、退休后钱是否够花——这些信息帮助用户做出真正符合自身长期利益的决策，而非被短期收益诱惑。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3.2 用户旅程：从"看不懂"到"我懂了、我选了"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「智盈」的用户体验设计遵循一个核心理念：用户在规划过程中完成自我教育。整个流程分为四个步骤，约需3至5分钟：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「智盈」的用户体验设计遵循一个核心理念：用户在规划过程中完成自我教育。整个流程分为四个步骤，约需3至5分钟：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154"/>
        <w:gridCol w:w="2154"/>
        <w:gridCol w:w="2154"/>
        <w:gridCol w:w="2154"/>
      </w:tblGrid>
      <w:tr>
        <w:trPr>
          <w:trHeight w:val="720" w:hRule="atLeast"/>
          <w:trHeight w:val="720" w:hRule="atLeast"/>
          <w:trHeight w:val="720" w:hRule="atLeast"/>
          <w:trHeight w:val="720" w:hRule="atLeast"/>
        </w:trPr>
        <w:tc>
          <w:tcPr>
            <w:tcW w:type="dxa" w:w="2183"/>
            <w:shd w:val="clear" w:color="auto" w:fill="CD2626"/>
            <w:tcBorders>
              <w:top w:val="single" w:sz="8" w:color="CD2626"/>
              <w:left w:val="single" w:sz="8" w:color="CD2626"/>
              <w:bottom w:val="single" w:sz="8" w:color="CD2626"/>
              <w:right w:val="single" w:sz="8" w:color="CD2626"/>
            </w:tcBorders>
          </w:tcPr>
          <w:p>
            <w:pPr>
              <w:spacing w:before="160" w:after="8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  <w:u w:val="none"/>
              </w:rPr>
              <w:t>📋  客户档案</w:t>
            </w:r>
          </w:p>
        </w:tc>
        <w:tc>
          <w:tcPr>
            <w:tcW w:type="dxa" w:w="2183"/>
            <w:shd w:val="clear" w:color="auto" w:fill="B89738"/>
            <w:tcBorders>
              <w:top w:val="single" w:sz="8" w:color="B89738"/>
              <w:left w:val="single" w:sz="8" w:color="B89738"/>
              <w:bottom w:val="single" w:sz="8" w:color="B89738"/>
              <w:right w:val="single" w:sz="8" w:color="B89738"/>
            </w:tcBorders>
          </w:tcPr>
          <w:p>
            <w:pPr>
              <w:spacing w:before="160" w:after="8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  <w:u w:val="none"/>
              </w:rPr>
              <w:t>🔐  目标与保障</w:t>
            </w:r>
          </w:p>
        </w:tc>
        <w:tc>
          <w:tcPr>
            <w:tcW w:type="dxa" w:w="2183"/>
            <w:shd w:val="clear" w:color="auto" w:fill="2E7D32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pPr>
              <w:spacing w:before="160" w:after="8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  <w:u w:val="none"/>
              </w:rPr>
              <w:t>📊  智能规划</w:t>
            </w:r>
          </w:p>
        </w:tc>
        <w:tc>
          <w:tcPr>
            <w:tcW w:type="dxa" w:w="2183"/>
            <w:shd w:val="clear" w:color="auto" w:fill="1565C0"/>
            <w:tcBorders>
              <w:top w:val="single" w:sz="8" w:color="1565C0"/>
              <w:left w:val="single" w:sz="8" w:color="1565C0"/>
              <w:bottom w:val="single" w:sz="8" w:color="1565C0"/>
              <w:right w:val="single" w:sz="8" w:color="1565C0"/>
            </w:tcBorders>
          </w:tcPr>
          <w:p>
            <w:pPr>
              <w:spacing w:before="160" w:after="8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  <w:u w:val="none"/>
              </w:rPr>
              <w:t>🎫  预约登记</w:t>
            </w:r>
          </w:p>
        </w:tc>
      </w:tr>
      <w:tr>
        <w:tc>
          <w:tcPr>
            <w:tcW w:type="dxa" w:w="2183"/>
            <w:shd w:val="clear" w:color="auto" w:fill="FAFAFA"/>
            <w:tcBorders>
              <w:top w:val="single" w:sz="4" w:color="CD2626"/>
              <w:left w:val="single" w:sz="4" w:color="CD2626"/>
              <w:bottom w:val="single" w:sz="4" w:color="CD2626"/>
              <w:right w:val="single" w:sz="4" w:color="CD2626"/>
            </w:tcBorders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• 风险等级光谱图</w:t>
            </w:r>
          </w:p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• 购买力侵蚀预警</w:t>
            </w:r>
          </w:p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• 同业基准对比</w:t>
            </w:r>
          </w:p>
        </w:tc>
        <w:tc>
          <w:tcPr>
            <w:tcW w:type="dxa" w:w="2183"/>
            <w:shd w:val="clear" w:color="auto" w:fill="FAFAFA"/>
            <w:tcBorders>
              <w:top w:val="single" w:sz="4" w:color="B89738"/>
              <w:left w:val="single" w:sz="4" w:color="B89738"/>
              <w:bottom w:val="single" w:sz="4" w:color="B89738"/>
              <w:right w:val="single" w:sz="4" w:color="B89738"/>
            </w:tcBorders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• 基本信息采集</w:t>
            </w:r>
          </w:p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• 财务状况录入</w:t>
            </w:r>
          </w:p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• 理财目标设定</w:t>
            </w:r>
          </w:p>
        </w:tc>
        <w:tc>
          <w:tcPr>
            <w:tcW w:type="dxa" w:w="2183"/>
            <w:shd w:val="clear" w:color="auto" w:fill="FAFAFA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• 金字塔配置方案</w:t>
            </w:r>
          </w:p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• 现金流永续测算</w:t>
            </w:r>
          </w:p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• 产品推荐评分</w:t>
            </w:r>
          </w:p>
        </w:tc>
        <w:tc>
          <w:tcPr>
            <w:tcW w:type="dxa" w:w="2183"/>
            <w:shd w:val="clear" w:color="auto" w:fill="FAFAFA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• 方案确认</w:t>
            </w:r>
          </w:p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• 预约单生成</w:t>
            </w:r>
          </w:p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• 合规回溯记录</w:t>
            </w:r>
          </w:p>
        </w:tc>
      </w:tr>
      <w:tr>
        <w:trPr>
          <w:trHeight w:val="120" w:hRule="atLeast"/>
          <w:trHeight w:val="120" w:hRule="atLeast"/>
          <w:trHeight w:val="120" w:hRule="atLeast"/>
          <w:trHeight w:val="120" w:hRule="atLeast"/>
        </w:trPr>
        <w:tc>
          <w:tcPr>
            <w:tcW w:type="dxa" w:w="2183"/>
            <w:shd w:val="clear" w:color="auto" w:fill="CD2626"/>
            <w:tcBorders>
              <w:top w:val="single" w:sz="4" w:color="CD2626"/>
              <w:left w:val="single" w:sz="4" w:color="CD2626"/>
              <w:bottom w:val="single" w:sz="4" w:color="CD2626"/>
              <w:right w:val="single" w:sz="4" w:color="CD2626"/>
            </w:tcBorders>
          </w:tcPr>
          <w:p>
            <w:r/>
          </w:p>
        </w:tc>
        <w:tc>
          <w:tcPr>
            <w:tcW w:type="dxa" w:w="2183"/>
            <w:shd w:val="clear" w:color="auto" w:fill="B89738"/>
            <w:tcBorders>
              <w:top w:val="single" w:sz="4" w:color="B89738"/>
              <w:left w:val="single" w:sz="4" w:color="B89738"/>
              <w:bottom w:val="single" w:sz="4" w:color="B89738"/>
              <w:right w:val="single" w:sz="4" w:color="B89738"/>
            </w:tcBorders>
          </w:tcPr>
          <w:p>
            <w:r/>
          </w:p>
        </w:tc>
        <w:tc>
          <w:tcPr>
            <w:tcW w:type="dxa" w:w="2183"/>
            <w:shd w:val="clear" w:color="auto" w:fill="2E7D3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</w:tcPr>
          <w:p>
            <w:r/>
          </w:p>
        </w:tc>
        <w:tc>
          <w:tcPr>
            <w:tcW w:type="dxa" w:w="2183"/>
            <w:shd w:val="clear" w:color="auto" w:fill="1565C0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</w:tcPr>
          <w:p>
            <w:r/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1A1A1A"/>
          <w:sz w:val="22"/>
          <w:u w:val="none"/>
        </w:rPr>
        <w:t>3.2.1 步骤一 · 客户档案（Welcome &amp; Customer）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用户登录后，首先看到来自工商银行私人银行的专属欢迎函，感受到服务的专业性。系统展示从银行端继承的客户档案——姓名、年龄、职业、风险等级（R1-R5）等核心信息，让用户意识到：系统已经"认识"你了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特别设计的是，系统会展示风险等级光谱图——用5根渐变色柱直观展示R1到R5的风险梯度，并高亮标注用户当前所在位置。这一设计的精妙之处在于：用户不需要理解"R3平衡型"的字面含义，只需要看到自己的位置在中间偏右，就能立刻对"我的风险承受能力"产生具象感知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同时，系统展示两项关键洞察：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洞察一：购买力侵蚀预警。 系统以2.5%的年通胀率为基准，逐年计算用户的可投资资产在通货膨胀下的实际购买力。当用户看到"30年后，您的50万实际只值约20万"这样直白的表述，配合柱状图逐年递减的视觉冲击，"为什么要理财"的答案不言自明。系统同时给出"购买力减半年数"这一关键指标——即以当前储蓄率，资产实际购买力减半需要多少年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洞察二：同业基准对比。 系统自动将用户的当前理财收益（假设为活期存款利率0.35%）与"画像相似客户群体"的平均年化收益（4.2%）进行对比，展示"年化机会成本¥XX，10年累计差距含复利¥XX"。这一设计将抽象的"理财必要性"转化为用户可以立刻感知的经济损失，让理性决策变成情感共鸣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A1A1A"/>
          <w:sz w:val="22"/>
          <w:u w:val="none"/>
        </w:rPr>
        <w:t>3.2.2 步骤二 · 目标与保障（KYC）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KYC（了解你的客户）流程是《适当性办法》第25条的核心要求——金融机构必须"在合理范围内收集客户信息，评估客户情况"。但「智盈」没有将KYC做成一份令人望而却步的"问卷"，而是将其融入四个子页面，渐进式收集信息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子页面</w:t>
            </w:r>
          </w:p>
        </w:tc>
        <w:tc>
          <w:tcPr>
            <w:tcW w:type="dxa" w:w="2911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采集维度</w:t>
            </w:r>
          </w:p>
        </w:tc>
        <w:tc>
          <w:tcPr>
            <w:tcW w:type="dxa" w:w="2911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对应法规</w:t>
            </w:r>
          </w:p>
        </w:tc>
      </w:tr>
      <w:tr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基本信息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年龄、职业、家庭结构、收入稳定性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《适当性办法》第25条（一）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财务状况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年收入、支出、可投资资产、负债收入比（DTI）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《适当性办法》第25条（二）</w:t>
            </w:r>
          </w:p>
        </w:tc>
      </w:tr>
      <w:tr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理财目标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退休规划、子女教育、财富传承、资产增值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《适当性办法》第25条（四）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风险偏好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继承银行端R1-R5评估结果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《适当性办法》第29条</w:t>
            </w:r>
          </w:p>
        </w:tc>
      </w:tr>
    </w:tbl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每个子页面只采集与当前决策最相关的信息，避免信息过载。同时，系统在后台实时运行双轨决策树算法，动态评估客户分层，用户无需感知算法的存在。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特别值得一提的是，KYC流程中嵌入了保险保障状况评估模块。系统综合评估用户的寿险、重疾险、医疗险覆盖情况，当某项缺失时用红色高亮标注，并给出"保障缺口"的具体数字。保险保障的缺口往往被用户忽视，但通过可视化图表，缺失项一目了然——这一设计既服务于资产配置的合理性（保障先行，理财在后），也在过程中完成了投资者的风险教育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A1A1A"/>
          <w:sz w:val="22"/>
          <w:u w:val="none"/>
        </w:rPr>
        <w:t>3.2.3 步骤三 · 智能规划（Plan）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这是整个流程的核心。用户在此看到三件相互关联的事情：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第一件事：金字塔资产配置方案。 系统以"金字塔"图形为核心展示资产在四层中的分配比例和具体金额。每层的命名不使用专业术语，而是用生活语言：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现金层（安全垫）：随时可用的资金，应对突发情况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稳健层（压舱石）：家庭财务的稳定器，追求稳健增值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成长层（增值主力）：追求长期资本增值的发动机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卫星层（探索收益）：小比例博取更高回报的尝试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这一设计直接呼应了命题中"专业名词数据"的认知屏障问题——我们不是"翻译"术语，而是消灭术语。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同时，系统在配置结果旁展示约束修正记录，告知用户配置比例背后的决策逻辑："因为您的DTI为35%，系统自动提高了现金层比例""因为距退休还有3年，系统已将部分成长资金转入稳健层"。这些说明让用户理解配置结果背后的原因，而非被动接受一个"黑盒"答案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第二件事：现金流永续测算。 系统计算用户从现在到退休的积累路径，以及退休后每月可领取的养老金与实际生活支出之间的缺口。当缺口出现时，系统会给出"若要弥补这一缺口，建议每月额外定投¥XXX"这样的具体建议——用户不需要理解年金终值公式，只需要知道"我每个月多投这么多，退休后就够了"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第三件事：产品推荐。 基于金字塔各层的配置金额，系统从ICBC产品库中为每层精选最匹配的3只产品，每只产品附带简洁的推荐理由——用户看到的不是"该产品夏普比率1.2"，而是"该产品与您的退休规划目标高度匹配，历史年化波动较低，适合稳健持有"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A1A1A"/>
          <w:sz w:val="22"/>
          <w:u w:val="none"/>
        </w:rPr>
        <w:t>3.2.4 步骤四 · 预约登记（Reservation）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用户确认方案后，系统生成一份仿银行回单风格的预约单，包含产品明细、总金额、预约编号、生成时间等信息，作为后续到网点办理业务的凭证。这一设计既满足了《适当性办法》第17条"适当性管理过程可回溯"的要求，也为用户提供了确定感和仪式感——用户的规划决策被正式记录和确认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3.3 核心交互设计亮点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交互设计</w:t>
            </w:r>
          </w:p>
        </w:tc>
        <w:tc>
          <w:tcPr>
            <w:tcW w:type="dxa" w:w="2911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设计目标</w:t>
            </w:r>
          </w:p>
        </w:tc>
        <w:tc>
          <w:tcPr>
            <w:tcW w:type="dxa" w:w="2911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心理效果</w:t>
            </w:r>
          </w:p>
        </w:tc>
      </w:tr>
      <w:tr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风险光谱图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将R1-R5风险等级可视化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"我的风险承受能力"具象化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购买力侵蚀柱状图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展示通胀对储蓄的长期侵蚀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激发理财紧迫感</w:t>
            </w:r>
          </w:p>
        </w:tc>
      </w:tr>
      <w:tr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同业基准对比条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与相似客户群体的收益差距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量化机会成本，产生损失厌恶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金字塔四层图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将资产配置翻译为生活场景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理解"为什么要分四层"</w:t>
            </w:r>
          </w:p>
        </w:tc>
      </w:tr>
      <w:tr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现金流里程碑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退休各阶段资产变化模拟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理解"我老了是否够钱"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保险保障雷达图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可视化保障缺口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激发保障配置意识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i w:val="0"/>
          <w:color w:val="CD2626"/>
          <w:sz w:val="32"/>
          <w:u w:val="none"/>
        </w:rPr>
        <w:t>第四章 核心算法与技术实现</w:t>
      </w:r>
    </w:p>
    <w:p>
      <w:pPr>
        <w:spacing w:before="40" w:after="40"/>
        <w:pBdr>
          <w:bottom w:val="single" w:sz="6" w:space="1" w:color="CD2626"/>
        </w:pBdr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4.1 双轨二叉决策树——智能客户分层引擎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「智盈」采用"主树+子树"的双轨决策架构，将客户分层过程从依赖经验判断的传统模式，升级为基于规则的自动化算法。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A1A1A"/>
          <w:sz w:val="22"/>
          <w:u w:val="none"/>
        </w:rPr>
        <w:t>4.1.1 主树：资产规模 × 风险等级的粗分引擎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主树以可投资资产规模和风险等级两个维度，将客户划分为7个基础档位：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资产规模</w:t>
            </w:r>
          </w:p>
        </w:tc>
        <w:tc>
          <w:tcPr>
            <w:tcW w:type="dxa" w:w="2183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风险等级R1-R2</w:t>
            </w:r>
          </w:p>
        </w:tc>
        <w:tc>
          <w:tcPr>
            <w:tcW w:type="dxa" w:w="2183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风险等级R3-R5</w:t>
            </w:r>
          </w:p>
        </w:tc>
        <w:tc>
          <w:tcPr>
            <w:tcW w:type="dxa" w:w="2183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对应分层名称</w:t>
            </w:r>
          </w:p>
        </w:tc>
      </w:tr>
      <w:tr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≥65岁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A1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银发稳健族</w:t>
            </w:r>
          </w:p>
        </w:tc>
      </w:tr>
      <w:tr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&lt; 20万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B1-1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B1-2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大众稳健族 / 大众进取族</w:t>
            </w:r>
          </w:p>
        </w:tc>
      </w:tr>
      <w:tr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20-50万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B2-1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B2-2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均衡成长族 / 进取成长族</w:t>
            </w:r>
          </w:p>
        </w:tc>
      </w:tr>
      <w:tr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50-100万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B3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B3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高净值预备族</w:t>
            </w:r>
          </w:p>
        </w:tc>
      </w:tr>
      <w:tr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≥ 100万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B4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B4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高净值族</w:t>
            </w:r>
          </w:p>
        </w:tc>
      </w:tr>
    </w:tbl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65岁以上客户无论资产规模，一律归入A1 银发稳健族，权益上限强制≤10%，直接响应《适当性办法》第18条"65周岁以上客户的特别保护义务"。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A1A1A"/>
          <w:sz w:val="22"/>
          <w:u w:val="none"/>
        </w:rPr>
        <w:t>4.1.2 子树：五维合规并行校验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子树从五个维度对主树结果进行修正，每个维度可触发硬标签（hard constraint）或软标签（soft constraint）：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维度</w:t>
            </w:r>
          </w:p>
        </w:tc>
        <w:tc>
          <w:tcPr>
            <w:tcW w:type="dxa" w:w="2183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触发条件</w:t>
            </w:r>
          </w:p>
        </w:tc>
        <w:tc>
          <w:tcPr>
            <w:tcW w:type="dxa" w:w="2183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调整效果</w:t>
            </w:r>
          </w:p>
        </w:tc>
        <w:tc>
          <w:tcPr>
            <w:tcW w:type="dxa" w:w="2183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规则依据</w:t>
            </w:r>
          </w:p>
        </w:tc>
      </w:tr>
      <w:tr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年龄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≥65岁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权益上限→10%，降一档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《适当性办法》第18条</w:t>
            </w:r>
          </w:p>
        </w:tc>
      </w:tr>
      <w:tr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收入稳定性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波动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权益上限-10%，降一档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审慎性原则</w:t>
            </w:r>
          </w:p>
        </w:tc>
      </w:tr>
      <w:tr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负债压力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DTI≥40%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权益上限-15%，降一档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行业警戒线</w:t>
            </w:r>
          </w:p>
        </w:tc>
      </w:tr>
      <w:tr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保障缺口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寿险&lt;年收入×3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权益上限-10%，降一档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风险管理原则</w:t>
            </w:r>
          </w:p>
        </w:tc>
      </w:tr>
      <w:tr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投资经验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&lt;1年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权益上限-10%，降一档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《适当性办法》第25条（三）</w:t>
            </w:r>
          </w:p>
        </w:tc>
      </w:tr>
    </w:tbl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算法策略：硬标签取最严格者，软标签叠加。65岁以上的权益上限10%为独立硬约束，不受其他标签叠加影响。这一设计确保了在任何情况下，系统的配置建议都符合最审慎的合规要求。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A1A1A"/>
          <w:sz w:val="22"/>
          <w:u w:val="none"/>
        </w:rPr>
        <w:t>4.1.3 算法特点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透明可解释：每一步分类决策均记录路径（path）和调整原因（reason），用户可在方案页查看完整的分层推导过程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合规内嵌：所有调整维度均对应明确的法规条款，无经验性判断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置信度量化：算法输出置信度（confidence）指标，当触发标签过多时自动降权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4.2 金字塔配置引擎——四层防御性资产配置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金字塔模型是诺贝尔经济学奖得主哈里·马科维茨（Harry Markowitz）现代投资组合理论的工程化落地。我们将其简化为四层结构，在保持核心理念（风险分层、分散化、流动性管理）的同时，大幅降低认知门槛：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417"/>
        <w:gridCol w:w="2381"/>
        <w:gridCol w:w="2381"/>
        <w:gridCol w:w="2381"/>
        <w:gridCol w:w="2381"/>
      </w:tblGrid>
      <w:tr>
        <w:tc>
          <w:tcPr>
            <w:tcW w:type="dxa" w:w="174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20"/>
                <w:u w:val="none"/>
              </w:rPr>
              <w:t>指标</w:t>
            </w:r>
          </w:p>
        </w:tc>
        <w:tc>
          <w:tcPr>
            <w:tcW w:type="dxa" w:w="1746"/>
            <w:shd w:val="clear" w:color="auto" w:fill="FF6D00"/>
            <w:tcBorders>
              <w:top w:val="single" w:sz="6" w:color="FF6D00"/>
              <w:left w:val="single" w:sz="6" w:color="FF6D00"/>
              <w:bottom w:val="single" w:sz="6" w:color="FF6D00"/>
              <w:right w:val="single" w:sz="6" w:color="FF6D00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  <w:u w:val="none"/>
              </w:rPr>
              <w:t>🌟 卫星层</w:t>
            </w:r>
          </w:p>
        </w:tc>
        <w:tc>
          <w:tcPr>
            <w:tcW w:type="dxa" w:w="1746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  <w:u w:val="none"/>
              </w:rPr>
              <w:t>🌱 成长层</w:t>
            </w:r>
          </w:p>
        </w:tc>
        <w:tc>
          <w:tcPr>
            <w:tcW w:type="dxa" w:w="1746"/>
            <w:shd w:val="clear" w:color="auto" w:fill="1565C0"/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  <w:u w:val="none"/>
              </w:rPr>
              <w:t>📈 稳健层</w:t>
            </w:r>
          </w:p>
        </w:tc>
        <w:tc>
          <w:tcPr>
            <w:tcW w:type="dxa" w:w="1746"/>
            <w:shd w:val="clear" w:color="auto" w:fill="AD1457"/>
            <w:tcBorders>
              <w:top w:val="single" w:sz="6" w:color="AD1457"/>
              <w:left w:val="single" w:sz="6" w:color="AD1457"/>
              <w:bottom w:val="single" w:sz="6" w:color="AD1457"/>
              <w:right w:val="single" w:sz="6" w:color="AD1457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  <w:u w:val="none"/>
              </w:rPr>
              <w:t>💰 现金层</w:t>
            </w:r>
          </w:p>
        </w:tc>
      </w:tr>
      <w:tr>
        <w:tc>
          <w:tcPr>
            <w:tcW w:type="dxa" w:w="1746"/>
            <w:shd w:val="clear" w:color="auto" w:fill="FFF8E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00" w:after="10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  <w:u w:val="none"/>
              </w:rPr>
              <w:t>比例区间</w:t>
            </w:r>
          </w:p>
        </w:tc>
        <w:tc>
          <w:tcPr>
            <w:tcW w:type="dxa" w:w="1746"/>
            <w:shd w:val="clear" w:color="auto" w:fill="FAFAFA"/>
            <w:tcBorders>
              <w:top w:val="single" w:sz="3" w:color="DDDDDD"/>
              <w:left w:val="single" w:sz="3" w:color="DDDDDD"/>
              <w:bottom w:val="single" w:sz="3" w:color="DDDDDD"/>
              <w:right w:val="single" w:sz="3" w:color="DDDDDD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5 – 20%</w:t>
            </w:r>
          </w:p>
        </w:tc>
        <w:tc>
          <w:tcPr>
            <w:tcW w:type="dxa" w:w="1746"/>
            <w:shd w:val="clear" w:color="auto" w:fill="FAFAFA"/>
            <w:tcBorders>
              <w:top w:val="single" w:sz="3" w:color="DDDDDD"/>
              <w:left w:val="single" w:sz="3" w:color="DDDDDD"/>
              <w:bottom w:val="single" w:sz="3" w:color="DDDDDD"/>
              <w:right w:val="single" w:sz="3" w:color="DDDDDD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20 – 40%</w:t>
            </w:r>
          </w:p>
        </w:tc>
        <w:tc>
          <w:tcPr>
            <w:tcW w:type="dxa" w:w="1746"/>
            <w:shd w:val="clear" w:color="auto" w:fill="FAFAFA"/>
            <w:tcBorders>
              <w:top w:val="single" w:sz="3" w:color="DDDDDD"/>
              <w:left w:val="single" w:sz="3" w:color="DDDDDD"/>
              <w:bottom w:val="single" w:sz="3" w:color="DDDDDD"/>
              <w:right w:val="single" w:sz="3" w:color="DDDDDD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30 – 50%</w:t>
            </w:r>
          </w:p>
        </w:tc>
        <w:tc>
          <w:tcPr>
            <w:tcW w:type="dxa" w:w="1746"/>
            <w:shd w:val="clear" w:color="auto" w:fill="FAFAFA"/>
            <w:tcBorders>
              <w:top w:val="single" w:sz="3" w:color="DDDDDD"/>
              <w:left w:val="single" w:sz="3" w:color="DDDDDD"/>
              <w:bottom w:val="single" w:sz="3" w:color="DDDDDD"/>
              <w:right w:val="single" w:sz="3" w:color="DDDDDD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10 – 20%</w:t>
            </w:r>
          </w:p>
        </w:tc>
      </w:tr>
      <w:tr>
        <w:tc>
          <w:tcPr>
            <w:tcW w:type="dxa" w:w="1746"/>
            <w:shd w:val="clear" w:color="auto" w:fill="FFFD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00" w:after="10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  <w:u w:val="none"/>
              </w:rPr>
              <w:t>投资品种</w:t>
            </w:r>
          </w:p>
        </w:tc>
        <w:tc>
          <w:tcPr>
            <w:tcW w:type="dxa" w:w="1746"/>
            <w:shd w:val="clear" w:color="auto" w:fill="FAFAFA"/>
            <w:tcBorders>
              <w:top w:val="single" w:sz="3" w:color="DDDDDD"/>
              <w:left w:val="single" w:sz="3" w:color="DDDDDD"/>
              <w:bottom w:val="single" w:sz="3" w:color="DDDDDD"/>
              <w:right w:val="single" w:sz="3" w:color="DDDDDD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QDII · REITs · 黄金</w:t>
            </w:r>
          </w:p>
        </w:tc>
        <w:tc>
          <w:tcPr>
            <w:tcW w:type="dxa" w:w="1746"/>
            <w:shd w:val="clear" w:color="auto" w:fill="FAFAFA"/>
            <w:tcBorders>
              <w:top w:val="single" w:sz="3" w:color="DDDDDD"/>
              <w:left w:val="single" w:sz="3" w:color="DDDDDD"/>
              <w:bottom w:val="single" w:sz="3" w:color="DDDDDD"/>
              <w:right w:val="single" w:sz="3" w:color="DDDDDD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混合基金 · 股票基金 · 指数基金 · ESG基金</w:t>
            </w:r>
          </w:p>
        </w:tc>
        <w:tc>
          <w:tcPr>
            <w:tcW w:type="dxa" w:w="1746"/>
            <w:shd w:val="clear" w:color="auto" w:fill="FAFAFA"/>
            <w:tcBorders>
              <w:top w:val="single" w:sz="3" w:color="DDDDDD"/>
              <w:left w:val="single" w:sz="3" w:color="DDDDDD"/>
              <w:bottom w:val="single" w:sz="3" w:color="DDDDDD"/>
              <w:right w:val="single" w:sz="3" w:color="DDDDDD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银行理财PR2 · 债券基金 · 养老目标FOF · 年金险</w:t>
            </w:r>
          </w:p>
        </w:tc>
        <w:tc>
          <w:tcPr>
            <w:tcW w:type="dxa" w:w="1746"/>
            <w:shd w:val="clear" w:color="auto" w:fill="FAFAFA"/>
            <w:tcBorders>
              <w:top w:val="single" w:sz="3" w:color="DDDDDD"/>
              <w:left w:val="single" w:sz="3" w:color="DDDDDD"/>
              <w:bottom w:val="single" w:sz="3" w:color="DDDDDD"/>
              <w:right w:val="single" w:sz="3" w:color="DDDDDD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货币基金 · 天天理财 · 活期存款</w:t>
            </w:r>
          </w:p>
        </w:tc>
      </w:tr>
      <w:tr>
        <w:tc>
          <w:tcPr>
            <w:tcW w:type="dxa" w:w="1746"/>
            <w:shd w:val="clear" w:color="auto" w:fill="FFF8E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00" w:after="10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  <w:u w:val="none"/>
              </w:rPr>
              <w:t>核心目标</w:t>
            </w:r>
          </w:p>
        </w:tc>
        <w:tc>
          <w:tcPr>
            <w:tcW w:type="dxa" w:w="1746"/>
            <w:shd w:val="clear" w:color="auto" w:fill="FAFAFA"/>
            <w:tcBorders>
              <w:top w:val="single" w:sz="3" w:color="DDDDDD"/>
              <w:left w:val="single" w:sz="3" w:color="DDDDDD"/>
              <w:bottom w:val="single" w:sz="3" w:color="DDDDDD"/>
              <w:right w:val="single" w:sz="3" w:color="DDDDDD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分散化 + 追求超额收益</w:t>
            </w:r>
          </w:p>
        </w:tc>
        <w:tc>
          <w:tcPr>
            <w:tcW w:type="dxa" w:w="1746"/>
            <w:shd w:val="clear" w:color="auto" w:fill="FAFAFA"/>
            <w:tcBorders>
              <w:top w:val="single" w:sz="3" w:color="DDDDDD"/>
              <w:left w:val="single" w:sz="3" w:color="DDDDDD"/>
              <w:bottom w:val="single" w:sz="3" w:color="DDDDDD"/>
              <w:right w:val="single" w:sz="3" w:color="DDDDDD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长期资本增值</w:t>
            </w:r>
          </w:p>
        </w:tc>
        <w:tc>
          <w:tcPr>
            <w:tcW w:type="dxa" w:w="1746"/>
            <w:shd w:val="clear" w:color="auto" w:fill="FAFAFA"/>
            <w:tcBorders>
              <w:top w:val="single" w:sz="3" w:color="DDDDDD"/>
              <w:left w:val="single" w:sz="3" w:color="DDDDDD"/>
              <w:bottom w:val="single" w:sz="3" w:color="DDDDDD"/>
              <w:right w:val="single" w:sz="3" w:color="DDDDDD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稳健增值 + 对抗通胀</w:t>
            </w:r>
          </w:p>
        </w:tc>
        <w:tc>
          <w:tcPr>
            <w:tcW w:type="dxa" w:w="1746"/>
            <w:shd w:val="clear" w:color="auto" w:fill="FAFAFA"/>
            <w:tcBorders>
              <w:top w:val="single" w:sz="3" w:color="DDDDDD"/>
              <w:left w:val="single" w:sz="3" w:color="DDDDDD"/>
              <w:bottom w:val="single" w:sz="3" w:color="DDDDDD"/>
              <w:right w:val="single" w:sz="3" w:color="DDDDDD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流动性安全垫</w:t>
            </w:r>
          </w:p>
        </w:tc>
      </w:tr>
      <w:tr>
        <w:tc>
          <w:tcPr>
            <w:tcW w:type="dxa" w:w="1746"/>
            <w:shd w:val="clear" w:color="auto" w:fill="FFFD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00" w:after="10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  <w:u w:val="none"/>
              </w:rPr>
              <w:t>风险等级</w:t>
            </w:r>
          </w:p>
        </w:tc>
        <w:tc>
          <w:tcPr>
            <w:tcW w:type="dxa" w:w="1746"/>
            <w:shd w:val="clear" w:color="auto" w:fill="FAFAFA"/>
            <w:tcBorders>
              <w:top w:val="single" w:sz="3" w:color="DDDDDD"/>
              <w:left w:val="single" w:sz="3" w:color="DDDDDD"/>
              <w:bottom w:val="single" w:sz="3" w:color="DDDDDD"/>
              <w:right w:val="single" w:sz="3" w:color="DDDDDD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R4 – R5</w:t>
            </w:r>
          </w:p>
        </w:tc>
        <w:tc>
          <w:tcPr>
            <w:tcW w:type="dxa" w:w="1746"/>
            <w:shd w:val="clear" w:color="auto" w:fill="FAFAFA"/>
            <w:tcBorders>
              <w:top w:val="single" w:sz="3" w:color="DDDDDD"/>
              <w:left w:val="single" w:sz="3" w:color="DDDDDD"/>
              <w:bottom w:val="single" w:sz="3" w:color="DDDDDD"/>
              <w:right w:val="single" w:sz="3" w:color="DDDDDD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R3 – R5</w:t>
            </w:r>
          </w:p>
        </w:tc>
        <w:tc>
          <w:tcPr>
            <w:tcW w:type="dxa" w:w="1746"/>
            <w:shd w:val="clear" w:color="auto" w:fill="FAFAFA"/>
            <w:tcBorders>
              <w:top w:val="single" w:sz="3" w:color="DDDDDD"/>
              <w:left w:val="single" w:sz="3" w:color="DDDDDD"/>
              <w:bottom w:val="single" w:sz="3" w:color="DDDDDD"/>
              <w:right w:val="single" w:sz="3" w:color="DDDDDD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R1 – R4</w:t>
            </w:r>
          </w:p>
        </w:tc>
        <w:tc>
          <w:tcPr>
            <w:tcW w:type="dxa" w:w="1746"/>
            <w:shd w:val="clear" w:color="auto" w:fill="FAFAFA"/>
            <w:tcBorders>
              <w:top w:val="single" w:sz="3" w:color="DDDDDD"/>
              <w:left w:val="single" w:sz="3" w:color="DDDDDD"/>
              <w:bottom w:val="single" w:sz="3" w:color="DDDDDD"/>
              <w:right w:val="single" w:sz="3" w:color="DDDDDD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R1 – R5</w:t>
            </w:r>
          </w:p>
        </w:tc>
      </w:tr>
      <w:tr>
        <w:tc>
          <w:tcPr>
            <w:tcW w:type="dxa" w:w="1746"/>
            <w:shd w:val="clear" w:color="auto" w:fill="FFF8E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00" w:after="100"/>
            </w:pPr>
            <w:r/>
            <w:r>
              <w:rPr>
                <w:rFonts w:ascii="微软雅黑" w:hAnsi="微软雅黑" w:eastAsia="微软雅黑"/>
                <w:b/>
                <w:i w:val="0"/>
                <w:color w:val="1A1A1A"/>
                <w:sz w:val="18"/>
                <w:u w:val="none"/>
              </w:rPr>
              <w:t>典型场景</w:t>
            </w:r>
          </w:p>
        </w:tc>
        <w:tc>
          <w:tcPr>
            <w:tcW w:type="dxa" w:w="1746"/>
            <w:shd w:val="clear" w:color="auto" w:fill="FAFAFA"/>
            <w:tcBorders>
              <w:top w:val="single" w:sz="3" w:color="DDDDDD"/>
              <w:left w:val="single" w:sz="3" w:color="DDDDDD"/>
              <w:bottom w:val="single" w:sz="3" w:color="DDDDDD"/>
              <w:right w:val="single" w:sz="3" w:color="DDDDDD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全球配置、对冲风险</w:t>
            </w:r>
          </w:p>
        </w:tc>
        <w:tc>
          <w:tcPr>
            <w:tcW w:type="dxa" w:w="1746"/>
            <w:shd w:val="clear" w:color="auto" w:fill="FAFAFA"/>
            <w:tcBorders>
              <w:top w:val="single" w:sz="3" w:color="DDDDDD"/>
              <w:left w:val="single" w:sz="3" w:color="DDDDDD"/>
              <w:bottom w:val="single" w:sz="3" w:color="DDDDDD"/>
              <w:right w:val="single" w:sz="3" w:color="DDDDDD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长期持有、复利增长</w:t>
            </w:r>
          </w:p>
        </w:tc>
        <w:tc>
          <w:tcPr>
            <w:tcW w:type="dxa" w:w="1746"/>
            <w:shd w:val="clear" w:color="auto" w:fill="FAFAFA"/>
            <w:tcBorders>
              <w:top w:val="single" w:sz="3" w:color="DDDDDD"/>
              <w:left w:val="single" w:sz="3" w:color="DDDDDD"/>
              <w:bottom w:val="single" w:sz="3" w:color="DDDDDD"/>
              <w:right w:val="single" w:sz="3" w:color="DDDDDD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家庭储备、子女教育</w:t>
            </w:r>
          </w:p>
        </w:tc>
        <w:tc>
          <w:tcPr>
            <w:tcW w:type="dxa" w:w="1746"/>
            <w:shd w:val="clear" w:color="auto" w:fill="FAFAFA"/>
            <w:tcBorders>
              <w:top w:val="single" w:sz="3" w:color="DDDDDD"/>
              <w:left w:val="single" w:sz="3" w:color="DDDDDD"/>
              <w:bottom w:val="single" w:sz="3" w:color="DDDDDD"/>
              <w:right w:val="single" w:sz="3" w:color="DDDDDD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>应急备用、随时可取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1A1A1A"/>
          <w:sz w:val="22"/>
          <w:u w:val="none"/>
        </w:rPr>
        <w:t>4.2.1 约束修正引擎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金字塔不是一张静态图谱，而是一套动态约束修正系统，包含以下自动触发规则：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约束规则</w:t>
            </w:r>
          </w:p>
        </w:tc>
        <w:tc>
          <w:tcPr>
            <w:tcW w:type="dxa" w:w="2183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触发条件</w:t>
            </w:r>
          </w:p>
        </w:tc>
        <w:tc>
          <w:tcPr>
            <w:tcW w:type="dxa" w:w="2183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修正方式</w:t>
            </w:r>
          </w:p>
        </w:tc>
        <w:tc>
          <w:tcPr>
            <w:tcW w:type="dxa" w:w="2183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依据</w:t>
            </w:r>
          </w:p>
        </w:tc>
      </w:tr>
      <w:tr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流动性硬约束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现金层&lt;3个月支出/可投资资产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现金层提升至下限，优先从成长层扣减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生活保障优先</w:t>
            </w:r>
          </w:p>
        </w:tc>
      </w:tr>
      <w:tr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适老保护约束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年龄≥65岁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权益上限≤10%，卫星层归零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《适当性办法》第18条</w:t>
            </w:r>
          </w:p>
        </w:tc>
      </w:tr>
      <w:tr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负债压力约束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DTI≥30%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现金层提升至≥20%，不足部分从成长→稳健扣减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偿债能力保护</w:t>
            </w:r>
          </w:p>
        </w:tc>
      </w:tr>
      <w:tr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养老临近约束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距退休≤5年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成长层30%资金转入稳健层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资金安全性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i w:val="0"/>
          <w:color w:val="1A1A1A"/>
          <w:sz w:val="22"/>
          <w:u w:val="none"/>
        </w:rPr>
        <w:t>4.2.2 产品推荐评分体系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在确定了各层配置比例和金额后，系统需要从24类、数百只产品中选出最合适的标的。「智盈」建立了一套5维度加权评分体系：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评分维度</w:t>
            </w:r>
          </w:p>
        </w:tc>
        <w:tc>
          <w:tcPr>
            <w:tcW w:type="dxa" w:w="2911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分值</w:t>
            </w:r>
          </w:p>
        </w:tc>
        <w:tc>
          <w:tcPr>
            <w:tcW w:type="dxa" w:w="2911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评分逻辑</w:t>
            </w:r>
          </w:p>
        </w:tc>
      </w:tr>
      <w:tr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风险适配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30分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产品风险等级≤客户承受等级，得满分；否则0分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流动性匹配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20分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根据产品所处金字塔层的需求，对"T+0/T+1/封闭期"给予不同分值</w:t>
            </w:r>
          </w:p>
        </w:tc>
      </w:tr>
      <w:tr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目标匹配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20分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产品适合目标集合∩客户目标集合，非空得满分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费用结构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10分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管理费+认购费综合越低分值越高</w:t>
            </w:r>
          </w:p>
        </w:tc>
      </w:tr>
      <w:tr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风险收益特征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20分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夏普比率 = (历史年化收益 - 2.5%无风险利率) / 年化波动率</w:t>
            </w:r>
          </w:p>
        </w:tc>
      </w:tr>
    </w:tbl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每个金字塔层取评分最高的3只产品（不同子类别各取1只，避免同质化推荐），并在推荐理由中用生活语言说明推荐逻辑。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4.3 现金流永续测算引擎——让养老规划不再模糊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现金流测算是「智盈」最具差异化的功能之一。它解决的是用户最关心但也最难自行计算的问题："我老了，钱到底够不够？"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A1A1A"/>
          <w:sz w:val="22"/>
          <w:u w:val="none"/>
        </w:rPr>
        <w:t>4.3.1 积累期测算（当前至退休）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从现在到退休，系统计算两笔账：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现有资产的复利增长：可投资资产 × (1 + 组合预期年化收益)^年数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月结余定投的年金终值：每月结余（年收入/12 - 月支出 - 月供 - 其他负债）× 年金终值系数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组合预期年化收益按金字塔各层配置比例加权计算（无持仓时按各层默认值估算）。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A1A1A"/>
          <w:sz w:val="22"/>
          <w:u w:val="none"/>
        </w:rPr>
        <w:t>4.3.2 退休期测算（退休至100岁）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退休后，系统采用安全提取率（Safe Withdrawal Rate）方法：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4366"/>
        <w:gridCol w:w="4366"/>
      </w:tblGrid>
      <w:tr>
        <w:tc>
          <w:tcPr>
            <w:tcW w:type="dxa" w:w="4366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权益占比（成长+卫星层）</w:t>
            </w:r>
          </w:p>
        </w:tc>
        <w:tc>
          <w:tcPr>
            <w:tcW w:type="dxa" w:w="4366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安全提取率</w:t>
            </w:r>
          </w:p>
        </w:tc>
      </w:tr>
      <w:tr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&lt; 10%</w:t>
            </w:r>
          </w:p>
        </w:tc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3.0%</w:t>
            </w:r>
          </w:p>
        </w:tc>
      </w:tr>
      <w:tr>
        <w:tc>
          <w:tcPr>
            <w:tcW w:type="dxa" w:w="4366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10-20%</w:t>
            </w:r>
          </w:p>
        </w:tc>
        <w:tc>
          <w:tcPr>
            <w:tcW w:type="dxa" w:w="4366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3.5%</w:t>
            </w:r>
          </w:p>
        </w:tc>
      </w:tr>
      <w:tr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20-30%</w:t>
            </w:r>
          </w:p>
        </w:tc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4.0%</w:t>
            </w:r>
          </w:p>
        </w:tc>
      </w:tr>
      <w:tr>
        <w:tc>
          <w:tcPr>
            <w:tcW w:type="dxa" w:w="4366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30-40%</w:t>
            </w:r>
          </w:p>
        </w:tc>
        <w:tc>
          <w:tcPr>
            <w:tcW w:type="dxa" w:w="4366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4.3%</w:t>
            </w:r>
          </w:p>
        </w:tc>
      </w:tr>
      <w:tr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≥ 40%</w:t>
            </w:r>
          </w:p>
        </w:tc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4.5%</w:t>
            </w:r>
          </w:p>
        </w:tc>
      </w:tr>
    </w:tbl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养老金估算遵循中国社保"多缴多得"原则，缴费年限15年→替代率40%；30年→替代率50%；40年→替代率60%。用户不需要知道这些数字，只需要看到"退休后月养老金¥XXX，月度缺口¥XXX"的结论。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A1A1A"/>
          <w:sz w:val="22"/>
          <w:u w:val="none"/>
        </w:rPr>
        <w:t>4.3.3 永续性判断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系统逐年模拟从退休到100岁的资产变化，判断配置方案是否能够"永续"——即活到100岁资产仍未耗尽。如果不能永续，系统会给出"资产将在XX岁耗尽"的预警，以及"若要实现永续，建议每月额外定投¥XXX"的量化建议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4.4 合规检查引擎——适当性义务的数字化执行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合规检查引擎是整个系统的"守门人"，它将《适当性办法》的49条要求转化为12类自动检查项：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检查类型</w:t>
            </w:r>
          </w:p>
        </w:tc>
        <w:tc>
          <w:tcPr>
            <w:tcW w:type="dxa" w:w="2911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违规后果</w:t>
            </w:r>
          </w:p>
        </w:tc>
        <w:tc>
          <w:tcPr>
            <w:tcW w:type="dxa" w:w="2911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规则依据</w:t>
            </w:r>
          </w:p>
        </w:tc>
      </w:tr>
      <w:tr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KYC有效性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BLOCK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《适当性办法》第12条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风险等级匹配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BLOCK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《适当性办法》第12条（一）</w:t>
            </w:r>
          </w:p>
        </w:tc>
      </w:tr>
      <w:tr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产品年龄限制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BLOCK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《适当性办法》第23条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起购金额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WARN/BLOCK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《适当性办法》第12条（二）</w:t>
            </w:r>
          </w:p>
        </w:tc>
      </w:tr>
      <w:tr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65+特别保护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WARN/BLOCK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《适当性办法》第18条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万能险年龄要求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WARN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《适当性办法》第37条</w:t>
            </w:r>
          </w:p>
        </w:tc>
      </w:tr>
      <w:tr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私募合格投资者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BLOCK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《适当性办法》第30条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QDII汇率风险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WARN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风险揭示义务</w:t>
            </w:r>
          </w:p>
        </w:tc>
      </w:tr>
      <w:tr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REITs流动性风险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WARN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风险揭示义务</w:t>
            </w:r>
          </w:p>
        </w:tc>
      </w:tr>
    </w:tbl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每项检查结果映射为四种合规状态：PASS（通过）、WARN（警告）、BLOCK（阻断）、NEED_MORE_DATA（需补充数据）。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对用户界面，系统只显示WARN和BLOCK项的具体原因，PASS项用户无感知——合规逻辑隐藏在后台，合规结果以友好方式呈现。</w:t>
      </w:r>
    </w:p>
    <w:p/>
    <w:p>
      <w:pPr>
        <w:pStyle w:val="Heading1"/>
      </w:pPr>
      <w:r>
        <w:rPr>
          <w:rFonts w:ascii="微软雅黑" w:hAnsi="微软雅黑" w:eastAsia="微软雅黑"/>
          <w:b/>
          <w:i w:val="0"/>
          <w:color w:val="CD2626"/>
          <w:sz w:val="32"/>
          <w:u w:val="none"/>
        </w:rPr>
        <w:t>第五章 合规性与安全性设计</w:t>
      </w:r>
    </w:p>
    <w:p>
      <w:pPr>
        <w:spacing w:before="40" w:after="40"/>
        <w:pBdr>
          <w:bottom w:val="single" w:sz="6" w:space="1" w:color="CD2626"/>
        </w:pBdr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5.1 合规性论证矩阵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「智盈」的设计决策均有明确的法规依据。以下表格列出了每个核心设计模块与《适当性办法》条款的对应关系：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系统设计</w:t>
            </w:r>
          </w:p>
        </w:tc>
        <w:tc>
          <w:tcPr>
            <w:tcW w:type="dxa" w:w="2911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对应法规条款</w:t>
            </w:r>
          </w:p>
        </w:tc>
        <w:tc>
          <w:tcPr>
            <w:tcW w:type="dxa" w:w="2911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实施方式</w:t>
            </w:r>
          </w:p>
        </w:tc>
      </w:tr>
      <w:tr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客户风险等级直接继承银行端评估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《适当性办法》第5条、第29条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系统不重复测评，直接采用银行端结果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65+特别保护机制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《适当性办法》第18条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自动触发适老约束，权益上限≤10%，卫星层归零</w:t>
            </w:r>
          </w:p>
        </w:tc>
      </w:tr>
      <w:tr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KYC渐进式信息采集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《适当性办法》第10条、第25条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最小必要原则，仅采集与适当性相关的信息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算法生成适当性匹配意见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《适当性办法》第5条、第31条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界面明确展示"适当性匹配意见"，不构成收益承诺</w:t>
            </w:r>
          </w:p>
        </w:tc>
      </w:tr>
      <w:tr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产品推荐附随推荐理由和风险揭示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《适当性办法》第13条、第31条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每只推荐产品附带推荐逻辑说明和风险提示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全流程无保本保收益表述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《适当性办法》第13条（二）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界面明确"投资有风险，决策需谨慎"</w:t>
            </w:r>
          </w:p>
        </w:tc>
      </w:tr>
      <w:tr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超标产品自动BLOCK不展示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《适当性办法》第13条（三）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合规引擎对风险等级超标产品自动阻断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互联网渠道适当性管理内嵌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《适当性办法》第14条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全流程线上化，适当性管理嵌入每个交互节点</w:t>
            </w:r>
          </w:p>
        </w:tc>
      </w:tr>
      <w:tr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适当性管理过程可回溯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《适当性办法》第17条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预约单包含完整配置参数、算法版本、时间戳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客户信息保护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《适当性办法》第10条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5层字段级脱敏 + RLS行级安全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5.2 数据安全体系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后端项目「工行杯」构建了完整的数据安全基础设施，深度响应《适当性办法》第10条"金融机构应当履行客户信息保护义务，确保客户信息安全"的要求：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5层字段级脱敏：根据查看者身份（客户本人/客户经理/公开演示），对身份证号、姓名、手机号、收入、资产分别应用不同精度的脱敏策略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RLS行级安全：基于PostgreSQL的行级安全策略（Row-Level Security），确保客户只能访问自己的数据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访问审计日志：每次敏感字段读取均记录访问日志（访问者、访问时间、访问字段），满足《适当性办法》第17条"适当性管理过程可回溯"的要求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数据加密：身份证号SHA-256哈希 + AES-256-GCM加密存储，确保原始数据不泄露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会话安全：JWT 30分钟过期，bcrypt密码哈希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5.3 合规文化的体现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「智盈」不仅在功能层面实现了合规，更在产品设计中体现了合规文化的理念：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透明性：所有配置决策的背后逻辑均对用户可见，用户不仅知道"系统推荐了什么"，更知道"系统为什么这样推荐"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可选择性：系统提供用户手动调整金字塔比例的功能，但调整后立即重新运行合规检查，超标时给出明确警告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教育导向：免责声明和风险提示贯穿全流程，但呈现方式不是冰冷的法律条文，而是结合具体场景的友好提示</w:t>
      </w:r>
    </w:p>
    <w:p/>
    <w:p>
      <w:pPr>
        <w:pStyle w:val="Heading1"/>
      </w:pPr>
      <w:r>
        <w:rPr>
          <w:rFonts w:ascii="微软雅黑" w:hAnsi="微软雅黑" w:eastAsia="微软雅黑"/>
          <w:b/>
          <w:i w:val="0"/>
          <w:color w:val="CD2626"/>
          <w:sz w:val="32"/>
          <w:u w:val="none"/>
        </w:rPr>
        <w:t>第六章 技术架构与系统实现</w:t>
      </w:r>
    </w:p>
    <w:p>
      <w:pPr>
        <w:spacing w:before="40" w:after="40"/>
        <w:pBdr>
          <w:bottom w:val="single" w:sz="6" w:space="1" w:color="CD2626"/>
        </w:pBdr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6.1 系统架构概览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3685"/>
        <w:gridCol w:w="3685"/>
        <w:gridCol w:w="3685"/>
      </w:tblGrid>
      <w:tr>
        <w:trPr>
          <w:trHeight w:val="640" w:hRule="atLeast"/>
          <w:trHeight w:val="640" w:hRule="atLeast"/>
          <w:trHeight w:val="640" w:hRule="atLeast"/>
        </w:trPr>
        <w:tc>
          <w:tcPr>
            <w:tcW w:type="dxa" w:w="2911"/>
            <w:shd w:val="clear" w:color="auto" w:fill="CD2626"/>
            <w:tcBorders>
              <w:top w:val="single" w:sz="8" w:color="CD2626"/>
              <w:left w:val="single" w:sz="8" w:color="CD2626"/>
              <w:bottom w:val="single" w:sz="8" w:color="CD2626"/>
              <w:right w:val="single" w:sz="8" w:color="CD2626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  <w:u w:val="none"/>
              </w:rPr>
              <w:t>🏗️ 用户体验层</w:t>
            </w:r>
          </w:p>
        </w:tc>
        <w:tc>
          <w:tcPr>
            <w:tcW w:type="dxa" w:w="2911"/>
            <w:shd w:val="clear" w:color="auto" w:fill="2E7D32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  <w:u w:val="none"/>
              </w:rPr>
              <w:t>⚙️ 智能算法层</w:t>
            </w:r>
          </w:p>
        </w:tc>
        <w:tc>
          <w:tcPr>
            <w:tcW w:type="dxa" w:w="2911"/>
            <w:shd w:val="clear" w:color="auto" w:fill="1565C0"/>
            <w:tcBorders>
              <w:top w:val="single" w:sz="8" w:color="1565C0"/>
              <w:left w:val="single" w:sz="8" w:color="1565C0"/>
              <w:bottom w:val="single" w:sz="8" w:color="1565C0"/>
              <w:right w:val="single" w:sz="8" w:color="1565C0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  <w:u w:val="none"/>
              </w:rPr>
              <w:t>🔒 数据与安全层</w:t>
            </w:r>
          </w:p>
        </w:tc>
      </w:tr>
      <w:tr>
        <w:tc>
          <w:tcPr>
            <w:tcW w:type="dxa" w:w="2911"/>
            <w:shd w:val="clear" w:color="auto" w:fill="F8F8F8"/>
            <w:tcBorders>
              <w:top w:val="single" w:sz="4" w:color="CD2626"/>
              <w:left w:val="single" w:sz="4" w:color="CD2626"/>
              <w:bottom w:val="single" w:sz="4" w:color="CD2626"/>
              <w:right w:val="single" w:sz="4" w:color="CD2626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/>
                <w:color w:val="666666"/>
                <w:sz w:val="16"/>
                <w:u w:val="none"/>
              </w:rPr>
              <w:t>Next.js 14 · React 18 · TypeScript</w:t>
            </w:r>
          </w:p>
        </w:tc>
        <w:tc>
          <w:tcPr>
            <w:tcW w:type="dxa" w:w="2911"/>
            <w:shd w:val="clear" w:color="auto" w:fill="F8F8F8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/>
                <w:color w:val="666666"/>
                <w:sz w:val="16"/>
                <w:u w:val="none"/>
              </w:rPr>
              <w:t>Pure TypeScript · 模块化算法引擎</w:t>
            </w:r>
          </w:p>
        </w:tc>
        <w:tc>
          <w:tcPr>
            <w:tcW w:type="dxa" w:w="2911"/>
            <w:shd w:val="clear" w:color="auto" w:fill="F8F8F8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/>
                <w:color w:val="666666"/>
                <w:sz w:val="16"/>
                <w:u w:val="none"/>
              </w:rPr>
              <w:t>Neon Postgres · RLS · Prisma ORM</w:t>
            </w:r>
          </w:p>
        </w:tc>
      </w:tr>
      <w:tr>
        <w:tc>
          <w:tcPr>
            <w:tcW w:type="dxa" w:w="2911"/>
            <w:shd w:val="clear" w:color="auto" w:fill="FAFAFA"/>
            <w:tcBorders>
              <w:top w:val="single" w:sz="3" w:color="CD2626"/>
              <w:left w:val="single" w:sz="3" w:color="CD2626"/>
              <w:bottom w:val="single" w:sz="3" w:color="CD2626"/>
              <w:right w:val="single" w:sz="3" w:color="CD2626"/>
            </w:tcBorders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 xml:space="preserve">  • Next.js 14 App Router</w:t>
            </w:r>
          </w:p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 xml:space="preserve">  • 欢迎页 Welcome</w:t>
            </w:r>
          </w:p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 xml:space="preserve">  • 客户档案 Customer</w:t>
            </w:r>
          </w:p>
        </w:tc>
        <w:tc>
          <w:tcPr>
            <w:tcW w:type="dxa" w:w="2911"/>
            <w:shd w:val="clear" w:color="auto" w:fill="FAFAFA"/>
            <w:tcBorders>
              <w:top w:val="single" w:sz="3" w:color="2E7D32"/>
              <w:left w:val="single" w:sz="3" w:color="2E7D32"/>
              <w:bottom w:val="single" w:sz="3" w:color="2E7D32"/>
              <w:right w:val="single" w:sz="3" w:color="2E7D32"/>
            </w:tcBorders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 xml:space="preserve">  • 双轨决策树 · 客户分层引擎</w:t>
            </w:r>
          </w:p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 xml:space="preserve">  • 金字塔配置 · 四层资产配置</w:t>
            </w:r>
          </w:p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 xml:space="preserve">  • 现金流永续 · 养老测算</w:t>
            </w:r>
          </w:p>
        </w:tc>
        <w:tc>
          <w:tcPr>
            <w:tcW w:type="dxa" w:w="2911"/>
            <w:shd w:val="clear" w:color="auto" w:fill="FAFAFA"/>
            <w:tcBorders>
              <w:top w:val="single" w:sz="3" w:color="1565C0"/>
              <w:left w:val="single" w:sz="3" w:color="1565C0"/>
              <w:bottom w:val="single" w:sz="3" w:color="1565C0"/>
              <w:right w:val="single" w:sz="3" w:color="1565C0"/>
            </w:tcBorders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 xml:space="preserve">  • ICBC产品数据库 · 24类</w:t>
            </w:r>
          </w:p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 xml:space="preserve">  • 客户画像与KYC数据</w:t>
            </w:r>
          </w:p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 xml:space="preserve">  • 5层字段级脱敏</w:t>
            </w:r>
          </w:p>
        </w:tc>
      </w:tr>
      <w:tr>
        <w:tc>
          <w:tcPr>
            <w:tcW w:type="dxa" w:w="2911"/>
            <w:shd w:val="clear" w:color="auto" w:fill="FAFAFA"/>
            <w:tcBorders>
              <w:top w:val="single" w:sz="3" w:color="CD2626"/>
              <w:left w:val="single" w:sz="3" w:color="CD2626"/>
              <w:bottom w:val="single" w:sz="3" w:color="CD2626"/>
              <w:right w:val="single" w:sz="3" w:color="CD2626"/>
            </w:tcBorders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 xml:space="preserve">  • KYC流程 KYC</w:t>
            </w:r>
          </w:p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 xml:space="preserve">  • 资产配置 Plan</w:t>
            </w:r>
          </w:p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 xml:space="preserve">  • 预约单 Reservation</w:t>
            </w:r>
          </w:p>
        </w:tc>
        <w:tc>
          <w:tcPr>
            <w:tcW w:type="dxa" w:w="2911"/>
            <w:shd w:val="clear" w:color="auto" w:fill="FAFAFA"/>
            <w:tcBorders>
              <w:top w:val="single" w:sz="3" w:color="2E7D32"/>
              <w:left w:val="single" w:sz="3" w:color="2E7D32"/>
              <w:bottom w:val="single" w:sz="3" w:color="2E7D32"/>
              <w:right w:val="single" w:sz="3" w:color="2E7D32"/>
            </w:tcBorders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 xml:space="preserve">  • 产品推荐 · 5维评分</w:t>
            </w:r>
          </w:p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 xml:space="preserve">  • 合规检查 · 12类检查项</w:t>
            </w:r>
          </w:p>
        </w:tc>
        <w:tc>
          <w:tcPr>
            <w:tcW w:type="dxa" w:w="2911"/>
            <w:shd w:val="clear" w:color="auto" w:fill="FAFAFA"/>
            <w:tcBorders>
              <w:top w:val="single" w:sz="3" w:color="1565C0"/>
              <w:left w:val="single" w:sz="3" w:color="1565C0"/>
              <w:bottom w:val="single" w:sz="3" w:color="1565C0"/>
              <w:right w:val="single" w:sz="3" w:color="1565C0"/>
            </w:tcBorders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 xml:space="preserve">  • AES-256 + SHA-256</w:t>
            </w:r>
          </w:p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 xml:space="preserve">  • 访问审计日志</w:t>
            </w:r>
          </w:p>
          <w:p>
            <w:pPr>
              <w:spacing w:before="60" w:after="6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u w:val="none"/>
              </w:rPr>
              <w:t xml:space="preserve">  • RLS行级安全</w:t>
            </w:r>
          </w:p>
        </w:tc>
      </w:tr>
      <w:tr>
        <w:trPr>
          <w:trHeight w:val="120" w:hRule="atLeast"/>
          <w:trHeight w:val="120" w:hRule="atLeast"/>
          <w:trHeight w:val="120" w:hRule="atLeast"/>
        </w:trPr>
        <w:tc>
          <w:tcPr>
            <w:tcW w:type="dxa" w:w="2911"/>
            <w:shd w:val="clear" w:color="auto" w:fill="CD2626"/>
            <w:tcBorders>
              <w:top w:val="single" w:sz="4" w:color="CD2626"/>
              <w:left w:val="single" w:sz="4" w:color="CD2626"/>
              <w:bottom w:val="single" w:sz="4" w:color="CD2626"/>
              <w:right w:val="single" w:sz="4" w:color="CD2626"/>
            </w:tcBorders>
          </w:tcPr>
          <w:p>
            <w:r/>
          </w:p>
        </w:tc>
        <w:tc>
          <w:tcPr>
            <w:tcW w:type="dxa" w:w="2911"/>
            <w:shd w:val="clear" w:color="auto" w:fill="2E7D3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</w:tcPr>
          <w:p>
            <w:r/>
          </w:p>
        </w:tc>
        <w:tc>
          <w:tcPr>
            <w:tcW w:type="dxa" w:w="2911"/>
            <w:shd w:val="clear" w:color="auto" w:fill="1565C0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</w:tcPr>
          <w:p>
            <w:r/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6.2 技术选型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技术选型</w:t>
            </w:r>
          </w:p>
        </w:tc>
        <w:tc>
          <w:tcPr>
            <w:tcW w:type="dxa" w:w="2911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版本</w:t>
            </w:r>
          </w:p>
        </w:tc>
        <w:tc>
          <w:tcPr>
            <w:tcW w:type="dxa" w:w="2911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选择理由</w:t>
            </w:r>
          </w:p>
        </w:tc>
      </w:tr>
      <w:tr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Next.js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14.2.35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App Router的服务端渲染保障数据安全，layout机制天然支持多步骤表单的状态保持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React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18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组件化架构，算法模块可独立测试</w:t>
            </w:r>
          </w:p>
        </w:tc>
      </w:tr>
      <w:tr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TypeScript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5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全链路类型安全，算法逻辑的数学严谨性与代码严谨性一一对应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Tailwind CSS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3.4.1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原子化CSS实现工商银行品牌视觉系统，工行红+金色的设计语言贯穿全站</w:t>
            </w:r>
          </w:p>
        </w:tc>
      </w:tr>
      <w:tr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Neon Postgres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Serverless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分支（Branch）功能支持每个PR独立测试数据库，serverless冷启动极快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Prisma ORM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最新版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类型安全的数据库访问，与前端TypeScript无缝衔接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6.3 项目结构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4366"/>
        <w:gridCol w:w="4366"/>
      </w:tblGrid>
      <w:tr>
        <w:tc>
          <w:tcPr>
            <w:tcW w:type="dxa" w:w="4366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📦 前端展示系统 ICBC-WMP</w:t>
            </w:r>
          </w:p>
        </w:tc>
        <w:tc>
          <w:tcPr>
            <w:tcW w:type="dxa" w:w="4366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🔒 后端安全系统 工行杯</w:t>
            </w:r>
          </w:p>
        </w:tc>
      </w:tr>
      <w:tr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src/app/ — 页面路由（welcome/customer/kyc/plan/reservation）</w:t>
            </w:r>
          </w:p>
        </w:tc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prisma/schema.prisma — 10张数据表</w:t>
            </w:r>
          </w:p>
        </w:tc>
      </w:tr>
      <w:tr>
        <w:tc>
          <w:tcPr>
            <w:tcW w:type="dxa" w:w="4366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src/components/ — 公共组件（SiteHeader/PageBar）</w:t>
            </w:r>
          </w:p>
        </w:tc>
        <w:tc>
          <w:tcPr>
            <w:tcW w:type="dxa" w:w="4366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src/app/api/ — 脱敏API端点</w:t>
            </w:r>
          </w:p>
        </w:tc>
      </w:tr>
      <w:tr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src/lib/algorithm/ — 核心算法模块</w:t>
            </w:r>
          </w:p>
        </w:tc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src/lib/secure-db/ — RLS行级安全封装</w:t>
            </w:r>
          </w:p>
        </w:tc>
      </w:tr>
      <w:tr>
        <w:tc>
          <w:tcPr>
            <w:tcW w:type="dxa" w:w="4366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src/lib/mock/ — ICBC产品数据库</w:t>
            </w:r>
          </w:p>
        </w:tc>
        <w:tc>
          <w:tcPr>
            <w:tcW w:type="dxa" w:w="4366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src/lib/masking/ — 5层字段脱敏函数</w:t>
            </w:r>
          </w:p>
        </w:tc>
      </w:tr>
      <w:tr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src/types/ — TypeScript类型定义</w:t>
            </w:r>
          </w:p>
        </w:tc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src/lib/audit/ — 访问审计日志</w:t>
            </w:r>
          </w:p>
        </w:tc>
      </w:tr>
      <w:tr>
        <w:tc>
          <w:tcPr>
            <w:tcW w:type="dxa" w:w="4366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</w:r>
          </w:p>
        </w:tc>
        <w:tc>
          <w:tcPr>
            <w:tcW w:type="dxa" w:w="4366"/>
          </w:tcPr>
          <w:p/>
        </w:tc>
      </w:tr>
      <w:tr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⚙️ 算法模块 TypeScript</w:t>
            </w:r>
          </w:p>
        </w:tc>
        <w:tc>
          <w:tcPr>
            <w:tcW w:type="dxa" w:w="4366"/>
          </w:tcPr>
          <w:p/>
        </w:tc>
      </w:tr>
      <w:tr>
        <w:tc>
          <w:tcPr>
            <w:tcW w:type="dxa" w:w="4366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dual-tree.ts — 双轨二叉决策树</w:t>
            </w:r>
          </w:p>
        </w:tc>
        <w:tc>
          <w:tcPr>
            <w:tcW w:type="dxa" w:w="4366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pyramid.ts — 金字塔配置引擎</w:t>
            </w:r>
          </w:p>
        </w:tc>
      </w:tr>
      <w:tr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cashflow.ts — 现金流永续测算</w:t>
            </w:r>
          </w:p>
        </w:tc>
        <w:tc>
          <w:tcPr>
            <w:tcW w:type="dxa" w:w="4366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compliance.ts — 合规检查引擎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6.4 数据模型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核心实体</w:t>
            </w:r>
          </w:p>
        </w:tc>
        <w:tc>
          <w:tcPr>
            <w:tcW w:type="dxa" w:w="2183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主键</w:t>
            </w:r>
          </w:p>
        </w:tc>
        <w:tc>
          <w:tcPr>
            <w:tcW w:type="dxa" w:w="2183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关联</w:t>
            </w:r>
          </w:p>
        </w:tc>
        <w:tc>
          <w:tcPr>
            <w:tcW w:type="dxa" w:w="2183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关键字段</w:t>
            </w:r>
          </w:p>
        </w:tc>
      </w:tr>
      <w:tr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🔴 Customer 客户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uuid id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1:N → CustomerProfile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name, age, risk_level, investable_asset</w:t>
            </w:r>
          </w:p>
        </w:tc>
      </w:tr>
      <w:tr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🔴 CustomerProfile 客户档案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uuid id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1:N → CustomerKYC [可版本化]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profile_data (JSONB), updated_at</w:t>
            </w:r>
          </w:p>
        </w:tc>
      </w:tr>
      <w:tr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🟡 CustomerKYC KYC档案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uuid id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N:1 ← Profile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kyc_data (JSONB), version</w:t>
            </w:r>
          </w:p>
        </w:tc>
      </w:tr>
      <w:tr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🟡 RiskAssessment 风险评估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⊂ KYC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risk_level, confidence, path_log</w:t>
            </w:r>
          </w:p>
        </w:tc>
      </w:tr>
      <w:tr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🟡 FinancialGoal 财务目标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⊂ KYC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retirement_age, monthly_income, goals[]</w:t>
            </w:r>
          </w:p>
        </w:tc>
      </w:tr>
      <w:tr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🟡 InsuranceCoverage 保险保障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⊂ KYC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life_insurance, critical_illness, medical</w:t>
            </w:r>
          </w:p>
        </w:tc>
      </w:tr>
      <w:tr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🟡 ConsentRecord 授权记录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⊂ KYC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consent_type, consent_date</w:t>
            </w:r>
          </w:p>
        </w:tc>
      </w:tr>
      <w:tr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🔵 ReservationOrder 预约单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uuid id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N:1 ← Customer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order_no, status, plan_snapshot</w:t>
            </w:r>
          </w:p>
        </w:tc>
      </w:tr>
      <w:tr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🟢 AllocationPlan 资产配置方案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uuid id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N:1 ← Order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pyramid_config, created_at</w:t>
            </w:r>
          </w:p>
        </w:tc>
      </w:tr>
      <w:tr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🟢 AllocationPlanItem 配置项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uuid id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N:1 ← Plan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product_id, layer, amount, ratio</w:t>
            </w:r>
          </w:p>
        </w:tc>
      </w:tr>
      <w:tr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🟢 Product 产品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uuid id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name, risk_level, expected_return</w:t>
            </w:r>
          </w:p>
        </w:tc>
      </w:tr>
      <w:tr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🟠 DataAccessLog 访问日志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uuid id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N:1 ← Customer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accessor_role, accessed_fields, accessed_at</w:t>
            </w:r>
          </w:p>
        </w:tc>
      </w:tr>
      <w:tr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</w:r>
          </w:p>
        </w:tc>
        <w:tc>
          <w:tcPr>
            <w:tcW w:type="dxa" w:w="2183"/>
          </w:tcPr>
          <w:p/>
        </w:tc>
        <w:tc>
          <w:tcPr>
            <w:tcW w:type="dxa" w:w="2183"/>
          </w:tcPr>
          <w:p/>
        </w:tc>
        <w:tc>
          <w:tcPr>
            <w:tcW w:type="dxa" w:w="2183"/>
          </w:tcPr>
          <w:p/>
        </w:tc>
      </w:tr>
      <w:tr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图例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🔴 客户域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🟡 KYC域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🔵 预约域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i w:val="0"/>
          <w:color w:val="CD2626"/>
          <w:sz w:val="32"/>
          <w:u w:val="none"/>
        </w:rPr>
        <w:t>第七章 创新亮点与差异化优势</w:t>
      </w:r>
    </w:p>
    <w:p>
      <w:pPr>
        <w:spacing w:before="40" w:after="40"/>
        <w:pBdr>
          <w:bottom w:val="single" w:sz="6" w:space="1" w:color="CD2626"/>
        </w:pBdr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7.1 六大创新维度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创新维度</w:t>
            </w:r>
          </w:p>
        </w:tc>
        <w:tc>
          <w:tcPr>
            <w:tcW w:type="dxa" w:w="2911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具体体现</w:t>
            </w:r>
          </w:p>
        </w:tc>
        <w:tc>
          <w:tcPr>
            <w:tcW w:type="dxa" w:w="2911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解决的问题</w:t>
            </w:r>
          </w:p>
        </w:tc>
      </w:tr>
      <w:tr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认知创新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金字塔四层模型 + 生活化命名（安全垫/压舱石/增值主力/探索收益）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打破专业术语壁垒，让配置逻辑"看得见"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决策创新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双轨决策树算法（主树×子树）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将机构级投顾逻辑自动化，降低服务门槛</w:t>
            </w:r>
          </w:p>
        </w:tc>
      </w:tr>
      <w:tr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教育创新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购买力侵蚀图 + 现金流里程碑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用户在规划过程中完成金融知识启蒙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合规创新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合规检查引擎（12类检查项）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把49条法规变成12类自动检查，合规即体验</w:t>
            </w:r>
          </w:p>
        </w:tc>
      </w:tr>
      <w:tr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体验创新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3-5分钟全流程 + 银行回单风格预约单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将原本需要多次网点拜访的服务压缩为即时体验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安全创新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5层脱敏 + RLS + 审计日志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数据安全合规，构建用户信任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7.2 与市场现有方案的差异化对比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维度</w:t>
            </w:r>
          </w:p>
        </w:tc>
        <w:tc>
          <w:tcPr>
            <w:tcW w:type="dxa" w:w="2183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传统网点投顾</w:t>
            </w:r>
          </w:p>
        </w:tc>
        <w:tc>
          <w:tcPr>
            <w:tcW w:type="dxa" w:w="2183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互联网理财平台</w:t>
            </w:r>
          </w:p>
        </w:tc>
        <w:tc>
          <w:tcPr>
            <w:tcW w:type="dxa" w:w="2183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「智盈」（本项目）</w:t>
            </w:r>
          </w:p>
        </w:tc>
      </w:tr>
      <w:tr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服务门槛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高（高净值专属）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低（但无专业指导）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低（但有专业逻辑）</w:t>
            </w:r>
          </w:p>
        </w:tc>
      </w:tr>
      <w:tr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配置逻辑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客户经理经验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简单规则或纯算法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双轨决策树+金字塔</w:t>
            </w:r>
          </w:p>
        </w:tc>
      </w:tr>
      <w:tr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合规内嵌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人工事后检查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基本无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算法内嵌12类检查</w:t>
            </w:r>
          </w:p>
        </w:tc>
      </w:tr>
      <w:tr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养老规划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无或简单计算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无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现金流永续测算</w:t>
            </w:r>
          </w:p>
        </w:tc>
      </w:tr>
      <w:tr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用户理解成本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需理解产品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无需理解但无指导</w:t>
            </w:r>
          </w:p>
        </w:tc>
        <w:tc>
          <w:tcPr>
            <w:tcW w:type="dxa" w:w="2183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无需理解但有透明解释</w:t>
            </w:r>
          </w:p>
        </w:tc>
      </w:tr>
      <w:tr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数据安全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纸质存档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云端集中存储</w:t>
            </w:r>
          </w:p>
        </w:tc>
        <w:tc>
          <w:tcPr>
            <w:tcW w:type="dxa" w:w="2183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脱敏+RLS+审计日志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7.3 与命题的深度呼应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回到本次比赛的核心命题——"理财中有那么多专业名词数据，我们能怎么参与其中"——「智盈」的回答是：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  <w:u w:val="none"/>
        </w:rPr>
        <w:t>不是让用户去学习这些名词，而是让系统理解这些名词，然后直接给用户一个答案。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「智盈」不要求用户理解什么是"夏普比率"，系统自动计算；不要求用户理解什么是"DTI"，系统自动评估并给出警示；不要求用户理解什么是"安全提取率"，系统直接告诉用户"每月定投多少退休才够"。专业名词的壁垒，被技术消解了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这正是"以人为本"理念的技术实现——不是要求人去适应金融系统的规则，而是让金融系统去适应每一个人的需求。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7.4 算法创新性说明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双轨架构：主树（粗分）× 子树（精细修正）的双轨设计，在业界财富管理系统中具有独特性。传统系统通常只有单一分类逻辑，「智盈」的双轨设计确保了粗分效率和精细修正的双重目标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动态约束修正：金字塔比例不是静态预设，而是根据用户的年龄、DTI、退休时间等实时约束动态调整的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永续测算：从积累期到退休后至100岁的全程现金流模拟，在同类产品中具有显著差异性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合规透明：所有算法决策均可解释、可回溯，满足监管要求的同时建立用户信任</w:t>
      </w:r>
    </w:p>
    <w:p/>
    <w:p>
      <w:pPr>
        <w:pStyle w:val="Heading1"/>
      </w:pPr>
      <w:r>
        <w:rPr>
          <w:rFonts w:ascii="微软雅黑" w:hAnsi="微软雅黑" w:eastAsia="微软雅黑"/>
          <w:b/>
          <w:i w:val="0"/>
          <w:color w:val="CD2626"/>
          <w:sz w:val="32"/>
          <w:u w:val="none"/>
        </w:rPr>
        <w:t>第八章 社会价值与未来展望</w:t>
      </w:r>
    </w:p>
    <w:p>
      <w:pPr>
        <w:spacing w:before="40" w:after="40"/>
        <w:pBdr>
          <w:bottom w:val="single" w:sz="6" w:space="1" w:color="CD2626"/>
        </w:pBdr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8.1 社会价值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「智盈」的社会价值不仅在于打造了一款智能投顾工具，更在于它示范了一种金融科技赋能普惠金融的新路径：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对金融机构：将《适当性办法》的合规要求从"人工检查"升级为"系统内嵌"，大幅降低合规成本，同时提升客户服务的标准化程度。系统输出的每一份方案都是合规的，每一步决策都是可追溯的。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对普通投资者：让财富管理从"高净值人群专属"变为"人人可用的公共服务"。月入8000元的年轻白领、年过六旬的退休教师，只要有一部手机，就能在3-5分钟内获得专业级的资产配置方案。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对行业生态：为监管科技（RegTech）提供落地方案参考，推动"负责任的金融机构+理性审慎的金融消费者"双向共建。《答记者问》指出"培育消费者风险意识"是监管重点方向，「智盈」通过"用户在规划过程中完成自我教育"的产品设计，正是这一政策方向的落地实践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对共同富裕：通过降低财富管理的认知门槛和资金门槛，帮助更多中低收入群体参与到金融资产增值的过程中，缩小财富管理的知识鸿沟和贫富差距，为"规范财富积累机制"贡献技术力量。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8.2 未来展望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阶段</w:t>
            </w:r>
          </w:p>
        </w:tc>
        <w:tc>
          <w:tcPr>
            <w:tcW w:type="dxa" w:w="2911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方向</w:t>
            </w:r>
          </w:p>
        </w:tc>
        <w:tc>
          <w:tcPr>
            <w:tcW w:type="dxa" w:w="2911"/>
            <w:shd w:val="clear" w:color="auto" w:fill="CD2626"/>
            <w:tcBorders>
              <w:top w:val="single" w:sz="6" w:color="CD2626"/>
              <w:left w:val="single" w:sz="6" w:color="CD2626"/>
              <w:bottom w:val="single" w:sz="6" w:color="CD2626"/>
              <w:right w:val="single" w:sz="6" w:color="CD2626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  <w:u w:val="none"/>
              </w:rPr>
              <w:t>说明</w:t>
            </w:r>
          </w:p>
        </w:tc>
      </w:tr>
      <w:tr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近期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大模型融合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引入LLM实现自然语言交互，用户可以用"我想60岁退休，每月有1万块花"的自然语言描述目标，系统自动解读为量化参数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近期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实时行情对接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将ICBC产品数据库从静态快照升级为实时行情，让产品推荐基于最新净值和收益率</w:t>
            </w:r>
          </w:p>
        </w:tc>
      </w:tr>
      <w:tr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中期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家庭联合规划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从个人理财升级为"以家庭为单位的财富规划"，综合考虑家庭成员的目标和约束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中期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持仓管理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现有方案管理 → 实时持仓跟踪 → 自动再平衡提醒</w:t>
            </w:r>
          </w:p>
        </w:tc>
      </w:tr>
      <w:tr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远期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养老生态对接</w:t>
            </w:r>
          </w:p>
        </w:tc>
        <w:tc>
          <w:tcPr>
            <w:tcW w:type="dxa" w:w="2911"/>
            <w:shd w:val="clear" w:color="auto" w:fill="FAFAFA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系统规划结果可直接对接工行养老社区、养老服务等非金融生态，实现"金融+生活"一体化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远期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政策适配</w:t>
            </w:r>
          </w:p>
        </w:tc>
        <w:tc>
          <w:tcPr>
            <w:tcW w:type="dxa" w:w="2911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  <w:u w:val="none"/>
              </w:rPr>
              <w:t>随个人养老金账户（第三支柱）政策推进，系统可自然扩展为养老金账户规划工具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i w:val="0"/>
          <w:color w:val="881717"/>
          <w:sz w:val="26"/>
          <w:u w:val="none"/>
        </w:rPr>
        <w:t>8.3 项目可持续性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技术可持续：全栈TypeScript + 模块化算法设计，任何算法工程师均可理解、修改和扩展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合规可持续：核心逻辑与《适当性办法》深度绑定，监管政策不变则核心逻辑无需大幅调整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数据可持续：ICBC产品数据库结构化存储，可持续扩展新产品类型和字段</w:t>
      </w:r>
    </w:p>
    <w:p>
      <w:pPr>
        <w:pStyle w:val="ListBullet"/>
        <w:spacing w:before="40" w:after="40"/>
      </w:pPr>
      <w:r>
        <w:rPr>
          <w:rFonts w:ascii="微软雅黑" w:hAnsi="微软雅黑" w:eastAsia="微软雅黑"/>
          <w:b w:val="0"/>
          <w:i w:val="0"/>
          <w:sz w:val="20"/>
          <w:u w:val="none"/>
        </w:rPr>
        <w:t>业务可持续：系统可作为工商银行手机银行的嵌入式模块，也可作为客户经理的辅助工具，商业模式清晰</w:t>
      </w:r>
    </w:p>
    <w:p/>
    <w:p>
      <w:pPr>
        <w:pStyle w:val="Heading1"/>
      </w:pPr>
      <w:r>
        <w:rPr>
          <w:rFonts w:ascii="微软雅黑" w:hAnsi="微软雅黑" w:eastAsia="微软雅黑"/>
          <w:b/>
          <w:i w:val="0"/>
          <w:color w:val="CD2626"/>
          <w:sz w:val="32"/>
          <w:u w:val="none"/>
        </w:rPr>
        <w:t>结 语</w:t>
      </w:r>
    </w:p>
    <w:p>
      <w:pPr>
        <w:spacing w:before="40" w:after="40"/>
        <w:pBdr>
          <w:bottom w:val="single" w:sz="6" w:space="1" w:color="CD2626"/>
        </w:pBdr>
      </w:pP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当一位从未接触过金融资产的退休教师，打开「智盈」，在3分钟内看到自己未来30年的财富蓝图——那不再是晦涩难懂的专业表格，而是一座色彩分明、层次清晰的金字塔，以及一行温暖的文字："根据您的财务状况，我们为您规划了一条稳健的财富增长之路。"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当一位月入8000元的年轻白领，通过购买力侵蚀图第一次意识到"存银行"背后每年2.5%的隐形侵蚀，看到同业基准对比中自己与"相似客户"的收益差距——他不需要知道什么是复利公式，不需要理解什么是机会成本，他只需要知道：从现在开始，每个月多投¥500，30年后他将比现在多拥有¥XX万的财富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这，就是"以人为本的创新理念"最生动的注脚。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「智盈」相信：专业的金融知识，不应该成为财富管理的门槛。让每一个中国人都能平等地享有科学理财的权利，是金融科技最深的人文关怀。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  <w:u w:val="none"/>
        </w:rPr>
        <w:t>我们不只是消除认知壁垒——我们是在为共同富裕构建财富管理的基础设施。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本项目由ICBC-WMP团队开发。算法逻辑已在上游代码库中完整实现并通过测试。所有数据均为模拟演示数据，不构成任何投资建议。投资有风险，决策需谨慎。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i w:val="0"/>
          <w:sz w:val="22"/>
          <w:u w:val="none"/>
        </w:rPr>
        <w:t>参考文献：《金融机构产品适当性管理办法》（国家金融监督管理总局，2026年）；《国家金融监督管理总局有关司局负责人就〈金融机构产品适当性管理办法〉答记者问》（2026年）。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