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rFonts w:ascii="华文楷体" w:hAnsi="华文楷体" w:eastAsia="华文楷体"/>
          <w:sz w:val="96"/>
        </w:rPr>
      </w:pPr>
      <w:bookmarkStart w:id="0" w:name="_Toc4504531"/>
      <w:bookmarkStart w:id="1" w:name="_Toc4504541"/>
      <w:r>
        <w:rPr>
          <w:rFonts w:ascii="华文楷体" w:hAnsi="华文楷体" w:eastAsia="华文楷体"/>
          <w:sz w:val="96"/>
        </w:rPr>
        <w:drawing>
          <wp:anchor distT="0" distB="0" distL="114300" distR="114300" simplePos="0" relativeHeight="251663360" behindDoc="1" locked="0" layoutInCell="1" allowOverlap="1">
            <wp:simplePos x="0" y="0"/>
            <wp:positionH relativeFrom="margin">
              <wp:align>center</wp:align>
            </wp:positionH>
            <wp:positionV relativeFrom="page">
              <wp:posOffset>2678430</wp:posOffset>
            </wp:positionV>
            <wp:extent cx="6517640" cy="5361305"/>
            <wp:effectExtent l="0" t="0" r="0" b="0"/>
            <wp:wrapSquare wrapText="bothSides"/>
            <wp:docPr id="6" name="图片 6"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1"/>
                    <pic:cNvPicPr>
                      <a:picLocks noChangeAspect="1" noChangeArrowheads="1"/>
                    </pic:cNvPicPr>
                  </pic:nvPicPr>
                  <pic:blipFill>
                    <a:blip r:embed="rId18">
                      <a:extLst>
                        <a:ext uri="{28A0092B-C50C-407E-A947-70E740481C1C}">
                          <a14:useLocalDpi xmlns:a14="http://schemas.microsoft.com/office/drawing/2010/main" val="0"/>
                        </a:ext>
                      </a:extLst>
                    </a:blip>
                    <a:srcRect t="15451" r="-3151" b="24507"/>
                    <a:stretch>
                      <a:fillRect/>
                    </a:stretch>
                  </pic:blipFill>
                  <pic:spPr>
                    <a:xfrm>
                      <a:off x="0" y="0"/>
                      <a:ext cx="6517640" cy="5361305"/>
                    </a:xfrm>
                    <a:prstGeom prst="rect">
                      <a:avLst/>
                    </a:prstGeom>
                    <a:noFill/>
                  </pic:spPr>
                </pic:pic>
              </a:graphicData>
            </a:graphic>
          </wp:anchor>
        </w:drawing>
      </w:r>
      <w:r>
        <w:rPr>
          <w:rFonts w:ascii="Calibri" w:hAnsi="Calibri" w:eastAsia="宋体" w:cs="Times New Roman"/>
          <w:sz w:val="22"/>
          <w:szCs w:val="22"/>
        </w:rPr>
        <w:drawing>
          <wp:anchor distT="0" distB="0" distL="114300" distR="114300" simplePos="0" relativeHeight="251661312" behindDoc="0" locked="0" layoutInCell="1" allowOverlap="1">
            <wp:simplePos x="0" y="0"/>
            <wp:positionH relativeFrom="column">
              <wp:posOffset>1557655</wp:posOffset>
            </wp:positionH>
            <wp:positionV relativeFrom="paragraph">
              <wp:posOffset>-66040</wp:posOffset>
            </wp:positionV>
            <wp:extent cx="2148840" cy="1478280"/>
            <wp:effectExtent l="0" t="0" r="0" b="0"/>
            <wp:wrapSquare wrapText="bothSides"/>
            <wp:docPr id="5" name="图片 5" descr="https://p1.ssl.qhimg.com/t01a6d14b36057683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p1.ssl.qhimg.com/t01a6d14b360576836a.jpg"/>
                    <pic:cNvPicPr>
                      <a:picLocks noChangeAspect="1" noChangeArrowheads="1"/>
                    </pic:cNvPicPr>
                  </pic:nvPicPr>
                  <pic:blipFill>
                    <a:blip r:embed="rId19">
                      <a:extLst>
                        <a:ext uri="{28A0092B-C50C-407E-A947-70E740481C1C}">
                          <a14:useLocalDpi xmlns:a14="http://schemas.microsoft.com/office/drawing/2010/main" val="0"/>
                        </a:ext>
                      </a:extLst>
                    </a:blip>
                    <a:srcRect l="9827"/>
                    <a:stretch>
                      <a:fillRect/>
                    </a:stretch>
                  </pic:blipFill>
                  <pic:spPr>
                    <a:xfrm>
                      <a:off x="0" y="0"/>
                      <a:ext cx="2148840" cy="1478280"/>
                    </a:xfrm>
                    <a:prstGeom prst="rect">
                      <a:avLst/>
                    </a:prstGeom>
                    <a:noFill/>
                    <a:ln>
                      <a:noFill/>
                    </a:ln>
                  </pic:spPr>
                </pic:pic>
              </a:graphicData>
            </a:graphic>
          </wp:anchor>
        </w:drawing>
      </w:r>
      <w:r>
        <w:rPr>
          <w:rFonts w:ascii="华文楷体" w:hAnsi="华文楷体" w:eastAsia="华文楷体"/>
          <w:sz w:val="96"/>
        </w:rPr>
        <mc:AlternateContent>
          <mc:Choice Requires="wps">
            <w:drawing>
              <wp:anchor distT="0" distB="0" distL="114300" distR="114300" simplePos="0" relativeHeight="251662336" behindDoc="0" locked="0" layoutInCell="1" allowOverlap="1">
                <wp:simplePos x="0" y="0"/>
                <wp:positionH relativeFrom="margin">
                  <wp:posOffset>2066290</wp:posOffset>
                </wp:positionH>
                <wp:positionV relativeFrom="paragraph">
                  <wp:posOffset>-6689725</wp:posOffset>
                </wp:positionV>
                <wp:extent cx="1129030" cy="4345940"/>
                <wp:effectExtent l="0" t="0" r="0" b="0"/>
                <wp:wrapNone/>
                <wp:docPr id="1065" name="文本框 674"/>
                <wp:cNvGraphicFramePr/>
                <a:graphic xmlns:a="http://schemas.openxmlformats.org/drawingml/2006/main">
                  <a:graphicData uri="http://schemas.microsoft.com/office/word/2010/wordprocessingShape">
                    <wps:wsp>
                      <wps:cNvSpPr txBox="1"/>
                      <wps:spPr>
                        <a:xfrm>
                          <a:off x="0" y="0"/>
                          <a:ext cx="1129030" cy="4345940"/>
                        </a:xfrm>
                        <a:prstGeom prst="rect">
                          <a:avLst/>
                        </a:prstGeom>
                        <a:noFill/>
                        <a:ln w="6350">
                          <a:noFill/>
                        </a:ln>
                      </wps:spPr>
                      <wps:txbx>
                        <w:txbxContent>
                          <w:p>
                            <w:pPr>
                              <w:ind w:firstLine="1440"/>
                              <w:rPr>
                                <w:rFonts w:ascii="方正小标宋简体" w:eastAsia="方正小标宋简体"/>
                                <w:sz w:val="72"/>
                                <w:szCs w:val="72"/>
                              </w:rPr>
                            </w:pPr>
                            <w:r>
                              <w:rPr>
                                <w:rFonts w:hint="eastAsia" w:ascii="方正小标宋简体" w:eastAsia="方正小标宋简体"/>
                                <w:sz w:val="72"/>
                                <w:szCs w:val="72"/>
                              </w:rPr>
                              <w:t>项 目 计 划 书</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文本框 674" o:spid="_x0000_s1026" o:spt="202" type="#_x0000_t202" style="position:absolute;left:0pt;margin-left:162.7pt;margin-top:-526.75pt;height:342.2pt;width:88.9pt;mso-position-horizontal-relative:margin;z-index:251662336;mso-width-relative:page;mso-height-relative:page;" filled="f" stroked="f" coordsize="21600,21600" o:gfxdata="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cCb0rdAAAADgEAAA8AAAAAAAAAAQAg&#10;AAAAIgAAAGRycy9kb3ducmV2LnhtbFBLAQIUABQAAAAIAIdO4kC+jTvMQgIAAG4EAAAOAAAAAAAA&#10;AAEAIAAAACwBAABkcnMvZTJvRG9jLnhtbFBLBQYAAAAABgAGAFkBAADgBQAAAAA=&#10;">
                <v:fill on="f" focussize="0,0"/>
                <v:stroke on="f" weight="0.5pt"/>
                <v:imagedata o:title=""/>
                <o:lock v:ext="edit" aspectratio="f"/>
                <v:textbox style="layout-flow:vertical-ideographic;">
                  <w:txbxContent>
                    <w:p>
                      <w:pPr>
                        <w:ind w:firstLine="1440"/>
                        <w:rPr>
                          <w:rFonts w:ascii="方正小标宋简体" w:eastAsia="方正小标宋简体"/>
                          <w:sz w:val="72"/>
                          <w:szCs w:val="72"/>
                        </w:rPr>
                      </w:pPr>
                      <w:r>
                        <w:rPr>
                          <w:rFonts w:hint="eastAsia" w:ascii="方正小标宋简体" w:eastAsia="方正小标宋简体"/>
                          <w:sz w:val="72"/>
                          <w:szCs w:val="72"/>
                        </w:rPr>
                        <w:t>项 目 计 划 书</w:t>
                      </w:r>
                    </w:p>
                  </w:txbxContent>
                </v:textbox>
              </v:shape>
            </w:pict>
          </mc:Fallback>
        </mc:AlternateContent>
      </w:r>
    </w:p>
    <w:p>
      <w:pPr>
        <w:ind w:firstLine="213" w:firstLineChars="71"/>
        <w:rPr>
          <w:rFonts w:ascii="华文楷体" w:hAnsi="华文楷体" w:eastAsia="华文楷体"/>
          <w:sz w:val="30"/>
          <w:szCs w:val="30"/>
        </w:rPr>
      </w:pPr>
    </w:p>
    <w:p>
      <w:pPr>
        <w:ind w:firstLine="0" w:firstLineChars="0"/>
        <w:jc w:val="left"/>
        <w:rPr>
          <w:rFonts w:ascii="华文楷体" w:hAnsi="华文楷体" w:eastAsia="华文楷体"/>
          <w:sz w:val="32"/>
          <w:szCs w:val="32"/>
        </w:rPr>
      </w:pPr>
    </w:p>
    <w:p>
      <w:pPr>
        <w:spacing w:line="480" w:lineRule="auto"/>
        <w:ind w:firstLine="0" w:firstLineChars="0"/>
        <w:jc w:val="left"/>
        <w:rPr>
          <w:rFonts w:hint="eastAsia" w:ascii="楷体" w:hAnsi="楷体" w:eastAsia="楷体"/>
          <w:b/>
          <w:sz w:val="32"/>
          <w:szCs w:val="32"/>
          <w:lang w:eastAsia="zh-CN"/>
        </w:rPr>
      </w:pPr>
      <w:r>
        <w:rPr>
          <w:rFonts w:ascii="楷体" w:hAnsi="楷体" w:eastAsia="楷体"/>
          <w:b/>
          <w:sz w:val="32"/>
          <w:szCs w:val="32"/>
        </w:rPr>
        <w:t>院校</w:t>
      </w:r>
      <w:r>
        <w:rPr>
          <w:rFonts w:hint="eastAsia" w:ascii="楷体" w:hAnsi="楷体" w:eastAsia="楷体"/>
          <w:b/>
          <w:sz w:val="32"/>
          <w:szCs w:val="32"/>
        </w:rPr>
        <w:t>：</w:t>
      </w:r>
      <w:bookmarkStart w:id="204" w:name="_GoBack"/>
      <w:bookmarkEnd w:id="204"/>
      <w:r>
        <w:rPr>
          <w:rFonts w:hint="eastAsia" w:ascii="楷体" w:hAnsi="楷体" w:eastAsia="楷体"/>
          <w:b/>
          <w:sz w:val="32"/>
          <w:szCs w:val="32"/>
          <w:lang w:val="en-US" w:eastAsia="zh-CN"/>
        </w:rPr>
        <w:t>江西财经大学</w:t>
      </w:r>
    </w:p>
    <w:p>
      <w:pPr>
        <w:spacing w:line="480" w:lineRule="auto"/>
        <w:ind w:firstLine="0" w:firstLineChars="0"/>
        <w:jc w:val="left"/>
        <w:rPr>
          <w:rFonts w:hint="eastAsia" w:ascii="楷体" w:hAnsi="楷体" w:eastAsia="楷体"/>
          <w:b/>
          <w:sz w:val="32"/>
          <w:szCs w:val="32"/>
          <w:lang w:val="en-US" w:eastAsia="zh-CN"/>
        </w:rPr>
      </w:pPr>
      <w:r>
        <w:rPr>
          <w:rFonts w:ascii="楷体" w:hAnsi="楷体" w:eastAsia="楷体"/>
          <w:b/>
          <w:sz w:val="32"/>
          <w:szCs w:val="32"/>
        </w:rPr>
        <w:t>负责人</w:t>
      </w:r>
      <w:r>
        <w:rPr>
          <w:rFonts w:hint="eastAsia" w:ascii="楷体" w:hAnsi="楷体" w:eastAsia="楷体"/>
          <w:b/>
          <w:sz w:val="32"/>
          <w:szCs w:val="32"/>
        </w:rPr>
        <w:t>：</w:t>
      </w:r>
      <w:r>
        <w:rPr>
          <w:rFonts w:hint="eastAsia" w:ascii="楷体" w:hAnsi="楷体" w:eastAsia="楷体"/>
          <w:b/>
          <w:sz w:val="32"/>
          <w:szCs w:val="32"/>
          <w:lang w:val="en-US" w:eastAsia="zh-CN"/>
        </w:rPr>
        <w:t>鲁琪</w:t>
      </w:r>
    </w:p>
    <w:p>
      <w:pPr>
        <w:ind w:firstLine="0" w:firstLineChars="0"/>
        <w:jc w:val="left"/>
        <w:rPr>
          <w:rFonts w:ascii="华文楷体" w:hAnsi="华文楷体" w:eastAsia="华文楷体"/>
          <w:sz w:val="32"/>
          <w:szCs w:val="32"/>
        </w:rPr>
      </w:pPr>
    </w:p>
    <w:p>
      <w:pPr>
        <w:ind w:firstLine="0" w:firstLineChars="0"/>
        <w:rPr>
          <w:rFonts w:ascii="华文楷体" w:hAnsi="华文楷体" w:eastAsia="华文楷体"/>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425" w:num="1"/>
          <w:docGrid w:type="lines" w:linePitch="312" w:charSpace="0"/>
        </w:sectPr>
      </w:pPr>
    </w:p>
    <w:p>
      <w:pPr>
        <w:ind w:firstLine="0" w:firstLineChars="0"/>
        <w:jc w:val="center"/>
        <w:rPr>
          <w:rFonts w:ascii="华文楷体" w:hAnsi="华文楷体" w:eastAsia="华文楷体" w:cs="方正小标宋简体"/>
          <w:color w:val="000000"/>
          <w:sz w:val="44"/>
          <w:szCs w:val="44"/>
        </w:rPr>
      </w:pPr>
      <w:r>
        <w:rPr>
          <w:rFonts w:ascii="华文楷体" w:hAnsi="华文楷体" w:eastAsia="华文楷体" w:cs="方正小标宋简体"/>
          <w:color w:val="000000"/>
          <w:sz w:val="44"/>
          <w:szCs w:val="44"/>
        </w:rPr>
        <w:t>目</w:t>
      </w:r>
      <w:r>
        <w:rPr>
          <w:rFonts w:hint="eastAsia" w:ascii="华文楷体" w:hAnsi="华文楷体" w:eastAsia="华文楷体" w:cs="方正小标宋简体"/>
          <w:color w:val="000000"/>
          <w:sz w:val="44"/>
          <w:szCs w:val="44"/>
        </w:rPr>
        <w:t xml:space="preserve"> </w:t>
      </w:r>
      <w:r>
        <w:rPr>
          <w:rFonts w:ascii="华文楷体" w:hAnsi="华文楷体" w:eastAsia="华文楷体" w:cs="方正小标宋简体"/>
          <w:color w:val="000000"/>
          <w:sz w:val="44"/>
          <w:szCs w:val="44"/>
        </w:rPr>
        <w:t>录</w:t>
      </w:r>
    </w:p>
    <w:p>
      <w:pPr>
        <w:pStyle w:val="15"/>
        <w:tabs>
          <w:tab w:val="right" w:leader="dot" w:pos="8296"/>
        </w:tabs>
        <w:spacing w:line="300" w:lineRule="auto"/>
        <w:ind w:firstLine="480"/>
        <w:rPr>
          <w:rFonts w:asciiTheme="minorHAnsi" w:hAnsiTheme="minorHAnsi" w:eastAsiaTheme="minorEastAsia"/>
          <w:sz w:val="24"/>
          <w:szCs w:val="24"/>
        </w:rPr>
      </w:pPr>
      <w:r>
        <w:rPr>
          <w:rFonts w:ascii="华文楷体" w:hAnsi="华文楷体" w:eastAsia="华文楷体"/>
          <w:sz w:val="24"/>
          <w:szCs w:val="24"/>
        </w:rPr>
        <w:fldChar w:fldCharType="begin"/>
      </w:r>
      <w:r>
        <w:rPr>
          <w:rFonts w:ascii="华文楷体" w:hAnsi="华文楷体" w:eastAsia="华文楷体"/>
          <w:sz w:val="24"/>
          <w:szCs w:val="24"/>
        </w:rPr>
        <w:instrText xml:space="preserve"> TOC \o "1-3" \h \z \u </w:instrText>
      </w:r>
      <w:r>
        <w:rPr>
          <w:rFonts w:ascii="华文楷体" w:hAnsi="华文楷体" w:eastAsia="华文楷体"/>
          <w:sz w:val="24"/>
          <w:szCs w:val="24"/>
        </w:rPr>
        <w:fldChar w:fldCharType="separate"/>
      </w:r>
      <w:r>
        <w:fldChar w:fldCharType="begin"/>
      </w:r>
      <w:r>
        <w:instrText xml:space="preserve"> HYPERLINK \l "_Toc61100175" </w:instrText>
      </w:r>
      <w:r>
        <w:fldChar w:fldCharType="separate"/>
      </w:r>
      <w:r>
        <w:rPr>
          <w:rStyle w:val="48"/>
          <w:rFonts w:hint="eastAsia" w:ascii="黑体" w:hAnsi="黑体" w:eastAsia="黑体"/>
          <w:sz w:val="24"/>
          <w:szCs w:val="24"/>
        </w:rPr>
        <w:t>第一章</w:t>
      </w:r>
      <w:r>
        <w:rPr>
          <w:rStyle w:val="48"/>
          <w:rFonts w:ascii="黑体" w:hAnsi="黑体" w:eastAsia="黑体"/>
          <w:sz w:val="24"/>
          <w:szCs w:val="24"/>
        </w:rPr>
        <w:t xml:space="preserve"> </w:t>
      </w:r>
      <w:r>
        <w:rPr>
          <w:rStyle w:val="48"/>
          <w:rFonts w:hint="eastAsia" w:ascii="黑体" w:hAnsi="黑体" w:eastAsia="黑体"/>
          <w:sz w:val="24"/>
          <w:szCs w:val="24"/>
        </w:rPr>
        <w:t>执行概要</w:t>
      </w:r>
      <w:r>
        <w:rPr>
          <w:sz w:val="24"/>
          <w:szCs w:val="24"/>
        </w:rPr>
        <w:tab/>
      </w:r>
      <w:r>
        <w:rPr>
          <w:sz w:val="24"/>
          <w:szCs w:val="24"/>
        </w:rPr>
        <w:fldChar w:fldCharType="begin"/>
      </w:r>
      <w:r>
        <w:rPr>
          <w:sz w:val="24"/>
          <w:szCs w:val="24"/>
        </w:rPr>
        <w:instrText xml:space="preserve"> PAGEREF _Toc61100175 \h </w:instrText>
      </w:r>
      <w:r>
        <w:rPr>
          <w:sz w:val="24"/>
          <w:szCs w:val="24"/>
        </w:rPr>
        <w:fldChar w:fldCharType="separate"/>
      </w:r>
      <w:r>
        <w:rPr>
          <w:sz w:val="24"/>
          <w:szCs w:val="24"/>
        </w:rPr>
        <w:t>1</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"_Toc61100176" </w:instrText>
      </w:r>
      <w:r>
        <w:fldChar w:fldCharType="separate"/>
      </w:r>
      <w:r>
        <w:rPr>
          <w:rStyle w:val="48"/>
          <w:rFonts w:ascii="黑体" w:hAnsi="黑体"/>
          <w:sz w:val="24"/>
          <w:szCs w:val="24"/>
        </w:rPr>
        <w:t>1.1</w:t>
      </w:r>
      <w:r>
        <w:rPr>
          <w:rStyle w:val="48"/>
          <w:rFonts w:hint="eastAsia" w:ascii="黑体" w:hAnsi="黑体"/>
          <w:sz w:val="24"/>
          <w:szCs w:val="24"/>
        </w:rPr>
        <w:t>公司概况</w:t>
      </w:r>
      <w:r>
        <w:rPr>
          <w:sz w:val="24"/>
          <w:szCs w:val="24"/>
        </w:rPr>
        <w:tab/>
      </w:r>
      <w:r>
        <w:rPr>
          <w:sz w:val="24"/>
          <w:szCs w:val="24"/>
        </w:rPr>
        <w:fldChar w:fldCharType="begin"/>
      </w:r>
      <w:r>
        <w:rPr>
          <w:sz w:val="24"/>
          <w:szCs w:val="24"/>
        </w:rPr>
        <w:instrText xml:space="preserve"> PAGEREF _Toc61100176 \h </w:instrText>
      </w:r>
      <w:r>
        <w:rPr>
          <w:sz w:val="24"/>
          <w:szCs w:val="24"/>
        </w:rPr>
        <w:fldChar w:fldCharType="separate"/>
      </w:r>
      <w:r>
        <w:rPr>
          <w:sz w:val="24"/>
          <w:szCs w:val="24"/>
        </w:rPr>
        <w:t>1</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"_Toc61100177" </w:instrText>
      </w:r>
      <w:r>
        <w:fldChar w:fldCharType="separate"/>
      </w:r>
      <w:r>
        <w:rPr>
          <w:rStyle w:val="48"/>
          <w:rFonts w:ascii="黑体" w:hAnsi="黑体"/>
          <w:sz w:val="24"/>
          <w:szCs w:val="24"/>
        </w:rPr>
        <w:t>1.2</w:t>
      </w:r>
      <w:r>
        <w:rPr>
          <w:rStyle w:val="48"/>
          <w:rFonts w:hint="eastAsia" w:ascii="黑体" w:hAnsi="黑体"/>
          <w:sz w:val="24"/>
          <w:szCs w:val="24"/>
        </w:rPr>
        <w:t>项目背景</w:t>
      </w:r>
      <w:r>
        <w:rPr>
          <w:sz w:val="24"/>
          <w:szCs w:val="24"/>
        </w:rPr>
        <w:tab/>
      </w:r>
      <w:r>
        <w:rPr>
          <w:sz w:val="24"/>
          <w:szCs w:val="24"/>
        </w:rPr>
        <w:fldChar w:fldCharType="begin"/>
      </w:r>
      <w:r>
        <w:rPr>
          <w:sz w:val="24"/>
          <w:szCs w:val="24"/>
        </w:rPr>
        <w:instrText xml:space="preserve"> PAGEREF _Toc61100177 \h </w:instrText>
      </w:r>
      <w:r>
        <w:rPr>
          <w:sz w:val="24"/>
          <w:szCs w:val="24"/>
        </w:rPr>
        <w:fldChar w:fldCharType="separate"/>
      </w:r>
      <w:r>
        <w:rPr>
          <w:sz w:val="24"/>
          <w:szCs w:val="24"/>
        </w:rPr>
        <w:t>1</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"_Toc61100178" </w:instrText>
      </w:r>
      <w:r>
        <w:fldChar w:fldCharType="separate"/>
      </w:r>
      <w:r>
        <w:rPr>
          <w:rStyle w:val="48"/>
          <w:rFonts w:ascii="黑体" w:hAnsi="黑体"/>
          <w:sz w:val="24"/>
          <w:szCs w:val="24"/>
        </w:rPr>
        <w:t>1.3</w:t>
      </w:r>
      <w:r>
        <w:rPr>
          <w:rStyle w:val="48"/>
          <w:rFonts w:hint="eastAsia" w:ascii="黑体" w:hAnsi="黑体"/>
          <w:sz w:val="24"/>
          <w:szCs w:val="24"/>
        </w:rPr>
        <w:t>项目分析</w:t>
      </w:r>
      <w:r>
        <w:rPr>
          <w:sz w:val="24"/>
          <w:szCs w:val="24"/>
        </w:rPr>
        <w:tab/>
      </w:r>
      <w:r>
        <w:rPr>
          <w:sz w:val="24"/>
          <w:szCs w:val="24"/>
        </w:rPr>
        <w:fldChar w:fldCharType="begin"/>
      </w:r>
      <w:r>
        <w:rPr>
          <w:sz w:val="24"/>
          <w:szCs w:val="24"/>
        </w:rPr>
        <w:instrText xml:space="preserve"> PAGEREF _Toc61100178 \h </w:instrText>
      </w:r>
      <w:r>
        <w:rPr>
          <w:sz w:val="24"/>
          <w:szCs w:val="24"/>
        </w:rPr>
        <w:fldChar w:fldCharType="separate"/>
      </w:r>
      <w:r>
        <w:rPr>
          <w:sz w:val="24"/>
          <w:szCs w:val="24"/>
        </w:rPr>
        <w:t>2</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"_Toc61100179" </w:instrText>
      </w:r>
      <w:r>
        <w:fldChar w:fldCharType="separate"/>
      </w:r>
      <w:r>
        <w:rPr>
          <w:rStyle w:val="48"/>
          <w:rFonts w:ascii="黑体" w:hAnsi="黑体"/>
          <w:sz w:val="24"/>
          <w:szCs w:val="24"/>
        </w:rPr>
        <w:t>1.4</w:t>
      </w:r>
      <w:r>
        <w:rPr>
          <w:rStyle w:val="48"/>
          <w:rFonts w:hint="eastAsia" w:ascii="黑体" w:hAnsi="黑体"/>
          <w:sz w:val="24"/>
          <w:szCs w:val="24"/>
        </w:rPr>
        <w:t>市场分析</w:t>
      </w:r>
      <w:r>
        <w:rPr>
          <w:sz w:val="24"/>
          <w:szCs w:val="24"/>
        </w:rPr>
        <w:tab/>
      </w:r>
      <w:r>
        <w:rPr>
          <w:sz w:val="24"/>
          <w:szCs w:val="24"/>
        </w:rPr>
        <w:fldChar w:fldCharType="begin"/>
      </w:r>
      <w:r>
        <w:rPr>
          <w:sz w:val="24"/>
          <w:szCs w:val="24"/>
        </w:rPr>
        <w:instrText xml:space="preserve"> PAGEREF _Toc61100179 \h </w:instrText>
      </w:r>
      <w:r>
        <w:rPr>
          <w:sz w:val="24"/>
          <w:szCs w:val="24"/>
        </w:rPr>
        <w:fldChar w:fldCharType="separate"/>
      </w:r>
      <w:r>
        <w:rPr>
          <w:sz w:val="24"/>
          <w:szCs w:val="24"/>
        </w:rPr>
        <w:t>3</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"_Toc61100180" </w:instrText>
      </w:r>
      <w:r>
        <w:fldChar w:fldCharType="separate"/>
      </w:r>
      <w:r>
        <w:rPr>
          <w:rStyle w:val="48"/>
          <w:rFonts w:ascii="黑体" w:hAnsi="黑体"/>
          <w:sz w:val="24"/>
          <w:szCs w:val="24"/>
        </w:rPr>
        <w:t>1.5</w:t>
      </w:r>
      <w:r>
        <w:rPr>
          <w:rStyle w:val="48"/>
          <w:rFonts w:hint="eastAsia" w:ascii="黑体" w:hAnsi="黑体"/>
          <w:sz w:val="24"/>
          <w:szCs w:val="24"/>
        </w:rPr>
        <w:t>公司战略</w:t>
      </w:r>
      <w:r>
        <w:rPr>
          <w:sz w:val="24"/>
          <w:szCs w:val="24"/>
        </w:rPr>
        <w:tab/>
      </w:r>
      <w:r>
        <w:rPr>
          <w:sz w:val="24"/>
          <w:szCs w:val="24"/>
        </w:rPr>
        <w:fldChar w:fldCharType="begin"/>
      </w:r>
      <w:r>
        <w:rPr>
          <w:sz w:val="24"/>
          <w:szCs w:val="24"/>
        </w:rPr>
        <w:instrText xml:space="preserve"> PAGEREF _Toc61100180 \h </w:instrText>
      </w:r>
      <w:r>
        <w:rPr>
          <w:sz w:val="24"/>
          <w:szCs w:val="24"/>
        </w:rPr>
        <w:fldChar w:fldCharType="separate"/>
      </w:r>
      <w:r>
        <w:rPr>
          <w:sz w:val="24"/>
          <w:szCs w:val="24"/>
        </w:rPr>
        <w:t>4</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"_Toc61100181" </w:instrText>
      </w:r>
      <w:r>
        <w:fldChar w:fldCharType="separate"/>
      </w:r>
      <w:r>
        <w:rPr>
          <w:rStyle w:val="48"/>
          <w:rFonts w:ascii="黑体" w:hAnsi="黑体"/>
          <w:sz w:val="24"/>
          <w:szCs w:val="24"/>
        </w:rPr>
        <w:t>1.6</w:t>
      </w:r>
      <w:r>
        <w:rPr>
          <w:rStyle w:val="48"/>
          <w:rFonts w:hint="eastAsia" w:ascii="黑体" w:hAnsi="黑体"/>
          <w:sz w:val="24"/>
          <w:szCs w:val="24"/>
        </w:rPr>
        <w:t>营销战略</w:t>
      </w:r>
      <w:r>
        <w:rPr>
          <w:sz w:val="24"/>
          <w:szCs w:val="24"/>
        </w:rPr>
        <w:tab/>
      </w:r>
      <w:r>
        <w:rPr>
          <w:sz w:val="24"/>
          <w:szCs w:val="24"/>
        </w:rPr>
        <w:fldChar w:fldCharType="begin"/>
      </w:r>
      <w:r>
        <w:rPr>
          <w:sz w:val="24"/>
          <w:szCs w:val="24"/>
        </w:rPr>
        <w:instrText xml:space="preserve"> PAGEREF _Toc61100181 \h </w:instrText>
      </w:r>
      <w:r>
        <w:rPr>
          <w:sz w:val="24"/>
          <w:szCs w:val="24"/>
        </w:rPr>
        <w:fldChar w:fldCharType="separate"/>
      </w:r>
      <w:r>
        <w:rPr>
          <w:sz w:val="24"/>
          <w:szCs w:val="24"/>
        </w:rPr>
        <w:t>4</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"_Toc61100182" </w:instrText>
      </w:r>
      <w:r>
        <w:fldChar w:fldCharType="separate"/>
      </w:r>
      <w:r>
        <w:rPr>
          <w:rStyle w:val="48"/>
          <w:rFonts w:ascii="黑体" w:hAnsi="黑体"/>
          <w:sz w:val="24"/>
          <w:szCs w:val="24"/>
        </w:rPr>
        <w:t>1.7</w:t>
      </w:r>
      <w:r>
        <w:rPr>
          <w:rStyle w:val="48"/>
          <w:rFonts w:hint="eastAsia" w:ascii="黑体" w:hAnsi="黑体"/>
          <w:sz w:val="24"/>
          <w:szCs w:val="24"/>
        </w:rPr>
        <w:t>投资分析</w:t>
      </w:r>
      <w:r>
        <w:rPr>
          <w:sz w:val="24"/>
          <w:szCs w:val="24"/>
        </w:rPr>
        <w:tab/>
      </w:r>
      <w:r>
        <w:rPr>
          <w:sz w:val="24"/>
          <w:szCs w:val="24"/>
        </w:rPr>
        <w:fldChar w:fldCharType="begin"/>
      </w:r>
      <w:r>
        <w:rPr>
          <w:sz w:val="24"/>
          <w:szCs w:val="24"/>
        </w:rPr>
        <w:instrText xml:space="preserve"> PAGEREF _Toc61100182 \h </w:instrText>
      </w:r>
      <w:r>
        <w:rPr>
          <w:sz w:val="24"/>
          <w:szCs w:val="24"/>
        </w:rPr>
        <w:fldChar w:fldCharType="separate"/>
      </w:r>
      <w:r>
        <w:rPr>
          <w:sz w:val="24"/>
          <w:szCs w:val="24"/>
        </w:rPr>
        <w:t>5</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"_Toc61100183" </w:instrText>
      </w:r>
      <w:r>
        <w:fldChar w:fldCharType="separate"/>
      </w:r>
      <w:r>
        <w:rPr>
          <w:rStyle w:val="48"/>
          <w:rFonts w:ascii="黑体" w:hAnsi="黑体"/>
          <w:sz w:val="24"/>
          <w:szCs w:val="24"/>
        </w:rPr>
        <w:t>1.8</w:t>
      </w:r>
      <w:r>
        <w:rPr>
          <w:rStyle w:val="48"/>
          <w:rFonts w:hint="eastAsia" w:ascii="黑体" w:hAnsi="黑体"/>
          <w:sz w:val="24"/>
          <w:szCs w:val="24"/>
        </w:rPr>
        <w:t>财务分析</w:t>
      </w:r>
      <w:r>
        <w:rPr>
          <w:sz w:val="24"/>
          <w:szCs w:val="24"/>
        </w:rPr>
        <w:tab/>
      </w:r>
      <w:r>
        <w:rPr>
          <w:sz w:val="24"/>
          <w:szCs w:val="24"/>
        </w:rPr>
        <w:fldChar w:fldCharType="begin"/>
      </w:r>
      <w:r>
        <w:rPr>
          <w:sz w:val="24"/>
          <w:szCs w:val="24"/>
        </w:rPr>
        <w:instrText xml:space="preserve"> PAGEREF _Toc61100183 \h </w:instrText>
      </w:r>
      <w:r>
        <w:rPr>
          <w:sz w:val="24"/>
          <w:szCs w:val="24"/>
        </w:rPr>
        <w:fldChar w:fldCharType="separate"/>
      </w:r>
      <w:r>
        <w:rPr>
          <w:sz w:val="24"/>
          <w:szCs w:val="24"/>
        </w:rPr>
        <w:t>6</w:t>
      </w:r>
      <w:r>
        <w:rPr>
          <w:sz w:val="24"/>
          <w:szCs w:val="24"/>
        </w:rPr>
        <w:fldChar w:fldCharType="end"/>
      </w:r>
      <w:r>
        <w:rPr>
          <w:sz w:val="24"/>
          <w:szCs w:val="24"/>
        </w:rPr>
        <w:fldChar w:fldCharType="end"/>
      </w:r>
    </w:p>
    <w:p>
      <w:pPr>
        <w:pStyle w:val="15"/>
        <w:tabs>
          <w:tab w:val="right" w:leader="dot" w:pos="8296"/>
        </w:tabs>
        <w:spacing w:line="300" w:lineRule="auto"/>
        <w:ind w:firstLine="480"/>
        <w:rPr>
          <w:rFonts w:asciiTheme="minorHAnsi" w:hAnsiTheme="minorHAnsi" w:eastAsiaTheme="minorEastAsia"/>
          <w:sz w:val="24"/>
          <w:szCs w:val="24"/>
        </w:rPr>
      </w:pPr>
      <w:r>
        <w:fldChar w:fldCharType="begin"/>
      </w:r>
      <w:r>
        <w:instrText xml:space="preserve"> HYPERLINK \l "_Toc61100184" </w:instrText>
      </w:r>
      <w:r>
        <w:fldChar w:fldCharType="separate"/>
      </w:r>
      <w:r>
        <w:rPr>
          <w:rStyle w:val="48"/>
          <w:rFonts w:hint="eastAsia" w:ascii="黑体" w:hAnsi="黑体" w:eastAsia="黑体"/>
          <w:sz w:val="24"/>
          <w:szCs w:val="24"/>
        </w:rPr>
        <w:t>第二章</w:t>
      </w:r>
      <w:r>
        <w:rPr>
          <w:rStyle w:val="48"/>
          <w:rFonts w:ascii="黑体" w:hAnsi="黑体" w:eastAsia="黑体"/>
          <w:sz w:val="24"/>
          <w:szCs w:val="24"/>
        </w:rPr>
        <w:t xml:space="preserve"> </w:t>
      </w:r>
      <w:r>
        <w:rPr>
          <w:rStyle w:val="48"/>
          <w:rFonts w:hint="eastAsia" w:ascii="黑体" w:hAnsi="黑体" w:eastAsia="黑体"/>
          <w:sz w:val="24"/>
          <w:szCs w:val="24"/>
        </w:rPr>
        <w:t>项目分析</w:t>
      </w:r>
      <w:r>
        <w:rPr>
          <w:sz w:val="24"/>
          <w:szCs w:val="24"/>
        </w:rPr>
        <w:tab/>
      </w:r>
      <w:r>
        <w:rPr>
          <w:sz w:val="24"/>
          <w:szCs w:val="24"/>
        </w:rPr>
        <w:fldChar w:fldCharType="begin"/>
      </w:r>
      <w:r>
        <w:rPr>
          <w:sz w:val="24"/>
          <w:szCs w:val="24"/>
        </w:rPr>
        <w:instrText xml:space="preserve"> PAGEREF _Toc61100184 \h </w:instrText>
      </w:r>
      <w:r>
        <w:rPr>
          <w:sz w:val="24"/>
          <w:szCs w:val="24"/>
        </w:rPr>
        <w:fldChar w:fldCharType="separate"/>
      </w:r>
      <w:r>
        <w:rPr>
          <w:sz w:val="24"/>
          <w:szCs w:val="24"/>
        </w:rPr>
        <w:t>8</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"_Toc61100185" </w:instrText>
      </w:r>
      <w:r>
        <w:fldChar w:fldCharType="separate"/>
      </w:r>
      <w:r>
        <w:rPr>
          <w:rStyle w:val="48"/>
          <w:rFonts w:ascii="黑体" w:hAnsi="黑体"/>
          <w:sz w:val="24"/>
          <w:szCs w:val="24"/>
        </w:rPr>
        <w:t>2.1</w:t>
      </w:r>
      <w:r>
        <w:rPr>
          <w:rStyle w:val="48"/>
          <w:rFonts w:hint="eastAsia" w:ascii="黑体" w:hAnsi="黑体"/>
          <w:sz w:val="24"/>
          <w:szCs w:val="24"/>
        </w:rPr>
        <w:t>项目背景</w:t>
      </w:r>
      <w:r>
        <w:rPr>
          <w:sz w:val="24"/>
          <w:szCs w:val="24"/>
        </w:rPr>
        <w:tab/>
      </w:r>
      <w:r>
        <w:rPr>
          <w:sz w:val="24"/>
          <w:szCs w:val="24"/>
        </w:rPr>
        <w:fldChar w:fldCharType="begin"/>
      </w:r>
      <w:r>
        <w:rPr>
          <w:sz w:val="24"/>
          <w:szCs w:val="24"/>
        </w:rPr>
        <w:instrText xml:space="preserve"> PAGEREF _Toc61100185 \h </w:instrText>
      </w:r>
      <w:r>
        <w:rPr>
          <w:sz w:val="24"/>
          <w:szCs w:val="24"/>
        </w:rPr>
        <w:fldChar w:fldCharType="separate"/>
      </w:r>
      <w:r>
        <w:rPr>
          <w:sz w:val="24"/>
          <w:szCs w:val="24"/>
        </w:rPr>
        <w:t>8</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"_Toc61100186" </w:instrText>
      </w:r>
      <w:r>
        <w:fldChar w:fldCharType="separate"/>
      </w:r>
      <w:r>
        <w:rPr>
          <w:rStyle w:val="48"/>
          <w:rFonts w:ascii="黑体" w:hAnsi="黑体"/>
          <w:sz w:val="24"/>
          <w:szCs w:val="24"/>
        </w:rPr>
        <w:t>2.2</w:t>
      </w:r>
      <w:r>
        <w:rPr>
          <w:rStyle w:val="48"/>
          <w:rFonts w:hint="eastAsia" w:ascii="黑体" w:hAnsi="黑体"/>
          <w:sz w:val="24"/>
          <w:szCs w:val="24"/>
        </w:rPr>
        <w:t>项目介绍</w:t>
      </w:r>
      <w:r>
        <w:rPr>
          <w:sz w:val="24"/>
          <w:szCs w:val="24"/>
        </w:rPr>
        <w:tab/>
      </w:r>
      <w:r>
        <w:rPr>
          <w:sz w:val="24"/>
          <w:szCs w:val="24"/>
        </w:rPr>
        <w:fldChar w:fldCharType="begin"/>
      </w:r>
      <w:r>
        <w:rPr>
          <w:sz w:val="24"/>
          <w:szCs w:val="24"/>
        </w:rPr>
        <w:instrText xml:space="preserve"> PAGEREF _Toc61100186 \h </w:instrText>
      </w:r>
      <w:r>
        <w:rPr>
          <w:sz w:val="24"/>
          <w:szCs w:val="24"/>
        </w:rPr>
        <w:fldChar w:fldCharType="separate"/>
      </w:r>
      <w:r>
        <w:rPr>
          <w:sz w:val="24"/>
          <w:szCs w:val="24"/>
        </w:rPr>
        <w:t>9</w:t>
      </w:r>
      <w:r>
        <w:rPr>
          <w:sz w:val="24"/>
          <w:szCs w:val="24"/>
        </w:rPr>
        <w:fldChar w:fldCharType="end"/>
      </w:r>
      <w:r>
        <w:rPr>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"_Toc61100187" </w:instrText>
      </w:r>
      <w:r>
        <w:fldChar w:fldCharType="separate"/>
      </w:r>
      <w:r>
        <w:rPr>
          <w:rStyle w:val="48"/>
          <w:rFonts w:ascii="仿宋" w:hAnsi="仿宋" w:eastAsia="仿宋" w:cs="Times New Roman"/>
          <w:sz w:val="24"/>
          <w:szCs w:val="24"/>
        </w:rPr>
        <w:t>2.2.1</w:t>
      </w:r>
      <w:r>
        <w:rPr>
          <w:rStyle w:val="48"/>
          <w:rFonts w:hint="eastAsia" w:ascii="仿宋" w:hAnsi="仿宋" w:eastAsia="仿宋" w:cs="Times New Roman"/>
          <w:sz w:val="24"/>
          <w:szCs w:val="24"/>
        </w:rPr>
        <w:t>平台的核心价值</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_Toc61100187 \h </w:instrText>
      </w:r>
      <w:r>
        <w:rPr>
          <w:rFonts w:ascii="仿宋" w:hAnsi="仿宋" w:eastAsia="仿宋"/>
          <w:sz w:val="24"/>
          <w:szCs w:val="24"/>
        </w:rPr>
        <w:fldChar w:fldCharType="separate"/>
      </w:r>
      <w:r>
        <w:rPr>
          <w:rFonts w:ascii="仿宋" w:hAnsi="仿宋" w:eastAsia="仿宋"/>
          <w:sz w:val="24"/>
          <w:szCs w:val="24"/>
        </w:rPr>
        <w:t>10</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"_Toc61100188" </w:instrText>
      </w:r>
      <w:r>
        <w:fldChar w:fldCharType="separate"/>
      </w:r>
      <w:r>
        <w:rPr>
          <w:rStyle w:val="48"/>
          <w:rFonts w:ascii="仿宋" w:hAnsi="仿宋" w:eastAsia="仿宋" w:cs="Times New Roman"/>
          <w:sz w:val="24"/>
          <w:szCs w:val="24"/>
        </w:rPr>
        <w:t>2.2.2</w:t>
      </w:r>
      <w:r>
        <w:rPr>
          <w:rStyle w:val="48"/>
          <w:rFonts w:hint="eastAsia" w:ascii="仿宋" w:hAnsi="仿宋" w:eastAsia="仿宋" w:cs="Times New Roman"/>
          <w:sz w:val="24"/>
          <w:szCs w:val="24"/>
        </w:rPr>
        <w:t>竞争性分级免费策略</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_Toc61100188 \h </w:instrText>
      </w:r>
      <w:r>
        <w:rPr>
          <w:rFonts w:ascii="仿宋" w:hAnsi="仿宋" w:eastAsia="仿宋"/>
          <w:sz w:val="24"/>
          <w:szCs w:val="24"/>
        </w:rPr>
        <w:fldChar w:fldCharType="separate"/>
      </w:r>
      <w:r>
        <w:rPr>
          <w:rFonts w:ascii="仿宋" w:hAnsi="仿宋" w:eastAsia="仿宋"/>
          <w:sz w:val="24"/>
          <w:szCs w:val="24"/>
        </w:rPr>
        <w:t>10</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"_Toc61100189" </w:instrText>
      </w:r>
      <w:r>
        <w:fldChar w:fldCharType="separate"/>
      </w:r>
      <w:r>
        <w:rPr>
          <w:rStyle w:val="48"/>
          <w:rFonts w:ascii="仿宋" w:hAnsi="仿宋" w:eastAsia="仿宋" w:cs="Times New Roman"/>
          <w:sz w:val="24"/>
          <w:szCs w:val="24"/>
        </w:rPr>
        <w:t>2.2.3</w:t>
      </w:r>
      <w:r>
        <w:rPr>
          <w:rStyle w:val="48"/>
          <w:rFonts w:hint="eastAsia" w:ascii="仿宋" w:hAnsi="仿宋" w:eastAsia="仿宋" w:cs="Times New Roman"/>
          <w:sz w:val="24"/>
          <w:szCs w:val="24"/>
        </w:rPr>
        <w:t>完善的风险机制</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_Toc61100189 \h </w:instrText>
      </w:r>
      <w:r>
        <w:rPr>
          <w:rFonts w:ascii="仿宋" w:hAnsi="仿宋" w:eastAsia="仿宋"/>
          <w:sz w:val="24"/>
          <w:szCs w:val="24"/>
        </w:rPr>
        <w:fldChar w:fldCharType="separate"/>
      </w:r>
      <w:r>
        <w:rPr>
          <w:rFonts w:ascii="仿宋" w:hAnsi="仿宋" w:eastAsia="仿宋"/>
          <w:sz w:val="24"/>
          <w:szCs w:val="24"/>
        </w:rPr>
        <w:t>10</w:t>
      </w:r>
      <w:r>
        <w:rPr>
          <w:rFonts w:ascii="仿宋" w:hAnsi="仿宋" w:eastAsia="仿宋"/>
          <w:sz w:val="24"/>
          <w:szCs w:val="24"/>
        </w:rPr>
        <w:fldChar w:fldCharType="end"/>
      </w:r>
      <w:r>
        <w:rPr>
          <w:rFonts w:ascii="仿宋" w:hAnsi="仿宋" w:eastAsia="仿宋"/>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"_Toc61100190" </w:instrText>
      </w:r>
      <w:r>
        <w:fldChar w:fldCharType="separate"/>
      </w:r>
      <w:r>
        <w:rPr>
          <w:rStyle w:val="48"/>
          <w:rFonts w:ascii="黑体" w:hAnsi="黑体"/>
          <w:sz w:val="24"/>
          <w:szCs w:val="24"/>
        </w:rPr>
        <w:t>2.3</w:t>
      </w:r>
      <w:r>
        <w:rPr>
          <w:rStyle w:val="48"/>
          <w:rFonts w:hint="eastAsia" w:ascii="黑体" w:hAnsi="黑体"/>
          <w:sz w:val="24"/>
          <w:szCs w:val="24"/>
        </w:rPr>
        <w:t>分级诊疗制度</w:t>
      </w:r>
      <w:r>
        <w:rPr>
          <w:sz w:val="24"/>
          <w:szCs w:val="24"/>
        </w:rPr>
        <w:tab/>
      </w:r>
      <w:r>
        <w:rPr>
          <w:sz w:val="24"/>
          <w:szCs w:val="24"/>
        </w:rPr>
        <w:fldChar w:fldCharType="begin"/>
      </w:r>
      <w:r>
        <w:rPr>
          <w:sz w:val="24"/>
          <w:szCs w:val="24"/>
        </w:rPr>
        <w:instrText xml:space="preserve"> PAGEREF _Toc61100190 \h </w:instrText>
      </w:r>
      <w:r>
        <w:rPr>
          <w:sz w:val="24"/>
          <w:szCs w:val="24"/>
        </w:rPr>
        <w:fldChar w:fldCharType="separate"/>
      </w:r>
      <w:r>
        <w:rPr>
          <w:sz w:val="24"/>
          <w:szCs w:val="24"/>
        </w:rPr>
        <w:t>11</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"_Toc61100191" </w:instrText>
      </w:r>
      <w:r>
        <w:fldChar w:fldCharType="separate"/>
      </w:r>
      <w:r>
        <w:rPr>
          <w:rStyle w:val="48"/>
          <w:rFonts w:ascii="黑体" w:hAnsi="黑体"/>
          <w:sz w:val="24"/>
          <w:szCs w:val="24"/>
        </w:rPr>
        <w:t>2.4</w:t>
      </w:r>
      <w:r>
        <w:rPr>
          <w:rStyle w:val="48"/>
          <w:rFonts w:hint="eastAsia" w:ascii="黑体" w:hAnsi="黑体"/>
          <w:sz w:val="24"/>
          <w:szCs w:val="24"/>
        </w:rPr>
        <w:t>竞争性分级免费策略</w:t>
      </w:r>
      <w:r>
        <w:rPr>
          <w:sz w:val="24"/>
          <w:szCs w:val="24"/>
        </w:rPr>
        <w:tab/>
      </w:r>
      <w:r>
        <w:rPr>
          <w:sz w:val="24"/>
          <w:szCs w:val="24"/>
        </w:rPr>
        <w:fldChar w:fldCharType="begin"/>
      </w:r>
      <w:r>
        <w:rPr>
          <w:sz w:val="24"/>
          <w:szCs w:val="24"/>
        </w:rPr>
        <w:instrText xml:space="preserve"> PAGEREF _Toc61100191 \h </w:instrText>
      </w:r>
      <w:r>
        <w:rPr>
          <w:sz w:val="24"/>
          <w:szCs w:val="24"/>
        </w:rPr>
        <w:fldChar w:fldCharType="separate"/>
      </w:r>
      <w:r>
        <w:rPr>
          <w:sz w:val="24"/>
          <w:szCs w:val="24"/>
        </w:rPr>
        <w:t>12</w:t>
      </w:r>
      <w:r>
        <w:rPr>
          <w:sz w:val="24"/>
          <w:szCs w:val="24"/>
        </w:rPr>
        <w:fldChar w:fldCharType="end"/>
      </w:r>
      <w:r>
        <w:rPr>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"_Toc61100192" </w:instrText>
      </w:r>
      <w:r>
        <w:fldChar w:fldCharType="separate"/>
      </w:r>
      <w:r>
        <w:rPr>
          <w:rStyle w:val="48"/>
          <w:rFonts w:ascii="仿宋" w:hAnsi="仿宋" w:eastAsia="仿宋" w:cs="Times New Roman"/>
          <w:sz w:val="24"/>
          <w:szCs w:val="24"/>
        </w:rPr>
        <w:t>2.4.1</w:t>
      </w:r>
      <w:r>
        <w:rPr>
          <w:rStyle w:val="48"/>
          <w:rFonts w:hint="eastAsia" w:ascii="仿宋" w:hAnsi="仿宋" w:eastAsia="仿宋" w:cs="Times New Roman"/>
          <w:sz w:val="24"/>
          <w:szCs w:val="24"/>
        </w:rPr>
        <w:t>医生竞争性分级免费策略</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_Toc61100192 \h </w:instrText>
      </w:r>
      <w:r>
        <w:rPr>
          <w:rFonts w:ascii="仿宋" w:hAnsi="仿宋" w:eastAsia="仿宋"/>
          <w:sz w:val="24"/>
          <w:szCs w:val="24"/>
        </w:rPr>
        <w:fldChar w:fldCharType="separate"/>
      </w:r>
      <w:r>
        <w:rPr>
          <w:rFonts w:ascii="仿宋" w:hAnsi="仿宋" w:eastAsia="仿宋"/>
          <w:sz w:val="24"/>
          <w:szCs w:val="24"/>
        </w:rPr>
        <w:t>12</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"_Toc61100193" </w:instrText>
      </w:r>
      <w:r>
        <w:fldChar w:fldCharType="separate"/>
      </w:r>
      <w:r>
        <w:rPr>
          <w:rStyle w:val="48"/>
          <w:rFonts w:ascii="仿宋" w:hAnsi="仿宋" w:eastAsia="仿宋" w:cs="Times New Roman"/>
          <w:sz w:val="24"/>
          <w:szCs w:val="24"/>
        </w:rPr>
        <w:t>2.4.2</w:t>
      </w:r>
      <w:r>
        <w:rPr>
          <w:rStyle w:val="48"/>
          <w:rFonts w:hint="eastAsia" w:ascii="仿宋" w:hAnsi="仿宋" w:eastAsia="仿宋" w:cs="Times New Roman"/>
          <w:sz w:val="24"/>
          <w:szCs w:val="24"/>
        </w:rPr>
        <w:t>用户竞争性分级免费策略</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_Toc61100193 \h </w:instrText>
      </w:r>
      <w:r>
        <w:rPr>
          <w:rFonts w:ascii="仿宋" w:hAnsi="仿宋" w:eastAsia="仿宋"/>
          <w:sz w:val="24"/>
          <w:szCs w:val="24"/>
        </w:rPr>
        <w:fldChar w:fldCharType="separate"/>
      </w:r>
      <w:r>
        <w:rPr>
          <w:rFonts w:ascii="仿宋" w:hAnsi="仿宋" w:eastAsia="仿宋"/>
          <w:sz w:val="24"/>
          <w:szCs w:val="24"/>
        </w:rPr>
        <w:t>13</w:t>
      </w:r>
      <w:r>
        <w:rPr>
          <w:rFonts w:ascii="仿宋" w:hAnsi="仿宋" w:eastAsia="仿宋"/>
          <w:sz w:val="24"/>
          <w:szCs w:val="24"/>
        </w:rPr>
        <w:fldChar w:fldCharType="end"/>
      </w:r>
      <w:r>
        <w:rPr>
          <w:rFonts w:ascii="仿宋" w:hAnsi="仿宋" w:eastAsia="仿宋"/>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"_Toc61100194" </w:instrText>
      </w:r>
      <w:r>
        <w:fldChar w:fldCharType="separate"/>
      </w:r>
      <w:r>
        <w:rPr>
          <w:rStyle w:val="48"/>
          <w:rFonts w:ascii="黑体" w:hAnsi="黑体"/>
          <w:sz w:val="24"/>
          <w:szCs w:val="24"/>
        </w:rPr>
        <w:t>2.5</w:t>
      </w:r>
      <w:r>
        <w:rPr>
          <w:rStyle w:val="48"/>
          <w:rFonts w:hint="eastAsia" w:ascii="黑体" w:hAnsi="黑体"/>
          <w:sz w:val="24"/>
          <w:szCs w:val="24"/>
        </w:rPr>
        <w:t>项目价值链</w:t>
      </w:r>
      <w:r>
        <w:rPr>
          <w:sz w:val="24"/>
          <w:szCs w:val="24"/>
        </w:rPr>
        <w:tab/>
      </w:r>
      <w:r>
        <w:rPr>
          <w:sz w:val="24"/>
          <w:szCs w:val="24"/>
        </w:rPr>
        <w:fldChar w:fldCharType="begin"/>
      </w:r>
      <w:r>
        <w:rPr>
          <w:sz w:val="24"/>
          <w:szCs w:val="24"/>
        </w:rPr>
        <w:instrText xml:space="preserve"> PAGEREF _Toc61100194 \h </w:instrText>
      </w:r>
      <w:r>
        <w:rPr>
          <w:sz w:val="24"/>
          <w:szCs w:val="24"/>
        </w:rPr>
        <w:fldChar w:fldCharType="separate"/>
      </w:r>
      <w:r>
        <w:rPr>
          <w:sz w:val="24"/>
          <w:szCs w:val="24"/>
        </w:rPr>
        <w:t>14</w:t>
      </w:r>
      <w:r>
        <w:rPr>
          <w:sz w:val="24"/>
          <w:szCs w:val="24"/>
        </w:rPr>
        <w:fldChar w:fldCharType="end"/>
      </w:r>
      <w:r>
        <w:rPr>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"_Toc61100195" </w:instrText>
      </w:r>
      <w:r>
        <w:fldChar w:fldCharType="separate"/>
      </w:r>
      <w:r>
        <w:rPr>
          <w:rStyle w:val="48"/>
          <w:rFonts w:ascii="仿宋" w:hAnsi="仿宋" w:eastAsia="仿宋" w:cs="Times New Roman"/>
          <w:sz w:val="24"/>
          <w:szCs w:val="24"/>
        </w:rPr>
        <w:t>2.5.1</w:t>
      </w:r>
      <w:r>
        <w:rPr>
          <w:rStyle w:val="48"/>
          <w:rFonts w:hint="eastAsia" w:ascii="仿宋" w:hAnsi="仿宋" w:eastAsia="仿宋" w:cs="Times New Roman"/>
          <w:sz w:val="24"/>
          <w:szCs w:val="24"/>
        </w:rPr>
        <w:t>注册用户价值</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_Toc61100195 \h </w:instrText>
      </w:r>
      <w:r>
        <w:rPr>
          <w:rFonts w:ascii="仿宋" w:hAnsi="仿宋" w:eastAsia="仿宋"/>
          <w:sz w:val="24"/>
          <w:szCs w:val="24"/>
        </w:rPr>
        <w:fldChar w:fldCharType="separate"/>
      </w:r>
      <w:r>
        <w:rPr>
          <w:rFonts w:ascii="仿宋" w:hAnsi="仿宋" w:eastAsia="仿宋"/>
          <w:sz w:val="24"/>
          <w:szCs w:val="24"/>
        </w:rPr>
        <w:t>14</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"_Toc61100196" </w:instrText>
      </w:r>
      <w:r>
        <w:fldChar w:fldCharType="separate"/>
      </w:r>
      <w:r>
        <w:rPr>
          <w:rStyle w:val="48"/>
          <w:rFonts w:ascii="仿宋" w:hAnsi="仿宋" w:eastAsia="仿宋" w:cs="Times New Roman"/>
          <w:sz w:val="24"/>
          <w:szCs w:val="24"/>
        </w:rPr>
        <w:t>2.5.2</w:t>
      </w:r>
      <w:r>
        <w:rPr>
          <w:rStyle w:val="48"/>
          <w:rFonts w:hint="eastAsia" w:ascii="仿宋" w:hAnsi="仿宋" w:eastAsia="仿宋" w:cs="Times New Roman"/>
          <w:sz w:val="24"/>
          <w:szCs w:val="24"/>
        </w:rPr>
        <w:t>医生价值</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_Toc61100196 \h </w:instrText>
      </w:r>
      <w:r>
        <w:rPr>
          <w:rFonts w:ascii="仿宋" w:hAnsi="仿宋" w:eastAsia="仿宋"/>
          <w:sz w:val="24"/>
          <w:szCs w:val="24"/>
        </w:rPr>
        <w:fldChar w:fldCharType="separate"/>
      </w:r>
      <w:r>
        <w:rPr>
          <w:rFonts w:ascii="仿宋" w:hAnsi="仿宋" w:eastAsia="仿宋"/>
          <w:sz w:val="24"/>
          <w:szCs w:val="24"/>
        </w:rPr>
        <w:t>15</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"_Toc61100197" </w:instrText>
      </w:r>
      <w:r>
        <w:fldChar w:fldCharType="separate"/>
      </w:r>
      <w:r>
        <w:rPr>
          <w:rStyle w:val="48"/>
          <w:rFonts w:ascii="仿宋" w:hAnsi="仿宋" w:eastAsia="仿宋" w:cs="Times New Roman"/>
          <w:sz w:val="24"/>
          <w:szCs w:val="24"/>
        </w:rPr>
        <w:t>2.5.3</w:t>
      </w:r>
      <w:r>
        <w:rPr>
          <w:rStyle w:val="48"/>
          <w:rFonts w:hint="eastAsia" w:ascii="仿宋" w:hAnsi="仿宋" w:eastAsia="仿宋" w:cs="Times New Roman"/>
          <w:sz w:val="24"/>
          <w:szCs w:val="24"/>
        </w:rPr>
        <w:t>社会价值</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_Toc61100197 \h </w:instrText>
      </w:r>
      <w:r>
        <w:rPr>
          <w:rFonts w:ascii="仿宋" w:hAnsi="仿宋" w:eastAsia="仿宋"/>
          <w:sz w:val="24"/>
          <w:szCs w:val="24"/>
        </w:rPr>
        <w:fldChar w:fldCharType="separate"/>
      </w:r>
      <w:r>
        <w:rPr>
          <w:rFonts w:ascii="仿宋" w:hAnsi="仿宋" w:eastAsia="仿宋"/>
          <w:sz w:val="24"/>
          <w:szCs w:val="24"/>
        </w:rPr>
        <w:t>16</w:t>
      </w:r>
      <w:r>
        <w:rPr>
          <w:rFonts w:ascii="仿宋" w:hAnsi="仿宋" w:eastAsia="仿宋"/>
          <w:sz w:val="24"/>
          <w:szCs w:val="24"/>
        </w:rPr>
        <w:fldChar w:fldCharType="end"/>
      </w:r>
      <w:r>
        <w:rPr>
          <w:rFonts w:ascii="仿宋" w:hAnsi="仿宋" w:eastAsia="仿宋"/>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"_Toc61100198" </w:instrText>
      </w:r>
      <w:r>
        <w:fldChar w:fldCharType="separate"/>
      </w:r>
      <w:r>
        <w:rPr>
          <w:rStyle w:val="48"/>
          <w:rFonts w:ascii="黑体" w:hAnsi="黑体"/>
          <w:sz w:val="24"/>
          <w:szCs w:val="24"/>
        </w:rPr>
        <w:t>2.6</w:t>
      </w:r>
      <w:r>
        <w:rPr>
          <w:rStyle w:val="48"/>
          <w:rFonts w:hint="eastAsia" w:ascii="黑体" w:hAnsi="黑体"/>
          <w:sz w:val="24"/>
          <w:szCs w:val="24"/>
        </w:rPr>
        <w:t>项目可行性分析</w:t>
      </w:r>
      <w:r>
        <w:rPr>
          <w:sz w:val="24"/>
          <w:szCs w:val="24"/>
        </w:rPr>
        <w:tab/>
      </w:r>
      <w:r>
        <w:rPr>
          <w:sz w:val="24"/>
          <w:szCs w:val="24"/>
        </w:rPr>
        <w:fldChar w:fldCharType="begin"/>
      </w:r>
      <w:r>
        <w:rPr>
          <w:sz w:val="24"/>
          <w:szCs w:val="24"/>
        </w:rPr>
        <w:instrText xml:space="preserve"> PAGEREF _Toc61100198 \h </w:instrText>
      </w:r>
      <w:r>
        <w:rPr>
          <w:sz w:val="24"/>
          <w:szCs w:val="24"/>
        </w:rPr>
        <w:fldChar w:fldCharType="separate"/>
      </w:r>
      <w:r>
        <w:rPr>
          <w:sz w:val="24"/>
          <w:szCs w:val="24"/>
        </w:rPr>
        <w:t>17</w:t>
      </w:r>
      <w:r>
        <w:rPr>
          <w:sz w:val="24"/>
          <w:szCs w:val="24"/>
        </w:rPr>
        <w:fldChar w:fldCharType="end"/>
      </w:r>
      <w:r>
        <w:rPr>
          <w:sz w:val="24"/>
          <w:szCs w:val="24"/>
        </w:rPr>
        <w:fldChar w:fldCharType="end"/>
      </w:r>
    </w:p>
    <w:p>
      <w:pPr>
        <w:pStyle w:val="15"/>
        <w:tabs>
          <w:tab w:val="right" w:leader="dot" w:pos="8296"/>
        </w:tabs>
        <w:spacing w:line="300" w:lineRule="auto"/>
        <w:ind w:firstLine="480"/>
        <w:rPr>
          <w:rFonts w:asciiTheme="minorHAnsi" w:hAnsiTheme="minorHAnsi" w:eastAsiaTheme="minorEastAsia"/>
          <w:sz w:val="24"/>
          <w:szCs w:val="24"/>
        </w:rPr>
      </w:pPr>
      <w:r>
        <w:fldChar w:fldCharType="begin"/>
      </w:r>
      <w:r>
        <w:instrText xml:space="preserve"> HYPERLINK \l "_Toc61100209" </w:instrText>
      </w:r>
      <w:r>
        <w:fldChar w:fldCharType="separate"/>
      </w:r>
      <w:r>
        <w:rPr>
          <w:rStyle w:val="48"/>
          <w:rFonts w:hint="eastAsia" w:ascii="黑体" w:hAnsi="黑体" w:eastAsia="黑体"/>
          <w:sz w:val="24"/>
          <w:szCs w:val="24"/>
        </w:rPr>
        <w:t>第三章</w:t>
      </w:r>
      <w:r>
        <w:rPr>
          <w:rStyle w:val="48"/>
          <w:rFonts w:ascii="黑体" w:hAnsi="黑体" w:eastAsia="黑体"/>
          <w:sz w:val="24"/>
          <w:szCs w:val="24"/>
        </w:rPr>
        <w:t xml:space="preserve"> </w:t>
      </w:r>
      <w:r>
        <w:rPr>
          <w:rStyle w:val="48"/>
          <w:rFonts w:hint="eastAsia" w:ascii="黑体" w:hAnsi="黑体" w:eastAsia="黑体"/>
          <w:sz w:val="24"/>
          <w:szCs w:val="24"/>
        </w:rPr>
        <w:t>商业模式</w:t>
      </w:r>
      <w:r>
        <w:rPr>
          <w:sz w:val="24"/>
          <w:szCs w:val="24"/>
        </w:rPr>
        <w:tab/>
      </w:r>
      <w:r>
        <w:rPr>
          <w:sz w:val="24"/>
          <w:szCs w:val="24"/>
        </w:rPr>
        <w:fldChar w:fldCharType="begin"/>
      </w:r>
      <w:r>
        <w:rPr>
          <w:sz w:val="24"/>
          <w:szCs w:val="24"/>
        </w:rPr>
        <w:instrText xml:space="preserve"> PAGEREF _Toc61100209 \h </w:instrText>
      </w:r>
      <w:r>
        <w:rPr>
          <w:sz w:val="24"/>
          <w:szCs w:val="24"/>
        </w:rPr>
        <w:fldChar w:fldCharType="separate"/>
      </w:r>
      <w:r>
        <w:rPr>
          <w:sz w:val="24"/>
          <w:szCs w:val="24"/>
        </w:rPr>
        <w:t>26</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"_Toc61100210" </w:instrText>
      </w:r>
      <w:r>
        <w:fldChar w:fldCharType="separate"/>
      </w:r>
      <w:r>
        <w:rPr>
          <w:rStyle w:val="48"/>
          <w:rFonts w:ascii="黑体" w:hAnsi="黑体"/>
          <w:sz w:val="24"/>
          <w:szCs w:val="24"/>
        </w:rPr>
        <w:t>3.1</w:t>
      </w:r>
      <w:r>
        <w:rPr>
          <w:rStyle w:val="48"/>
          <w:rFonts w:hint="eastAsia" w:ascii="黑体" w:hAnsi="黑体"/>
          <w:sz w:val="24"/>
          <w:szCs w:val="24"/>
        </w:rPr>
        <w:t>市场环境分析</w:t>
      </w:r>
      <w:r>
        <w:rPr>
          <w:sz w:val="24"/>
          <w:szCs w:val="24"/>
        </w:rPr>
        <w:tab/>
      </w:r>
      <w:r>
        <w:rPr>
          <w:sz w:val="24"/>
          <w:szCs w:val="24"/>
        </w:rPr>
        <w:fldChar w:fldCharType="begin"/>
      </w:r>
      <w:r>
        <w:rPr>
          <w:sz w:val="24"/>
          <w:szCs w:val="24"/>
        </w:rPr>
        <w:instrText xml:space="preserve"> PAGEREF _Toc61100210 \h </w:instrText>
      </w:r>
      <w:r>
        <w:rPr>
          <w:sz w:val="24"/>
          <w:szCs w:val="24"/>
        </w:rPr>
        <w:fldChar w:fldCharType="separate"/>
      </w:r>
      <w:r>
        <w:rPr>
          <w:sz w:val="24"/>
          <w:szCs w:val="24"/>
        </w:rPr>
        <w:t>26</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"_Toc61100211" </w:instrText>
      </w:r>
      <w:r>
        <w:fldChar w:fldCharType="separate"/>
      </w:r>
      <w:r>
        <w:rPr>
          <w:rStyle w:val="48"/>
          <w:rFonts w:ascii="黑体" w:hAnsi="黑体"/>
          <w:sz w:val="24"/>
          <w:szCs w:val="24"/>
        </w:rPr>
        <w:t>3.2</w:t>
      </w:r>
      <w:r>
        <w:rPr>
          <w:rStyle w:val="48"/>
          <w:rFonts w:hint="eastAsia" w:ascii="黑体" w:hAnsi="黑体"/>
          <w:sz w:val="24"/>
          <w:szCs w:val="24"/>
        </w:rPr>
        <w:t>现有移动医疗</w:t>
      </w:r>
      <w:r>
        <w:rPr>
          <w:rStyle w:val="48"/>
          <w:rFonts w:ascii="黑体" w:hAnsi="黑体"/>
          <w:sz w:val="24"/>
          <w:szCs w:val="24"/>
        </w:rPr>
        <w:t>APP</w:t>
      </w:r>
      <w:r>
        <w:rPr>
          <w:rStyle w:val="48"/>
          <w:rFonts w:hint="eastAsia" w:ascii="黑体" w:hAnsi="黑体"/>
          <w:sz w:val="24"/>
          <w:szCs w:val="24"/>
        </w:rPr>
        <w:t>比较</w:t>
      </w:r>
      <w:r>
        <w:rPr>
          <w:sz w:val="24"/>
          <w:szCs w:val="24"/>
        </w:rPr>
        <w:tab/>
      </w:r>
      <w:r>
        <w:rPr>
          <w:sz w:val="24"/>
          <w:szCs w:val="24"/>
        </w:rPr>
        <w:fldChar w:fldCharType="begin"/>
      </w:r>
      <w:r>
        <w:rPr>
          <w:sz w:val="24"/>
          <w:szCs w:val="24"/>
        </w:rPr>
        <w:instrText xml:space="preserve"> PAGEREF _Toc61100211 \h </w:instrText>
      </w:r>
      <w:r>
        <w:rPr>
          <w:sz w:val="24"/>
          <w:szCs w:val="24"/>
        </w:rPr>
        <w:fldChar w:fldCharType="separate"/>
      </w:r>
      <w:r>
        <w:rPr>
          <w:sz w:val="24"/>
          <w:szCs w:val="24"/>
        </w:rPr>
        <w:t>29</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"_Toc61100212" </w:instrText>
      </w:r>
      <w:r>
        <w:fldChar w:fldCharType="separate"/>
      </w:r>
      <w:r>
        <w:rPr>
          <w:rStyle w:val="48"/>
          <w:rFonts w:ascii="黑体" w:hAnsi="黑体"/>
          <w:sz w:val="24"/>
          <w:szCs w:val="24"/>
        </w:rPr>
        <w:t>3.3</w:t>
      </w:r>
      <w:r>
        <w:rPr>
          <w:rStyle w:val="48"/>
          <w:rFonts w:hint="eastAsia" w:ascii="黑体" w:hAnsi="黑体"/>
          <w:sz w:val="24"/>
          <w:szCs w:val="24"/>
        </w:rPr>
        <w:t>目标市场分析</w:t>
      </w:r>
      <w:r>
        <w:rPr>
          <w:sz w:val="24"/>
          <w:szCs w:val="24"/>
        </w:rPr>
        <w:tab/>
      </w:r>
      <w:r>
        <w:rPr>
          <w:sz w:val="24"/>
          <w:szCs w:val="24"/>
        </w:rPr>
        <w:fldChar w:fldCharType="begin"/>
      </w:r>
      <w:r>
        <w:rPr>
          <w:sz w:val="24"/>
          <w:szCs w:val="24"/>
        </w:rPr>
        <w:instrText xml:space="preserve"> PAGEREF _Toc61100212 \h </w:instrText>
      </w:r>
      <w:r>
        <w:rPr>
          <w:sz w:val="24"/>
          <w:szCs w:val="24"/>
        </w:rPr>
        <w:fldChar w:fldCharType="separate"/>
      </w:r>
      <w:r>
        <w:rPr>
          <w:sz w:val="24"/>
          <w:szCs w:val="24"/>
        </w:rPr>
        <w:t>30</w:t>
      </w:r>
      <w:r>
        <w:rPr>
          <w:sz w:val="24"/>
          <w:szCs w:val="24"/>
        </w:rPr>
        <w:fldChar w:fldCharType="end"/>
      </w:r>
      <w:r>
        <w:rPr>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"_Toc61100213" </w:instrText>
      </w:r>
      <w:r>
        <w:fldChar w:fldCharType="separate"/>
      </w:r>
      <w:r>
        <w:rPr>
          <w:rStyle w:val="48"/>
          <w:rFonts w:ascii="仿宋" w:hAnsi="仿宋" w:eastAsia="仿宋" w:cs="Times New Roman"/>
          <w:sz w:val="24"/>
          <w:szCs w:val="24"/>
        </w:rPr>
        <w:t>3.3.1</w:t>
      </w:r>
      <w:r>
        <w:rPr>
          <w:rStyle w:val="48"/>
          <w:rFonts w:hint="eastAsia" w:ascii="仿宋" w:hAnsi="仿宋" w:eastAsia="仿宋" w:cs="Times New Roman"/>
          <w:sz w:val="24"/>
          <w:szCs w:val="24"/>
        </w:rPr>
        <w:t>市场细分</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_Toc61100213 \h </w:instrText>
      </w:r>
      <w:r>
        <w:rPr>
          <w:rFonts w:ascii="仿宋" w:hAnsi="仿宋" w:eastAsia="仿宋"/>
          <w:sz w:val="24"/>
          <w:szCs w:val="24"/>
        </w:rPr>
        <w:fldChar w:fldCharType="separate"/>
      </w:r>
      <w:r>
        <w:rPr>
          <w:rFonts w:ascii="仿宋" w:hAnsi="仿宋" w:eastAsia="仿宋"/>
          <w:sz w:val="24"/>
          <w:szCs w:val="24"/>
        </w:rPr>
        <w:t>30</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"_Toc61100214" </w:instrText>
      </w:r>
      <w:r>
        <w:fldChar w:fldCharType="separate"/>
      </w:r>
      <w:r>
        <w:rPr>
          <w:rStyle w:val="48"/>
          <w:rFonts w:ascii="仿宋" w:hAnsi="仿宋" w:eastAsia="仿宋" w:cs="Times New Roman"/>
          <w:sz w:val="24"/>
          <w:szCs w:val="24"/>
        </w:rPr>
        <w:t>3.3.2</w:t>
      </w:r>
      <w:r>
        <w:rPr>
          <w:rStyle w:val="48"/>
          <w:rFonts w:hint="eastAsia" w:ascii="仿宋" w:hAnsi="仿宋" w:eastAsia="仿宋" w:cs="Times New Roman"/>
          <w:sz w:val="24"/>
          <w:szCs w:val="24"/>
        </w:rPr>
        <w:t>目标人群的选择</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_Toc61100214 \h </w:instrText>
      </w:r>
      <w:r>
        <w:rPr>
          <w:rFonts w:ascii="仿宋" w:hAnsi="仿宋" w:eastAsia="仿宋"/>
          <w:sz w:val="24"/>
          <w:szCs w:val="24"/>
        </w:rPr>
        <w:fldChar w:fldCharType="separate"/>
      </w:r>
      <w:r>
        <w:rPr>
          <w:rFonts w:ascii="仿宋" w:hAnsi="仿宋" w:eastAsia="仿宋"/>
          <w:sz w:val="24"/>
          <w:szCs w:val="24"/>
        </w:rPr>
        <w:t>30</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"_Toc61100215" </w:instrText>
      </w:r>
      <w:r>
        <w:fldChar w:fldCharType="separate"/>
      </w:r>
      <w:r>
        <w:rPr>
          <w:rStyle w:val="48"/>
          <w:rFonts w:ascii="仿宋" w:hAnsi="仿宋" w:eastAsia="仿宋" w:cs="Times New Roman"/>
          <w:sz w:val="24"/>
          <w:szCs w:val="24"/>
        </w:rPr>
        <w:t>3.3.3</w:t>
      </w:r>
      <w:r>
        <w:rPr>
          <w:rStyle w:val="48"/>
          <w:rFonts w:hint="eastAsia" w:ascii="仿宋" w:hAnsi="仿宋" w:eastAsia="仿宋" w:cs="Times New Roman"/>
          <w:sz w:val="24"/>
          <w:szCs w:val="24"/>
        </w:rPr>
        <w:t>市场定位</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_Toc61100215 \h </w:instrText>
      </w:r>
      <w:r>
        <w:rPr>
          <w:rFonts w:ascii="仿宋" w:hAnsi="仿宋" w:eastAsia="仿宋"/>
          <w:sz w:val="24"/>
          <w:szCs w:val="24"/>
        </w:rPr>
        <w:fldChar w:fldCharType="separate"/>
      </w:r>
      <w:r>
        <w:rPr>
          <w:rFonts w:ascii="仿宋" w:hAnsi="仿宋" w:eastAsia="仿宋"/>
          <w:sz w:val="24"/>
          <w:szCs w:val="24"/>
        </w:rPr>
        <w:t>31</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"_Toc61100216" </w:instrText>
      </w:r>
      <w:r>
        <w:fldChar w:fldCharType="separate"/>
      </w:r>
      <w:r>
        <w:rPr>
          <w:rStyle w:val="48"/>
          <w:rFonts w:ascii="仿宋" w:hAnsi="仿宋" w:eastAsia="仿宋" w:cs="Times New Roman"/>
          <w:sz w:val="24"/>
          <w:szCs w:val="24"/>
        </w:rPr>
        <w:t>3.3.4</w:t>
      </w:r>
      <w:r>
        <w:rPr>
          <w:rStyle w:val="48"/>
          <w:rFonts w:hint="eastAsia" w:ascii="仿宋" w:hAnsi="仿宋" w:eastAsia="仿宋" w:cs="Times New Roman"/>
          <w:sz w:val="24"/>
          <w:szCs w:val="24"/>
        </w:rPr>
        <w:t>市场容量分析</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_Toc61100216 \h </w:instrText>
      </w:r>
      <w:r>
        <w:rPr>
          <w:rFonts w:ascii="仿宋" w:hAnsi="仿宋" w:eastAsia="仿宋"/>
          <w:sz w:val="24"/>
          <w:szCs w:val="24"/>
        </w:rPr>
        <w:fldChar w:fldCharType="separate"/>
      </w:r>
      <w:r>
        <w:rPr>
          <w:rFonts w:ascii="仿宋" w:hAnsi="仿宋" w:eastAsia="仿宋"/>
          <w:sz w:val="24"/>
          <w:szCs w:val="24"/>
        </w:rPr>
        <w:t>31</w:t>
      </w:r>
      <w:r>
        <w:rPr>
          <w:rFonts w:ascii="仿宋" w:hAnsi="仿宋" w:eastAsia="仿宋"/>
          <w:sz w:val="24"/>
          <w:szCs w:val="24"/>
        </w:rPr>
        <w:fldChar w:fldCharType="end"/>
      </w:r>
      <w:r>
        <w:rPr>
          <w:rFonts w:ascii="仿宋" w:hAnsi="仿宋" w:eastAsia="仿宋"/>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"_Toc61100217" </w:instrText>
      </w:r>
      <w:r>
        <w:fldChar w:fldCharType="separate"/>
      </w:r>
      <w:r>
        <w:rPr>
          <w:rStyle w:val="48"/>
          <w:rFonts w:ascii="黑体" w:hAnsi="黑体"/>
          <w:sz w:val="24"/>
          <w:szCs w:val="24"/>
        </w:rPr>
        <w:t>3.4</w:t>
      </w:r>
      <w:r>
        <w:rPr>
          <w:rStyle w:val="48"/>
          <w:rFonts w:hint="eastAsia" w:ascii="黑体" w:hAnsi="黑体"/>
          <w:sz w:val="24"/>
          <w:szCs w:val="24"/>
        </w:rPr>
        <w:t>目标用户分析</w:t>
      </w:r>
      <w:r>
        <w:rPr>
          <w:sz w:val="24"/>
          <w:szCs w:val="24"/>
        </w:rPr>
        <w:tab/>
      </w:r>
      <w:r>
        <w:rPr>
          <w:sz w:val="24"/>
          <w:szCs w:val="24"/>
        </w:rPr>
        <w:fldChar w:fldCharType="begin"/>
      </w:r>
      <w:r>
        <w:rPr>
          <w:sz w:val="24"/>
          <w:szCs w:val="24"/>
        </w:rPr>
        <w:instrText xml:space="preserve"> PAGEREF _Toc61100217 \h </w:instrText>
      </w:r>
      <w:r>
        <w:rPr>
          <w:sz w:val="24"/>
          <w:szCs w:val="24"/>
        </w:rPr>
        <w:fldChar w:fldCharType="separate"/>
      </w:r>
      <w:r>
        <w:rPr>
          <w:sz w:val="24"/>
          <w:szCs w:val="24"/>
        </w:rPr>
        <w:t>33</w:t>
      </w:r>
      <w:r>
        <w:rPr>
          <w:sz w:val="24"/>
          <w:szCs w:val="24"/>
        </w:rPr>
        <w:fldChar w:fldCharType="end"/>
      </w:r>
      <w:r>
        <w:rPr>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"_Toc61100218" </w:instrText>
      </w:r>
      <w:r>
        <w:fldChar w:fldCharType="separate"/>
      </w:r>
      <w:r>
        <w:rPr>
          <w:rStyle w:val="48"/>
          <w:rFonts w:ascii="仿宋" w:hAnsi="仿宋" w:eastAsia="仿宋" w:cs="Times New Roman"/>
          <w:sz w:val="24"/>
          <w:szCs w:val="24"/>
        </w:rPr>
        <w:t>3.4.1</w:t>
      </w:r>
      <w:r>
        <w:rPr>
          <w:rStyle w:val="48"/>
          <w:rFonts w:hint="eastAsia" w:ascii="仿宋" w:hAnsi="仿宋" w:eastAsia="仿宋" w:cs="Times New Roman"/>
          <w:sz w:val="24"/>
          <w:szCs w:val="24"/>
        </w:rPr>
        <w:t>目标用户情况分析</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_Toc61100218 \h </w:instrText>
      </w:r>
      <w:r>
        <w:rPr>
          <w:rFonts w:ascii="仿宋" w:hAnsi="仿宋" w:eastAsia="仿宋"/>
          <w:sz w:val="24"/>
          <w:szCs w:val="24"/>
        </w:rPr>
        <w:fldChar w:fldCharType="separate"/>
      </w:r>
      <w:r>
        <w:rPr>
          <w:rFonts w:ascii="仿宋" w:hAnsi="仿宋" w:eastAsia="仿宋"/>
          <w:sz w:val="24"/>
          <w:szCs w:val="24"/>
        </w:rPr>
        <w:t>33</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"_Toc61100219" </w:instrText>
      </w:r>
      <w:r>
        <w:fldChar w:fldCharType="separate"/>
      </w:r>
      <w:r>
        <w:rPr>
          <w:rStyle w:val="48"/>
          <w:rFonts w:ascii="仿宋" w:hAnsi="仿宋" w:eastAsia="仿宋" w:cs="Times New Roman"/>
          <w:sz w:val="24"/>
          <w:szCs w:val="24"/>
        </w:rPr>
        <w:t>3.4.2</w:t>
      </w:r>
      <w:r>
        <w:rPr>
          <w:rStyle w:val="48"/>
          <w:rFonts w:hint="eastAsia" w:ascii="仿宋" w:hAnsi="仿宋" w:eastAsia="仿宋" w:cs="Times New Roman"/>
          <w:sz w:val="24"/>
          <w:szCs w:val="24"/>
        </w:rPr>
        <w:t>目标用户需求及行为特征分析</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_Toc61100219 \h </w:instrText>
      </w:r>
      <w:r>
        <w:rPr>
          <w:rFonts w:ascii="仿宋" w:hAnsi="仿宋" w:eastAsia="仿宋"/>
          <w:sz w:val="24"/>
          <w:szCs w:val="24"/>
        </w:rPr>
        <w:fldChar w:fldCharType="separate"/>
      </w:r>
      <w:r>
        <w:rPr>
          <w:rFonts w:ascii="仿宋" w:hAnsi="仿宋" w:eastAsia="仿宋"/>
          <w:sz w:val="24"/>
          <w:szCs w:val="24"/>
        </w:rPr>
        <w:t>34</w:t>
      </w:r>
      <w:r>
        <w:rPr>
          <w:rFonts w:ascii="仿宋" w:hAnsi="仿宋" w:eastAsia="仿宋"/>
          <w:sz w:val="24"/>
          <w:szCs w:val="24"/>
        </w:rPr>
        <w:fldChar w:fldCharType="end"/>
      </w:r>
      <w:r>
        <w:rPr>
          <w:rFonts w:ascii="仿宋" w:hAnsi="仿宋" w:eastAsia="仿宋"/>
          <w:sz w:val="24"/>
          <w:szCs w:val="24"/>
        </w:rPr>
        <w:fldChar w:fldCharType="end"/>
      </w:r>
    </w:p>
    <w:p>
      <w:pPr>
        <w:pStyle w:val="15"/>
        <w:tabs>
          <w:tab w:val="right" w:leader="dot" w:pos="8296"/>
        </w:tabs>
        <w:spacing w:line="300" w:lineRule="auto"/>
        <w:ind w:firstLine="480"/>
        <w:rPr>
          <w:rFonts w:asciiTheme="minorHAnsi" w:hAnsiTheme="minorHAnsi" w:eastAsiaTheme="minorEastAsia"/>
          <w:sz w:val="24"/>
          <w:szCs w:val="24"/>
        </w:rPr>
      </w:pPr>
      <w:r>
        <w:fldChar w:fldCharType="begin"/>
      </w:r>
      <w:r>
        <w:instrText xml:space="preserve"> HYPERLINK \l "_Toc61100220" </w:instrText>
      </w:r>
      <w:r>
        <w:fldChar w:fldCharType="separate"/>
      </w:r>
      <w:r>
        <w:rPr>
          <w:rStyle w:val="48"/>
          <w:rFonts w:hint="eastAsia" w:ascii="黑体" w:hAnsi="黑体" w:eastAsia="黑体"/>
          <w:sz w:val="24"/>
          <w:szCs w:val="24"/>
        </w:rPr>
        <w:t>第四章</w:t>
      </w:r>
      <w:r>
        <w:rPr>
          <w:rStyle w:val="48"/>
          <w:rFonts w:ascii="黑体" w:hAnsi="黑体" w:eastAsia="黑体"/>
          <w:sz w:val="24"/>
          <w:szCs w:val="24"/>
        </w:rPr>
        <w:t xml:space="preserve"> </w:t>
      </w:r>
      <w:r>
        <w:rPr>
          <w:rStyle w:val="48"/>
          <w:rFonts w:hint="eastAsia" w:ascii="黑体" w:hAnsi="黑体" w:eastAsia="黑体"/>
          <w:sz w:val="24"/>
          <w:szCs w:val="24"/>
        </w:rPr>
        <w:t>公司战略</w:t>
      </w:r>
      <w:r>
        <w:rPr>
          <w:sz w:val="24"/>
          <w:szCs w:val="24"/>
        </w:rPr>
        <w:tab/>
      </w:r>
      <w:r>
        <w:rPr>
          <w:sz w:val="24"/>
          <w:szCs w:val="24"/>
        </w:rPr>
        <w:fldChar w:fldCharType="begin"/>
      </w:r>
      <w:r>
        <w:rPr>
          <w:sz w:val="24"/>
          <w:szCs w:val="24"/>
        </w:rPr>
        <w:instrText xml:space="preserve"> PAGEREF _Toc61100220 \h </w:instrText>
      </w:r>
      <w:r>
        <w:rPr>
          <w:sz w:val="24"/>
          <w:szCs w:val="24"/>
        </w:rPr>
        <w:fldChar w:fldCharType="separate"/>
      </w:r>
      <w:r>
        <w:rPr>
          <w:sz w:val="24"/>
          <w:szCs w:val="24"/>
        </w:rPr>
        <w:t>36</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"_Toc61100221" </w:instrText>
      </w:r>
      <w:r>
        <w:fldChar w:fldCharType="separate"/>
      </w:r>
      <w:r>
        <w:rPr>
          <w:rStyle w:val="48"/>
          <w:rFonts w:ascii="黑体" w:hAnsi="黑体"/>
          <w:sz w:val="24"/>
          <w:szCs w:val="24"/>
        </w:rPr>
        <w:t>4.1</w:t>
      </w:r>
      <w:r>
        <w:rPr>
          <w:rStyle w:val="48"/>
          <w:rFonts w:hint="eastAsia" w:ascii="黑体" w:hAnsi="黑体"/>
          <w:sz w:val="24"/>
          <w:szCs w:val="24"/>
        </w:rPr>
        <w:t>公司介绍</w:t>
      </w:r>
      <w:r>
        <w:rPr>
          <w:sz w:val="24"/>
          <w:szCs w:val="24"/>
        </w:rPr>
        <w:tab/>
      </w:r>
      <w:r>
        <w:rPr>
          <w:sz w:val="24"/>
          <w:szCs w:val="24"/>
        </w:rPr>
        <w:fldChar w:fldCharType="begin"/>
      </w:r>
      <w:r>
        <w:rPr>
          <w:sz w:val="24"/>
          <w:szCs w:val="24"/>
        </w:rPr>
        <w:instrText xml:space="preserve"> PAGEREF _Toc61100221 \h </w:instrText>
      </w:r>
      <w:r>
        <w:rPr>
          <w:sz w:val="24"/>
          <w:szCs w:val="24"/>
        </w:rPr>
        <w:fldChar w:fldCharType="separate"/>
      </w:r>
      <w:r>
        <w:rPr>
          <w:sz w:val="24"/>
          <w:szCs w:val="24"/>
        </w:rPr>
        <w:t>36</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"_Toc61100222" </w:instrText>
      </w:r>
      <w:r>
        <w:fldChar w:fldCharType="separate"/>
      </w:r>
      <w:r>
        <w:rPr>
          <w:rStyle w:val="48"/>
          <w:rFonts w:ascii="黑体" w:hAnsi="黑体"/>
          <w:sz w:val="24"/>
          <w:szCs w:val="24"/>
        </w:rPr>
        <w:t>4.2</w:t>
      </w:r>
      <w:r>
        <w:rPr>
          <w:rStyle w:val="48"/>
          <w:rFonts w:hint="eastAsia" w:ascii="黑体" w:hAnsi="黑体"/>
          <w:sz w:val="24"/>
          <w:szCs w:val="24"/>
        </w:rPr>
        <w:t>公司发展战略</w:t>
      </w:r>
      <w:r>
        <w:rPr>
          <w:sz w:val="24"/>
          <w:szCs w:val="24"/>
        </w:rPr>
        <w:tab/>
      </w:r>
      <w:r>
        <w:rPr>
          <w:sz w:val="24"/>
          <w:szCs w:val="24"/>
        </w:rPr>
        <w:fldChar w:fldCharType="begin"/>
      </w:r>
      <w:r>
        <w:rPr>
          <w:sz w:val="24"/>
          <w:szCs w:val="24"/>
        </w:rPr>
        <w:instrText xml:space="preserve"> PAGEREF _Toc61100222 \h </w:instrText>
      </w:r>
      <w:r>
        <w:rPr>
          <w:sz w:val="24"/>
          <w:szCs w:val="24"/>
        </w:rPr>
        <w:fldChar w:fldCharType="separate"/>
      </w:r>
      <w:r>
        <w:rPr>
          <w:sz w:val="24"/>
          <w:szCs w:val="24"/>
        </w:rPr>
        <w:t>36</w:t>
      </w:r>
      <w:r>
        <w:rPr>
          <w:sz w:val="24"/>
          <w:szCs w:val="24"/>
        </w:rPr>
        <w:fldChar w:fldCharType="end"/>
      </w:r>
      <w:r>
        <w:rPr>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"_Toc61100223" </w:instrText>
      </w:r>
      <w:r>
        <w:fldChar w:fldCharType="separate"/>
      </w:r>
      <w:r>
        <w:rPr>
          <w:rStyle w:val="48"/>
          <w:rFonts w:ascii="仿宋" w:hAnsi="仿宋" w:eastAsia="仿宋" w:cs="Times New Roman"/>
          <w:sz w:val="24"/>
          <w:szCs w:val="24"/>
        </w:rPr>
        <w:t>4.2.1</w:t>
      </w:r>
      <w:r>
        <w:rPr>
          <w:rStyle w:val="48"/>
          <w:rFonts w:hint="eastAsia" w:ascii="仿宋" w:hAnsi="仿宋" w:eastAsia="仿宋" w:cs="Times New Roman"/>
          <w:sz w:val="24"/>
          <w:szCs w:val="24"/>
        </w:rPr>
        <w:t>初期战略</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_Toc61100223 \h </w:instrText>
      </w:r>
      <w:r>
        <w:rPr>
          <w:rFonts w:ascii="仿宋" w:hAnsi="仿宋" w:eastAsia="仿宋"/>
          <w:sz w:val="24"/>
          <w:szCs w:val="24"/>
        </w:rPr>
        <w:fldChar w:fldCharType="separate"/>
      </w:r>
      <w:r>
        <w:rPr>
          <w:rFonts w:ascii="仿宋" w:hAnsi="仿宋" w:eastAsia="仿宋"/>
          <w:sz w:val="24"/>
          <w:szCs w:val="24"/>
        </w:rPr>
        <w:t>37</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"_Toc61100224" </w:instrText>
      </w:r>
      <w:r>
        <w:fldChar w:fldCharType="separate"/>
      </w:r>
      <w:r>
        <w:rPr>
          <w:rStyle w:val="48"/>
          <w:rFonts w:ascii="仿宋" w:hAnsi="仿宋" w:eastAsia="仿宋" w:cs="Times New Roman"/>
          <w:sz w:val="24"/>
          <w:szCs w:val="24"/>
        </w:rPr>
        <w:t>4.2.2</w:t>
      </w:r>
      <w:r>
        <w:rPr>
          <w:rStyle w:val="48"/>
          <w:rFonts w:hint="eastAsia" w:ascii="仿宋" w:hAnsi="仿宋" w:eastAsia="仿宋" w:cs="Times New Roman"/>
          <w:sz w:val="24"/>
          <w:szCs w:val="24"/>
        </w:rPr>
        <w:t>中期战略</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_Toc61100224 \h </w:instrText>
      </w:r>
      <w:r>
        <w:rPr>
          <w:rFonts w:ascii="仿宋" w:hAnsi="仿宋" w:eastAsia="仿宋"/>
          <w:sz w:val="24"/>
          <w:szCs w:val="24"/>
        </w:rPr>
        <w:fldChar w:fldCharType="separate"/>
      </w:r>
      <w:r>
        <w:rPr>
          <w:rFonts w:ascii="仿宋" w:hAnsi="仿宋" w:eastAsia="仿宋"/>
          <w:sz w:val="24"/>
          <w:szCs w:val="24"/>
        </w:rPr>
        <w:t>38</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"_Toc61100225" </w:instrText>
      </w:r>
      <w:r>
        <w:fldChar w:fldCharType="separate"/>
      </w:r>
      <w:r>
        <w:rPr>
          <w:rStyle w:val="48"/>
          <w:rFonts w:ascii="仿宋" w:hAnsi="仿宋" w:eastAsia="仿宋" w:cs="Times New Roman"/>
          <w:sz w:val="24"/>
          <w:szCs w:val="24"/>
        </w:rPr>
        <w:t>4.2.3</w:t>
      </w:r>
      <w:r>
        <w:rPr>
          <w:rStyle w:val="48"/>
          <w:rFonts w:hint="eastAsia" w:ascii="仿宋" w:hAnsi="仿宋" w:eastAsia="仿宋" w:cs="Times New Roman"/>
          <w:sz w:val="24"/>
          <w:szCs w:val="24"/>
        </w:rPr>
        <w:t>后期战略</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_Toc61100225 \h </w:instrText>
      </w:r>
      <w:r>
        <w:rPr>
          <w:rFonts w:ascii="仿宋" w:hAnsi="仿宋" w:eastAsia="仿宋"/>
          <w:sz w:val="24"/>
          <w:szCs w:val="24"/>
        </w:rPr>
        <w:fldChar w:fldCharType="separate"/>
      </w:r>
      <w:r>
        <w:rPr>
          <w:rFonts w:ascii="仿宋" w:hAnsi="仿宋" w:eastAsia="仿宋"/>
          <w:sz w:val="24"/>
          <w:szCs w:val="24"/>
        </w:rPr>
        <w:t>39</w:t>
      </w:r>
      <w:r>
        <w:rPr>
          <w:rFonts w:ascii="仿宋" w:hAnsi="仿宋" w:eastAsia="仿宋"/>
          <w:sz w:val="24"/>
          <w:szCs w:val="24"/>
        </w:rPr>
        <w:fldChar w:fldCharType="end"/>
      </w:r>
      <w:r>
        <w:rPr>
          <w:rFonts w:ascii="仿宋" w:hAnsi="仿宋" w:eastAsia="仿宋"/>
          <w:sz w:val="24"/>
          <w:szCs w:val="24"/>
        </w:rPr>
        <w:fldChar w:fldCharType="end"/>
      </w:r>
    </w:p>
    <w:p>
      <w:pPr>
        <w:pStyle w:val="15"/>
        <w:tabs>
          <w:tab w:val="right" w:leader="dot" w:pos="8296"/>
        </w:tabs>
        <w:spacing w:line="300" w:lineRule="auto"/>
        <w:ind w:firstLine="480"/>
        <w:rPr>
          <w:rFonts w:asciiTheme="minorHAnsi" w:hAnsiTheme="minorHAnsi" w:eastAsiaTheme="minorEastAsia"/>
          <w:sz w:val="24"/>
          <w:szCs w:val="24"/>
        </w:rPr>
      </w:pPr>
      <w:r>
        <w:fldChar w:fldCharType="begin"/>
      </w:r>
      <w:r>
        <w:instrText xml:space="preserve"> HYPERLINK \l "_Toc61100226" </w:instrText>
      </w:r>
      <w:r>
        <w:fldChar w:fldCharType="separate"/>
      </w:r>
      <w:r>
        <w:rPr>
          <w:rStyle w:val="48"/>
          <w:rFonts w:hint="eastAsia" w:ascii="黑体" w:hAnsi="黑体" w:eastAsia="黑体"/>
          <w:sz w:val="24"/>
          <w:szCs w:val="24"/>
        </w:rPr>
        <w:t>第五章</w:t>
      </w:r>
      <w:r>
        <w:rPr>
          <w:rStyle w:val="48"/>
          <w:rFonts w:ascii="黑体" w:hAnsi="黑体" w:eastAsia="黑体"/>
          <w:sz w:val="24"/>
          <w:szCs w:val="24"/>
        </w:rPr>
        <w:t xml:space="preserve"> </w:t>
      </w:r>
      <w:r>
        <w:rPr>
          <w:rStyle w:val="48"/>
          <w:rFonts w:hint="eastAsia" w:ascii="黑体" w:hAnsi="黑体" w:eastAsia="黑体"/>
          <w:sz w:val="24"/>
          <w:szCs w:val="24"/>
        </w:rPr>
        <w:t>营销策略</w:t>
      </w:r>
      <w:r>
        <w:rPr>
          <w:sz w:val="24"/>
          <w:szCs w:val="24"/>
        </w:rPr>
        <w:tab/>
      </w:r>
      <w:r>
        <w:rPr>
          <w:sz w:val="24"/>
          <w:szCs w:val="24"/>
        </w:rPr>
        <w:fldChar w:fldCharType="begin"/>
      </w:r>
      <w:r>
        <w:rPr>
          <w:sz w:val="24"/>
          <w:szCs w:val="24"/>
        </w:rPr>
        <w:instrText xml:space="preserve"> PAGEREF _Toc61100226 \h </w:instrText>
      </w:r>
      <w:r>
        <w:rPr>
          <w:sz w:val="24"/>
          <w:szCs w:val="24"/>
        </w:rPr>
        <w:fldChar w:fldCharType="separate"/>
      </w:r>
      <w:r>
        <w:rPr>
          <w:sz w:val="24"/>
          <w:szCs w:val="24"/>
        </w:rPr>
        <w:t>41</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"_Toc61100227" </w:instrText>
      </w:r>
      <w:r>
        <w:fldChar w:fldCharType="separate"/>
      </w:r>
      <w:r>
        <w:rPr>
          <w:rStyle w:val="48"/>
          <w:rFonts w:ascii="黑体" w:hAnsi="黑体"/>
          <w:sz w:val="24"/>
          <w:szCs w:val="24"/>
        </w:rPr>
        <w:t>5.1</w:t>
      </w:r>
      <w:r>
        <w:rPr>
          <w:rStyle w:val="48"/>
          <w:rFonts w:hint="eastAsia" w:ascii="黑体" w:hAnsi="黑体"/>
          <w:sz w:val="24"/>
          <w:szCs w:val="24"/>
        </w:rPr>
        <w:t>前期营销策略</w:t>
      </w:r>
      <w:r>
        <w:rPr>
          <w:sz w:val="24"/>
          <w:szCs w:val="24"/>
        </w:rPr>
        <w:tab/>
      </w:r>
      <w:r>
        <w:rPr>
          <w:sz w:val="24"/>
          <w:szCs w:val="24"/>
        </w:rPr>
        <w:fldChar w:fldCharType="begin"/>
      </w:r>
      <w:r>
        <w:rPr>
          <w:sz w:val="24"/>
          <w:szCs w:val="24"/>
        </w:rPr>
        <w:instrText xml:space="preserve"> PAGEREF _Toc61100227 \h </w:instrText>
      </w:r>
      <w:r>
        <w:rPr>
          <w:sz w:val="24"/>
          <w:szCs w:val="24"/>
        </w:rPr>
        <w:fldChar w:fldCharType="separate"/>
      </w:r>
      <w:r>
        <w:rPr>
          <w:sz w:val="24"/>
          <w:szCs w:val="24"/>
        </w:rPr>
        <w:t>41</w:t>
      </w:r>
      <w:r>
        <w:rPr>
          <w:sz w:val="24"/>
          <w:szCs w:val="24"/>
        </w:rPr>
        <w:fldChar w:fldCharType="end"/>
      </w:r>
      <w:r>
        <w:rPr>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"_Toc61100228" </w:instrText>
      </w:r>
      <w:r>
        <w:fldChar w:fldCharType="separate"/>
      </w:r>
      <w:r>
        <w:rPr>
          <w:rStyle w:val="48"/>
          <w:rFonts w:ascii="仿宋" w:hAnsi="仿宋" w:eastAsia="仿宋" w:cs="Times New Roman"/>
          <w:sz w:val="24"/>
          <w:szCs w:val="24"/>
        </w:rPr>
        <w:t>5.1.1</w:t>
      </w:r>
      <w:r>
        <w:rPr>
          <w:rStyle w:val="48"/>
          <w:rFonts w:hint="eastAsia" w:ascii="仿宋" w:hAnsi="仿宋" w:eastAsia="仿宋" w:cs="Times New Roman"/>
          <w:sz w:val="24"/>
          <w:szCs w:val="24"/>
        </w:rPr>
        <w:t>线上营销</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_Toc61100228 \h </w:instrText>
      </w:r>
      <w:r>
        <w:rPr>
          <w:rFonts w:ascii="仿宋" w:hAnsi="仿宋" w:eastAsia="仿宋"/>
          <w:sz w:val="24"/>
          <w:szCs w:val="24"/>
        </w:rPr>
        <w:fldChar w:fldCharType="separate"/>
      </w:r>
      <w:r>
        <w:rPr>
          <w:rFonts w:ascii="仿宋" w:hAnsi="仿宋" w:eastAsia="仿宋"/>
          <w:sz w:val="24"/>
          <w:szCs w:val="24"/>
        </w:rPr>
        <w:t>41</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"_Toc61100229" </w:instrText>
      </w:r>
      <w:r>
        <w:fldChar w:fldCharType="separate"/>
      </w:r>
      <w:r>
        <w:rPr>
          <w:rStyle w:val="48"/>
          <w:rFonts w:ascii="仿宋" w:hAnsi="仿宋" w:eastAsia="仿宋" w:cs="Times New Roman"/>
          <w:sz w:val="24"/>
          <w:szCs w:val="24"/>
        </w:rPr>
        <w:t>5.1.2</w:t>
      </w:r>
      <w:r>
        <w:rPr>
          <w:rStyle w:val="48"/>
          <w:rFonts w:hint="eastAsia" w:ascii="仿宋" w:hAnsi="仿宋" w:eastAsia="仿宋" w:cs="Times New Roman"/>
          <w:sz w:val="24"/>
          <w:szCs w:val="24"/>
        </w:rPr>
        <w:t>线下营销</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_Toc61100229 \h </w:instrText>
      </w:r>
      <w:r>
        <w:rPr>
          <w:rFonts w:ascii="仿宋" w:hAnsi="仿宋" w:eastAsia="仿宋"/>
          <w:sz w:val="24"/>
          <w:szCs w:val="24"/>
        </w:rPr>
        <w:fldChar w:fldCharType="separate"/>
      </w:r>
      <w:r>
        <w:rPr>
          <w:rFonts w:ascii="仿宋" w:hAnsi="仿宋" w:eastAsia="仿宋"/>
          <w:sz w:val="24"/>
          <w:szCs w:val="24"/>
        </w:rPr>
        <w:t>42</w:t>
      </w:r>
      <w:r>
        <w:rPr>
          <w:rFonts w:ascii="仿宋" w:hAnsi="仿宋" w:eastAsia="仿宋"/>
          <w:sz w:val="24"/>
          <w:szCs w:val="24"/>
        </w:rPr>
        <w:fldChar w:fldCharType="end"/>
      </w:r>
      <w:r>
        <w:rPr>
          <w:rFonts w:ascii="仿宋" w:hAnsi="仿宋" w:eastAsia="仿宋"/>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"_Toc61100230" </w:instrText>
      </w:r>
      <w:r>
        <w:fldChar w:fldCharType="separate"/>
      </w:r>
      <w:r>
        <w:rPr>
          <w:rStyle w:val="48"/>
          <w:rFonts w:ascii="黑体" w:hAnsi="黑体"/>
          <w:sz w:val="24"/>
          <w:szCs w:val="24"/>
        </w:rPr>
        <w:t>5.2</w:t>
      </w:r>
      <w:r>
        <w:rPr>
          <w:rStyle w:val="48"/>
          <w:rFonts w:hint="eastAsia" w:ascii="黑体" w:hAnsi="黑体"/>
          <w:sz w:val="24"/>
          <w:szCs w:val="24"/>
        </w:rPr>
        <w:t>中后期营销策略</w:t>
      </w:r>
      <w:r>
        <w:rPr>
          <w:sz w:val="24"/>
          <w:szCs w:val="24"/>
        </w:rPr>
        <w:tab/>
      </w:r>
      <w:r>
        <w:rPr>
          <w:sz w:val="24"/>
          <w:szCs w:val="24"/>
        </w:rPr>
        <w:fldChar w:fldCharType="begin"/>
      </w:r>
      <w:r>
        <w:rPr>
          <w:sz w:val="24"/>
          <w:szCs w:val="24"/>
        </w:rPr>
        <w:instrText xml:space="preserve"> PAGEREF _Toc61100230 \h </w:instrText>
      </w:r>
      <w:r>
        <w:rPr>
          <w:sz w:val="24"/>
          <w:szCs w:val="24"/>
        </w:rPr>
        <w:fldChar w:fldCharType="separate"/>
      </w:r>
      <w:r>
        <w:rPr>
          <w:sz w:val="24"/>
          <w:szCs w:val="24"/>
        </w:rPr>
        <w:t>43</w:t>
      </w:r>
      <w:r>
        <w:rPr>
          <w:sz w:val="24"/>
          <w:szCs w:val="24"/>
        </w:rPr>
        <w:fldChar w:fldCharType="end"/>
      </w:r>
      <w:r>
        <w:rPr>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"_Toc61100231" </w:instrText>
      </w:r>
      <w:r>
        <w:fldChar w:fldCharType="separate"/>
      </w:r>
      <w:r>
        <w:rPr>
          <w:rStyle w:val="48"/>
          <w:rFonts w:ascii="仿宋" w:hAnsi="仿宋" w:eastAsia="仿宋" w:cs="Times New Roman"/>
          <w:sz w:val="24"/>
          <w:szCs w:val="24"/>
        </w:rPr>
        <w:t>5.2.1</w:t>
      </w:r>
      <w:r>
        <w:rPr>
          <w:rStyle w:val="48"/>
          <w:rFonts w:hint="eastAsia" w:ascii="仿宋" w:hAnsi="仿宋" w:eastAsia="仿宋" w:cs="Times New Roman"/>
          <w:sz w:val="24"/>
          <w:szCs w:val="24"/>
        </w:rPr>
        <w:t>线上营销</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_Toc61100231 \h </w:instrText>
      </w:r>
      <w:r>
        <w:rPr>
          <w:rFonts w:ascii="仿宋" w:hAnsi="仿宋" w:eastAsia="仿宋"/>
          <w:sz w:val="24"/>
          <w:szCs w:val="24"/>
        </w:rPr>
        <w:fldChar w:fldCharType="separate"/>
      </w:r>
      <w:r>
        <w:rPr>
          <w:rFonts w:ascii="仿宋" w:hAnsi="仿宋" w:eastAsia="仿宋"/>
          <w:sz w:val="24"/>
          <w:szCs w:val="24"/>
        </w:rPr>
        <w:t>43</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"_Toc61100232" </w:instrText>
      </w:r>
      <w:r>
        <w:fldChar w:fldCharType="separate"/>
      </w:r>
      <w:r>
        <w:rPr>
          <w:rStyle w:val="48"/>
          <w:rFonts w:ascii="仿宋" w:hAnsi="仿宋" w:eastAsia="仿宋" w:cs="Times New Roman"/>
          <w:sz w:val="24"/>
          <w:szCs w:val="24"/>
        </w:rPr>
        <w:t>5.2.2</w:t>
      </w:r>
      <w:r>
        <w:rPr>
          <w:rStyle w:val="48"/>
          <w:rFonts w:hint="eastAsia" w:ascii="仿宋" w:hAnsi="仿宋" w:eastAsia="仿宋" w:cs="Times New Roman"/>
          <w:sz w:val="24"/>
          <w:szCs w:val="24"/>
        </w:rPr>
        <w:t>线下营销</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_Toc61100232 \h </w:instrText>
      </w:r>
      <w:r>
        <w:rPr>
          <w:rFonts w:ascii="仿宋" w:hAnsi="仿宋" w:eastAsia="仿宋"/>
          <w:sz w:val="24"/>
          <w:szCs w:val="24"/>
        </w:rPr>
        <w:fldChar w:fldCharType="separate"/>
      </w:r>
      <w:r>
        <w:rPr>
          <w:rFonts w:ascii="仿宋" w:hAnsi="仿宋" w:eastAsia="仿宋"/>
          <w:sz w:val="24"/>
          <w:szCs w:val="24"/>
        </w:rPr>
        <w:t>43</w:t>
      </w:r>
      <w:r>
        <w:rPr>
          <w:rFonts w:ascii="仿宋" w:hAnsi="仿宋" w:eastAsia="仿宋"/>
          <w:sz w:val="24"/>
          <w:szCs w:val="24"/>
        </w:rPr>
        <w:fldChar w:fldCharType="end"/>
      </w:r>
      <w:r>
        <w:rPr>
          <w:rFonts w:ascii="仿宋" w:hAnsi="仿宋" w:eastAsia="仿宋"/>
          <w:sz w:val="24"/>
          <w:szCs w:val="24"/>
        </w:rPr>
        <w:fldChar w:fldCharType="end"/>
      </w:r>
    </w:p>
    <w:p>
      <w:pPr>
        <w:pStyle w:val="15"/>
        <w:tabs>
          <w:tab w:val="right" w:leader="dot" w:pos="8296"/>
        </w:tabs>
        <w:spacing w:line="300" w:lineRule="auto"/>
        <w:ind w:firstLine="480"/>
        <w:rPr>
          <w:rFonts w:asciiTheme="minorHAnsi" w:hAnsiTheme="minorHAnsi" w:eastAsiaTheme="minorEastAsia"/>
          <w:sz w:val="24"/>
          <w:szCs w:val="24"/>
        </w:rPr>
      </w:pPr>
      <w:r>
        <w:fldChar w:fldCharType="begin"/>
      </w:r>
      <w:r>
        <w:instrText xml:space="preserve"> HYPERLINK \l "_Toc61100233" </w:instrText>
      </w:r>
      <w:r>
        <w:fldChar w:fldCharType="separate"/>
      </w:r>
      <w:r>
        <w:rPr>
          <w:rStyle w:val="48"/>
          <w:rFonts w:hint="eastAsia" w:ascii="黑体" w:hAnsi="黑体" w:eastAsia="黑体"/>
          <w:sz w:val="24"/>
          <w:szCs w:val="24"/>
        </w:rPr>
        <w:t>第六章</w:t>
      </w:r>
      <w:r>
        <w:rPr>
          <w:rStyle w:val="48"/>
          <w:rFonts w:ascii="黑体" w:hAnsi="黑体" w:eastAsia="黑体"/>
          <w:sz w:val="24"/>
          <w:szCs w:val="24"/>
        </w:rPr>
        <w:t xml:space="preserve"> </w:t>
      </w:r>
      <w:r>
        <w:rPr>
          <w:rStyle w:val="48"/>
          <w:rFonts w:hint="eastAsia" w:ascii="黑体" w:hAnsi="黑体" w:eastAsia="黑体"/>
          <w:sz w:val="24"/>
          <w:szCs w:val="24"/>
        </w:rPr>
        <w:t>公司管理</w:t>
      </w:r>
      <w:r>
        <w:rPr>
          <w:sz w:val="24"/>
          <w:szCs w:val="24"/>
        </w:rPr>
        <w:tab/>
      </w:r>
      <w:r>
        <w:rPr>
          <w:sz w:val="24"/>
          <w:szCs w:val="24"/>
        </w:rPr>
        <w:fldChar w:fldCharType="begin"/>
      </w:r>
      <w:r>
        <w:rPr>
          <w:sz w:val="24"/>
          <w:szCs w:val="24"/>
        </w:rPr>
        <w:instrText xml:space="preserve"> PAGEREF _Toc61100233 \h </w:instrText>
      </w:r>
      <w:r>
        <w:rPr>
          <w:sz w:val="24"/>
          <w:szCs w:val="24"/>
        </w:rPr>
        <w:fldChar w:fldCharType="separate"/>
      </w:r>
      <w:r>
        <w:rPr>
          <w:sz w:val="24"/>
          <w:szCs w:val="24"/>
        </w:rPr>
        <w:t>46</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"_Toc61100234" </w:instrText>
      </w:r>
      <w:r>
        <w:fldChar w:fldCharType="separate"/>
      </w:r>
      <w:r>
        <w:rPr>
          <w:rStyle w:val="48"/>
          <w:rFonts w:ascii="黑体" w:hAnsi="黑体"/>
          <w:sz w:val="24"/>
          <w:szCs w:val="24"/>
        </w:rPr>
        <w:t>6.1</w:t>
      </w:r>
      <w:r>
        <w:rPr>
          <w:rStyle w:val="48"/>
          <w:rFonts w:hint="eastAsia" w:ascii="黑体" w:hAnsi="黑体"/>
          <w:sz w:val="24"/>
          <w:szCs w:val="24"/>
        </w:rPr>
        <w:t>组织架构</w:t>
      </w:r>
      <w:r>
        <w:rPr>
          <w:sz w:val="24"/>
          <w:szCs w:val="24"/>
        </w:rPr>
        <w:tab/>
      </w:r>
      <w:r>
        <w:rPr>
          <w:sz w:val="24"/>
          <w:szCs w:val="24"/>
        </w:rPr>
        <w:fldChar w:fldCharType="begin"/>
      </w:r>
      <w:r>
        <w:rPr>
          <w:sz w:val="24"/>
          <w:szCs w:val="24"/>
        </w:rPr>
        <w:instrText xml:space="preserve"> PAGEREF _Toc61100234 \h </w:instrText>
      </w:r>
      <w:r>
        <w:rPr>
          <w:sz w:val="24"/>
          <w:szCs w:val="24"/>
        </w:rPr>
        <w:fldChar w:fldCharType="separate"/>
      </w:r>
      <w:r>
        <w:rPr>
          <w:sz w:val="24"/>
          <w:szCs w:val="24"/>
        </w:rPr>
        <w:t>46</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"_Toc61100235" </w:instrText>
      </w:r>
      <w:r>
        <w:fldChar w:fldCharType="separate"/>
      </w:r>
      <w:r>
        <w:rPr>
          <w:rStyle w:val="48"/>
          <w:rFonts w:ascii="黑体" w:hAnsi="黑体"/>
          <w:sz w:val="24"/>
          <w:szCs w:val="24"/>
        </w:rPr>
        <w:t>6.2</w:t>
      </w:r>
      <w:r>
        <w:rPr>
          <w:rStyle w:val="48"/>
          <w:rFonts w:hint="eastAsia" w:ascii="黑体" w:hAnsi="黑体"/>
          <w:sz w:val="24"/>
          <w:szCs w:val="24"/>
        </w:rPr>
        <w:t>管理体系建设</w:t>
      </w:r>
      <w:r>
        <w:rPr>
          <w:sz w:val="24"/>
          <w:szCs w:val="24"/>
        </w:rPr>
        <w:tab/>
      </w:r>
      <w:r>
        <w:rPr>
          <w:sz w:val="24"/>
          <w:szCs w:val="24"/>
        </w:rPr>
        <w:fldChar w:fldCharType="begin"/>
      </w:r>
      <w:r>
        <w:rPr>
          <w:sz w:val="24"/>
          <w:szCs w:val="24"/>
        </w:rPr>
        <w:instrText xml:space="preserve"> PAGEREF _Toc61100235 \h </w:instrText>
      </w:r>
      <w:r>
        <w:rPr>
          <w:sz w:val="24"/>
          <w:szCs w:val="24"/>
        </w:rPr>
        <w:fldChar w:fldCharType="separate"/>
      </w:r>
      <w:r>
        <w:rPr>
          <w:sz w:val="24"/>
          <w:szCs w:val="24"/>
        </w:rPr>
        <w:t>46</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"_Toc61100236" </w:instrText>
      </w:r>
      <w:r>
        <w:fldChar w:fldCharType="separate"/>
      </w:r>
      <w:r>
        <w:rPr>
          <w:rStyle w:val="48"/>
          <w:rFonts w:ascii="黑体" w:hAnsi="黑体"/>
          <w:sz w:val="24"/>
          <w:szCs w:val="24"/>
        </w:rPr>
        <w:t>6.3</w:t>
      </w:r>
      <w:r>
        <w:rPr>
          <w:rStyle w:val="48"/>
          <w:rFonts w:hint="eastAsia" w:ascii="黑体" w:hAnsi="黑体"/>
          <w:sz w:val="24"/>
          <w:szCs w:val="24"/>
        </w:rPr>
        <w:t>人力资源管理</w:t>
      </w:r>
      <w:r>
        <w:rPr>
          <w:sz w:val="24"/>
          <w:szCs w:val="24"/>
        </w:rPr>
        <w:tab/>
      </w:r>
      <w:r>
        <w:rPr>
          <w:sz w:val="24"/>
          <w:szCs w:val="24"/>
        </w:rPr>
        <w:fldChar w:fldCharType="begin"/>
      </w:r>
      <w:r>
        <w:rPr>
          <w:sz w:val="24"/>
          <w:szCs w:val="24"/>
        </w:rPr>
        <w:instrText xml:space="preserve"> PAGEREF _Toc61100236 \h </w:instrText>
      </w:r>
      <w:r>
        <w:rPr>
          <w:sz w:val="24"/>
          <w:szCs w:val="24"/>
        </w:rPr>
        <w:fldChar w:fldCharType="separate"/>
      </w:r>
      <w:r>
        <w:rPr>
          <w:sz w:val="24"/>
          <w:szCs w:val="24"/>
        </w:rPr>
        <w:t>46</w:t>
      </w:r>
      <w:r>
        <w:rPr>
          <w:sz w:val="24"/>
          <w:szCs w:val="24"/>
        </w:rPr>
        <w:fldChar w:fldCharType="end"/>
      </w:r>
      <w:r>
        <w:rPr>
          <w:sz w:val="24"/>
          <w:szCs w:val="24"/>
        </w:rPr>
        <w:fldChar w:fldCharType="end"/>
      </w:r>
    </w:p>
    <w:p>
      <w:pPr>
        <w:pStyle w:val="15"/>
        <w:tabs>
          <w:tab w:val="right" w:leader="dot" w:pos="8296"/>
        </w:tabs>
        <w:spacing w:line="300" w:lineRule="auto"/>
        <w:ind w:firstLine="480"/>
        <w:rPr>
          <w:rFonts w:asciiTheme="minorHAnsi" w:hAnsiTheme="minorHAnsi" w:eastAsiaTheme="minorEastAsia"/>
          <w:sz w:val="24"/>
          <w:szCs w:val="24"/>
        </w:rPr>
      </w:pPr>
      <w:r>
        <w:fldChar w:fldCharType="begin"/>
      </w:r>
      <w:r>
        <w:instrText xml:space="preserve"> HYPERLINK \l "_Toc61100243" </w:instrText>
      </w:r>
      <w:r>
        <w:fldChar w:fldCharType="separate"/>
      </w:r>
      <w:r>
        <w:rPr>
          <w:rStyle w:val="48"/>
          <w:rFonts w:hint="eastAsia" w:ascii="黑体" w:hAnsi="黑体" w:eastAsia="黑体"/>
          <w:sz w:val="24"/>
          <w:szCs w:val="24"/>
        </w:rPr>
        <w:t>第七章</w:t>
      </w:r>
      <w:r>
        <w:rPr>
          <w:rStyle w:val="48"/>
          <w:rFonts w:ascii="黑体" w:hAnsi="黑体" w:eastAsia="黑体"/>
          <w:sz w:val="24"/>
          <w:szCs w:val="24"/>
        </w:rPr>
        <w:t xml:space="preserve"> </w:t>
      </w:r>
      <w:r>
        <w:rPr>
          <w:rStyle w:val="48"/>
          <w:rFonts w:hint="eastAsia" w:ascii="黑体" w:hAnsi="黑体" w:eastAsia="黑体"/>
          <w:sz w:val="24"/>
          <w:szCs w:val="24"/>
        </w:rPr>
        <w:t>投资分析</w:t>
      </w:r>
      <w:r>
        <w:rPr>
          <w:sz w:val="24"/>
          <w:szCs w:val="24"/>
        </w:rPr>
        <w:tab/>
      </w:r>
      <w:r>
        <w:rPr>
          <w:sz w:val="24"/>
          <w:szCs w:val="24"/>
        </w:rPr>
        <w:fldChar w:fldCharType="begin"/>
      </w:r>
      <w:r>
        <w:rPr>
          <w:sz w:val="24"/>
          <w:szCs w:val="24"/>
        </w:rPr>
        <w:instrText xml:space="preserve"> PAGEREF _Toc61100243 \h </w:instrText>
      </w:r>
      <w:r>
        <w:rPr>
          <w:sz w:val="24"/>
          <w:szCs w:val="24"/>
        </w:rPr>
        <w:fldChar w:fldCharType="separate"/>
      </w:r>
      <w:r>
        <w:rPr>
          <w:sz w:val="24"/>
          <w:szCs w:val="24"/>
        </w:rPr>
        <w:t>52</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"_Toc61100244" </w:instrText>
      </w:r>
      <w:r>
        <w:fldChar w:fldCharType="separate"/>
      </w:r>
      <w:r>
        <w:rPr>
          <w:rStyle w:val="48"/>
          <w:rFonts w:ascii="黑体" w:hAnsi="黑体"/>
          <w:sz w:val="24"/>
          <w:szCs w:val="24"/>
        </w:rPr>
        <w:t>7.1</w:t>
      </w:r>
      <w:r>
        <w:rPr>
          <w:rStyle w:val="48"/>
          <w:rFonts w:hint="eastAsia" w:ascii="黑体" w:hAnsi="黑体"/>
          <w:sz w:val="24"/>
          <w:szCs w:val="24"/>
        </w:rPr>
        <w:t>公司资本结构</w:t>
      </w:r>
      <w:r>
        <w:rPr>
          <w:sz w:val="24"/>
          <w:szCs w:val="24"/>
        </w:rPr>
        <w:tab/>
      </w:r>
      <w:r>
        <w:rPr>
          <w:sz w:val="24"/>
          <w:szCs w:val="24"/>
        </w:rPr>
        <w:fldChar w:fldCharType="begin"/>
      </w:r>
      <w:r>
        <w:rPr>
          <w:sz w:val="24"/>
          <w:szCs w:val="24"/>
        </w:rPr>
        <w:instrText xml:space="preserve"> PAGEREF _Toc61100244 \h </w:instrText>
      </w:r>
      <w:r>
        <w:rPr>
          <w:sz w:val="24"/>
          <w:szCs w:val="24"/>
        </w:rPr>
        <w:fldChar w:fldCharType="separate"/>
      </w:r>
      <w:r>
        <w:rPr>
          <w:sz w:val="24"/>
          <w:szCs w:val="24"/>
        </w:rPr>
        <w:t>52</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"_Toc61100245" </w:instrText>
      </w:r>
      <w:r>
        <w:fldChar w:fldCharType="separate"/>
      </w:r>
      <w:r>
        <w:rPr>
          <w:rStyle w:val="48"/>
          <w:rFonts w:ascii="黑体" w:hAnsi="黑体"/>
          <w:sz w:val="24"/>
          <w:szCs w:val="24"/>
        </w:rPr>
        <w:t>7.2</w:t>
      </w:r>
      <w:r>
        <w:rPr>
          <w:rStyle w:val="48"/>
          <w:rFonts w:hint="eastAsia" w:ascii="黑体" w:hAnsi="黑体"/>
          <w:sz w:val="24"/>
          <w:szCs w:val="24"/>
        </w:rPr>
        <w:t>资金筹措</w:t>
      </w:r>
      <w:r>
        <w:rPr>
          <w:sz w:val="24"/>
          <w:szCs w:val="24"/>
        </w:rPr>
        <w:tab/>
      </w:r>
      <w:r>
        <w:rPr>
          <w:sz w:val="24"/>
          <w:szCs w:val="24"/>
        </w:rPr>
        <w:fldChar w:fldCharType="begin"/>
      </w:r>
      <w:r>
        <w:rPr>
          <w:sz w:val="24"/>
          <w:szCs w:val="24"/>
        </w:rPr>
        <w:instrText xml:space="preserve"> PAGEREF _Toc61100245 \h </w:instrText>
      </w:r>
      <w:r>
        <w:rPr>
          <w:sz w:val="24"/>
          <w:szCs w:val="24"/>
        </w:rPr>
        <w:fldChar w:fldCharType="separate"/>
      </w:r>
      <w:r>
        <w:rPr>
          <w:sz w:val="24"/>
          <w:szCs w:val="24"/>
        </w:rPr>
        <w:t>52</w:t>
      </w:r>
      <w:r>
        <w:rPr>
          <w:sz w:val="24"/>
          <w:szCs w:val="24"/>
        </w:rPr>
        <w:fldChar w:fldCharType="end"/>
      </w:r>
      <w:r>
        <w:rPr>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"_Toc61100246" </w:instrText>
      </w:r>
      <w:r>
        <w:fldChar w:fldCharType="separate"/>
      </w:r>
      <w:r>
        <w:rPr>
          <w:rStyle w:val="48"/>
          <w:rFonts w:ascii="仿宋" w:hAnsi="仿宋" w:eastAsia="仿宋" w:cs="Times New Roman"/>
          <w:sz w:val="24"/>
          <w:szCs w:val="24"/>
        </w:rPr>
        <w:t>7.2.1</w:t>
      </w:r>
      <w:r>
        <w:rPr>
          <w:rStyle w:val="48"/>
          <w:rFonts w:hint="eastAsia" w:ascii="仿宋" w:hAnsi="仿宋" w:eastAsia="仿宋" w:cs="Times New Roman"/>
          <w:sz w:val="24"/>
          <w:szCs w:val="24"/>
        </w:rPr>
        <w:t>前期资金筹措</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_Toc61100246 \h </w:instrText>
      </w:r>
      <w:r>
        <w:rPr>
          <w:rFonts w:ascii="仿宋" w:hAnsi="仿宋" w:eastAsia="仿宋"/>
          <w:sz w:val="24"/>
          <w:szCs w:val="24"/>
        </w:rPr>
        <w:fldChar w:fldCharType="separate"/>
      </w:r>
      <w:r>
        <w:rPr>
          <w:rFonts w:ascii="仿宋" w:hAnsi="仿宋" w:eastAsia="仿宋"/>
          <w:sz w:val="24"/>
          <w:szCs w:val="24"/>
        </w:rPr>
        <w:t>52</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"_Toc61100247" </w:instrText>
      </w:r>
      <w:r>
        <w:fldChar w:fldCharType="separate"/>
      </w:r>
      <w:r>
        <w:rPr>
          <w:rStyle w:val="48"/>
          <w:rFonts w:ascii="仿宋" w:hAnsi="仿宋" w:eastAsia="仿宋" w:cs="Times New Roman"/>
          <w:sz w:val="24"/>
          <w:szCs w:val="24"/>
        </w:rPr>
        <w:t>7.2.2</w:t>
      </w:r>
      <w:r>
        <w:rPr>
          <w:rStyle w:val="48"/>
          <w:rFonts w:hint="eastAsia" w:ascii="仿宋" w:hAnsi="仿宋" w:eastAsia="仿宋" w:cs="Times New Roman"/>
          <w:sz w:val="24"/>
          <w:szCs w:val="24"/>
        </w:rPr>
        <w:t>中后期资金筹措</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_Toc61100247 \h </w:instrText>
      </w:r>
      <w:r>
        <w:rPr>
          <w:rFonts w:ascii="仿宋" w:hAnsi="仿宋" w:eastAsia="仿宋"/>
          <w:sz w:val="24"/>
          <w:szCs w:val="24"/>
        </w:rPr>
        <w:fldChar w:fldCharType="separate"/>
      </w:r>
      <w:r>
        <w:rPr>
          <w:rFonts w:ascii="仿宋" w:hAnsi="仿宋" w:eastAsia="仿宋"/>
          <w:sz w:val="24"/>
          <w:szCs w:val="24"/>
        </w:rPr>
        <w:t>53</w:t>
      </w:r>
      <w:r>
        <w:rPr>
          <w:rFonts w:ascii="仿宋" w:hAnsi="仿宋" w:eastAsia="仿宋"/>
          <w:sz w:val="24"/>
          <w:szCs w:val="24"/>
        </w:rPr>
        <w:fldChar w:fldCharType="end"/>
      </w:r>
      <w:r>
        <w:rPr>
          <w:rFonts w:ascii="仿宋" w:hAnsi="仿宋" w:eastAsia="仿宋"/>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"_Toc61100248" </w:instrText>
      </w:r>
      <w:r>
        <w:fldChar w:fldCharType="separate"/>
      </w:r>
      <w:r>
        <w:rPr>
          <w:rStyle w:val="48"/>
          <w:rFonts w:ascii="黑体" w:hAnsi="黑体"/>
          <w:sz w:val="24"/>
          <w:szCs w:val="24"/>
        </w:rPr>
        <w:t>7.3</w:t>
      </w:r>
      <w:r>
        <w:rPr>
          <w:rStyle w:val="48"/>
          <w:rFonts w:hint="eastAsia" w:ascii="黑体" w:hAnsi="黑体"/>
          <w:sz w:val="24"/>
          <w:szCs w:val="24"/>
        </w:rPr>
        <w:t>资金应用</w:t>
      </w:r>
      <w:r>
        <w:rPr>
          <w:sz w:val="24"/>
          <w:szCs w:val="24"/>
        </w:rPr>
        <w:tab/>
      </w:r>
      <w:r>
        <w:rPr>
          <w:sz w:val="24"/>
          <w:szCs w:val="24"/>
        </w:rPr>
        <w:fldChar w:fldCharType="begin"/>
      </w:r>
      <w:r>
        <w:rPr>
          <w:sz w:val="24"/>
          <w:szCs w:val="24"/>
        </w:rPr>
        <w:instrText xml:space="preserve"> PAGEREF _Toc61100248 \h </w:instrText>
      </w:r>
      <w:r>
        <w:rPr>
          <w:sz w:val="24"/>
          <w:szCs w:val="24"/>
        </w:rPr>
        <w:fldChar w:fldCharType="separate"/>
      </w:r>
      <w:r>
        <w:rPr>
          <w:sz w:val="24"/>
          <w:szCs w:val="24"/>
        </w:rPr>
        <w:t>53</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"_Toc61100249" </w:instrText>
      </w:r>
      <w:r>
        <w:fldChar w:fldCharType="separate"/>
      </w:r>
      <w:r>
        <w:rPr>
          <w:rStyle w:val="48"/>
          <w:rFonts w:ascii="黑体" w:hAnsi="黑体"/>
          <w:sz w:val="24"/>
          <w:szCs w:val="24"/>
        </w:rPr>
        <w:t>7.4</w:t>
      </w:r>
      <w:r>
        <w:rPr>
          <w:rStyle w:val="48"/>
          <w:rFonts w:hint="eastAsia" w:ascii="黑体" w:hAnsi="黑体"/>
          <w:sz w:val="24"/>
          <w:szCs w:val="24"/>
        </w:rPr>
        <w:t>资金应用</w:t>
      </w:r>
      <w:r>
        <w:rPr>
          <w:sz w:val="24"/>
          <w:szCs w:val="24"/>
        </w:rPr>
        <w:tab/>
      </w:r>
      <w:r>
        <w:rPr>
          <w:sz w:val="24"/>
          <w:szCs w:val="24"/>
        </w:rPr>
        <w:fldChar w:fldCharType="begin"/>
      </w:r>
      <w:r>
        <w:rPr>
          <w:sz w:val="24"/>
          <w:szCs w:val="24"/>
        </w:rPr>
        <w:instrText xml:space="preserve"> PAGEREF _Toc61100249 \h </w:instrText>
      </w:r>
      <w:r>
        <w:rPr>
          <w:sz w:val="24"/>
          <w:szCs w:val="24"/>
        </w:rPr>
        <w:fldChar w:fldCharType="separate"/>
      </w:r>
      <w:r>
        <w:rPr>
          <w:sz w:val="24"/>
          <w:szCs w:val="24"/>
        </w:rPr>
        <w:t>54</w:t>
      </w:r>
      <w:r>
        <w:rPr>
          <w:sz w:val="24"/>
          <w:szCs w:val="24"/>
        </w:rPr>
        <w:fldChar w:fldCharType="end"/>
      </w:r>
      <w:r>
        <w:rPr>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"_Toc61100250" </w:instrText>
      </w:r>
      <w:r>
        <w:fldChar w:fldCharType="separate"/>
      </w:r>
      <w:r>
        <w:rPr>
          <w:rStyle w:val="48"/>
          <w:rFonts w:ascii="仿宋" w:hAnsi="仿宋" w:eastAsia="仿宋" w:cs="Times New Roman"/>
          <w:sz w:val="24"/>
          <w:szCs w:val="24"/>
        </w:rPr>
        <w:t>7.4.1</w:t>
      </w:r>
      <w:r>
        <w:rPr>
          <w:rStyle w:val="48"/>
          <w:rFonts w:hint="eastAsia" w:ascii="仿宋" w:hAnsi="仿宋" w:eastAsia="仿宋" w:cs="Times New Roman"/>
          <w:sz w:val="24"/>
          <w:szCs w:val="24"/>
        </w:rPr>
        <w:t>投资净现值</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_Toc61100250 \h </w:instrText>
      </w:r>
      <w:r>
        <w:rPr>
          <w:rFonts w:ascii="仿宋" w:hAnsi="仿宋" w:eastAsia="仿宋"/>
          <w:sz w:val="24"/>
          <w:szCs w:val="24"/>
        </w:rPr>
        <w:fldChar w:fldCharType="separate"/>
      </w:r>
      <w:r>
        <w:rPr>
          <w:rFonts w:ascii="仿宋" w:hAnsi="仿宋" w:eastAsia="仿宋"/>
          <w:sz w:val="24"/>
          <w:szCs w:val="24"/>
        </w:rPr>
        <w:t>54</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"_Toc61100251" </w:instrText>
      </w:r>
      <w:r>
        <w:fldChar w:fldCharType="separate"/>
      </w:r>
      <w:r>
        <w:rPr>
          <w:rStyle w:val="48"/>
          <w:rFonts w:ascii="仿宋" w:hAnsi="仿宋" w:eastAsia="仿宋" w:cs="Times New Roman"/>
          <w:sz w:val="24"/>
          <w:szCs w:val="24"/>
        </w:rPr>
        <w:t>7.4.2</w:t>
      </w:r>
      <w:r>
        <w:rPr>
          <w:rStyle w:val="48"/>
          <w:rFonts w:hint="eastAsia" w:ascii="仿宋" w:hAnsi="仿宋" w:eastAsia="仿宋" w:cs="Times New Roman"/>
          <w:sz w:val="24"/>
          <w:szCs w:val="24"/>
        </w:rPr>
        <w:t>投资内部报酬率</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_Toc61100251 \h </w:instrText>
      </w:r>
      <w:r>
        <w:rPr>
          <w:rFonts w:ascii="仿宋" w:hAnsi="仿宋" w:eastAsia="仿宋"/>
          <w:sz w:val="24"/>
          <w:szCs w:val="24"/>
        </w:rPr>
        <w:fldChar w:fldCharType="separate"/>
      </w:r>
      <w:r>
        <w:rPr>
          <w:rFonts w:ascii="仿宋" w:hAnsi="仿宋" w:eastAsia="仿宋"/>
          <w:sz w:val="24"/>
          <w:szCs w:val="24"/>
        </w:rPr>
        <w:t>54</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"_Toc61100252" </w:instrText>
      </w:r>
      <w:r>
        <w:fldChar w:fldCharType="separate"/>
      </w:r>
      <w:r>
        <w:rPr>
          <w:rStyle w:val="48"/>
          <w:rFonts w:ascii="仿宋" w:hAnsi="仿宋" w:eastAsia="仿宋" w:cs="Times New Roman"/>
          <w:sz w:val="24"/>
          <w:szCs w:val="24"/>
        </w:rPr>
        <w:t>7.4.3</w:t>
      </w:r>
      <w:r>
        <w:rPr>
          <w:rStyle w:val="48"/>
          <w:rFonts w:hint="eastAsia" w:ascii="仿宋" w:hAnsi="仿宋" w:eastAsia="仿宋" w:cs="Times New Roman"/>
          <w:sz w:val="24"/>
          <w:szCs w:val="24"/>
        </w:rPr>
        <w:t>投资回收期</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_Toc61100252 \h </w:instrText>
      </w:r>
      <w:r>
        <w:rPr>
          <w:rFonts w:ascii="仿宋" w:hAnsi="仿宋" w:eastAsia="仿宋"/>
          <w:sz w:val="24"/>
          <w:szCs w:val="24"/>
        </w:rPr>
        <w:fldChar w:fldCharType="separate"/>
      </w:r>
      <w:r>
        <w:rPr>
          <w:rFonts w:ascii="仿宋" w:hAnsi="仿宋" w:eastAsia="仿宋"/>
          <w:sz w:val="24"/>
          <w:szCs w:val="24"/>
        </w:rPr>
        <w:t>54</w:t>
      </w:r>
      <w:r>
        <w:rPr>
          <w:rFonts w:ascii="仿宋" w:hAnsi="仿宋" w:eastAsia="仿宋"/>
          <w:sz w:val="24"/>
          <w:szCs w:val="24"/>
        </w:rPr>
        <w:fldChar w:fldCharType="end"/>
      </w:r>
      <w:r>
        <w:rPr>
          <w:rFonts w:ascii="仿宋" w:hAnsi="仿宋" w:eastAsia="仿宋"/>
          <w:sz w:val="24"/>
          <w:szCs w:val="24"/>
        </w:rPr>
        <w:fldChar w:fldCharType="end"/>
      </w:r>
    </w:p>
    <w:p>
      <w:pPr>
        <w:pStyle w:val="15"/>
        <w:tabs>
          <w:tab w:val="right" w:leader="dot" w:pos="8296"/>
        </w:tabs>
        <w:spacing w:line="300" w:lineRule="auto"/>
        <w:ind w:firstLine="480"/>
        <w:rPr>
          <w:rFonts w:asciiTheme="minorHAnsi" w:hAnsiTheme="minorHAnsi" w:eastAsiaTheme="minorEastAsia"/>
          <w:sz w:val="24"/>
          <w:szCs w:val="24"/>
        </w:rPr>
      </w:pPr>
      <w:r>
        <w:fldChar w:fldCharType="begin"/>
      </w:r>
      <w:r>
        <w:instrText xml:space="preserve"> HYPERLINK \l "_Toc61100253" </w:instrText>
      </w:r>
      <w:r>
        <w:fldChar w:fldCharType="separate"/>
      </w:r>
      <w:r>
        <w:rPr>
          <w:rStyle w:val="48"/>
          <w:rFonts w:hint="eastAsia" w:ascii="黑体" w:hAnsi="黑体" w:eastAsia="黑体"/>
          <w:sz w:val="24"/>
          <w:szCs w:val="24"/>
        </w:rPr>
        <w:t>第八章</w:t>
      </w:r>
      <w:r>
        <w:rPr>
          <w:rStyle w:val="48"/>
          <w:rFonts w:ascii="黑体" w:hAnsi="黑体" w:eastAsia="黑体"/>
          <w:sz w:val="24"/>
          <w:szCs w:val="24"/>
        </w:rPr>
        <w:t xml:space="preserve"> </w:t>
      </w:r>
      <w:r>
        <w:rPr>
          <w:rStyle w:val="48"/>
          <w:rFonts w:hint="eastAsia" w:ascii="黑体" w:hAnsi="黑体" w:eastAsia="黑体"/>
          <w:sz w:val="24"/>
          <w:szCs w:val="24"/>
        </w:rPr>
        <w:t>财务预测与分析</w:t>
      </w:r>
      <w:r>
        <w:rPr>
          <w:sz w:val="24"/>
          <w:szCs w:val="24"/>
        </w:rPr>
        <w:tab/>
      </w:r>
      <w:r>
        <w:rPr>
          <w:sz w:val="24"/>
          <w:szCs w:val="24"/>
        </w:rPr>
        <w:fldChar w:fldCharType="begin"/>
      </w:r>
      <w:r>
        <w:rPr>
          <w:sz w:val="24"/>
          <w:szCs w:val="24"/>
        </w:rPr>
        <w:instrText xml:space="preserve"> PAGEREF _Toc61100253 \h </w:instrText>
      </w:r>
      <w:r>
        <w:rPr>
          <w:sz w:val="24"/>
          <w:szCs w:val="24"/>
        </w:rPr>
        <w:fldChar w:fldCharType="separate"/>
      </w:r>
      <w:r>
        <w:rPr>
          <w:sz w:val="24"/>
          <w:szCs w:val="24"/>
        </w:rPr>
        <w:t>55</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"_Toc61100254" </w:instrText>
      </w:r>
      <w:r>
        <w:fldChar w:fldCharType="separate"/>
      </w:r>
      <w:r>
        <w:rPr>
          <w:rStyle w:val="48"/>
          <w:rFonts w:ascii="黑体" w:hAnsi="黑体"/>
          <w:sz w:val="24"/>
          <w:szCs w:val="24"/>
        </w:rPr>
        <w:t>8.1</w:t>
      </w:r>
      <w:r>
        <w:rPr>
          <w:rStyle w:val="48"/>
          <w:rFonts w:hint="eastAsia" w:ascii="黑体" w:hAnsi="黑体"/>
          <w:sz w:val="24"/>
          <w:szCs w:val="24"/>
        </w:rPr>
        <w:t>财务假设与前提</w:t>
      </w:r>
      <w:r>
        <w:rPr>
          <w:sz w:val="24"/>
          <w:szCs w:val="24"/>
        </w:rPr>
        <w:tab/>
      </w:r>
      <w:r>
        <w:rPr>
          <w:sz w:val="24"/>
          <w:szCs w:val="24"/>
        </w:rPr>
        <w:fldChar w:fldCharType="begin"/>
      </w:r>
      <w:r>
        <w:rPr>
          <w:sz w:val="24"/>
          <w:szCs w:val="24"/>
        </w:rPr>
        <w:instrText xml:space="preserve"> PAGEREF _Toc61100254 \h </w:instrText>
      </w:r>
      <w:r>
        <w:rPr>
          <w:sz w:val="24"/>
          <w:szCs w:val="24"/>
        </w:rPr>
        <w:fldChar w:fldCharType="separate"/>
      </w:r>
      <w:r>
        <w:rPr>
          <w:sz w:val="24"/>
          <w:szCs w:val="24"/>
        </w:rPr>
        <w:t>55</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"_Toc61100255" </w:instrText>
      </w:r>
      <w:r>
        <w:fldChar w:fldCharType="separate"/>
      </w:r>
      <w:r>
        <w:rPr>
          <w:rStyle w:val="48"/>
          <w:rFonts w:ascii="黑体" w:hAnsi="黑体"/>
          <w:sz w:val="24"/>
          <w:szCs w:val="24"/>
        </w:rPr>
        <w:t>8.2</w:t>
      </w:r>
      <w:r>
        <w:rPr>
          <w:rStyle w:val="48"/>
          <w:rFonts w:hint="eastAsia" w:ascii="黑体" w:hAnsi="黑体"/>
          <w:sz w:val="24"/>
          <w:szCs w:val="24"/>
        </w:rPr>
        <w:t>收益预测</w:t>
      </w:r>
      <w:r>
        <w:rPr>
          <w:sz w:val="24"/>
          <w:szCs w:val="24"/>
        </w:rPr>
        <w:tab/>
      </w:r>
      <w:r>
        <w:rPr>
          <w:sz w:val="24"/>
          <w:szCs w:val="24"/>
        </w:rPr>
        <w:fldChar w:fldCharType="begin"/>
      </w:r>
      <w:r>
        <w:rPr>
          <w:sz w:val="24"/>
          <w:szCs w:val="24"/>
        </w:rPr>
        <w:instrText xml:space="preserve"> PAGEREF _Toc61100255 \h </w:instrText>
      </w:r>
      <w:r>
        <w:rPr>
          <w:sz w:val="24"/>
          <w:szCs w:val="24"/>
        </w:rPr>
        <w:fldChar w:fldCharType="separate"/>
      </w:r>
      <w:r>
        <w:rPr>
          <w:sz w:val="24"/>
          <w:szCs w:val="24"/>
        </w:rPr>
        <w:t>55</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"_Toc61100256" </w:instrText>
      </w:r>
      <w:r>
        <w:fldChar w:fldCharType="separate"/>
      </w:r>
      <w:r>
        <w:rPr>
          <w:rStyle w:val="48"/>
          <w:rFonts w:ascii="黑体" w:hAnsi="黑体"/>
          <w:sz w:val="24"/>
          <w:szCs w:val="24"/>
        </w:rPr>
        <w:t>8.3</w:t>
      </w:r>
      <w:r>
        <w:rPr>
          <w:rStyle w:val="48"/>
          <w:rFonts w:hint="eastAsia" w:ascii="黑体" w:hAnsi="黑体"/>
          <w:sz w:val="24"/>
          <w:szCs w:val="24"/>
        </w:rPr>
        <w:t>费用预测</w:t>
      </w:r>
      <w:r>
        <w:rPr>
          <w:sz w:val="24"/>
          <w:szCs w:val="24"/>
        </w:rPr>
        <w:tab/>
      </w:r>
      <w:r>
        <w:rPr>
          <w:sz w:val="24"/>
          <w:szCs w:val="24"/>
        </w:rPr>
        <w:fldChar w:fldCharType="begin"/>
      </w:r>
      <w:r>
        <w:rPr>
          <w:sz w:val="24"/>
          <w:szCs w:val="24"/>
        </w:rPr>
        <w:instrText xml:space="preserve"> PAGEREF _Toc61100256 \h </w:instrText>
      </w:r>
      <w:r>
        <w:rPr>
          <w:sz w:val="24"/>
          <w:szCs w:val="24"/>
        </w:rPr>
        <w:fldChar w:fldCharType="separate"/>
      </w:r>
      <w:r>
        <w:rPr>
          <w:sz w:val="24"/>
          <w:szCs w:val="24"/>
        </w:rPr>
        <w:t>56</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"_Toc61100257" </w:instrText>
      </w:r>
      <w:r>
        <w:fldChar w:fldCharType="separate"/>
      </w:r>
      <w:r>
        <w:rPr>
          <w:rStyle w:val="48"/>
          <w:rFonts w:ascii="黑体" w:hAnsi="黑体" w:eastAsia="黑体"/>
          <w:sz w:val="24"/>
          <w:szCs w:val="24"/>
        </w:rPr>
        <w:t>8.4</w:t>
      </w:r>
      <w:r>
        <w:rPr>
          <w:rStyle w:val="48"/>
          <w:rFonts w:hint="eastAsia" w:ascii="黑体" w:hAnsi="黑体" w:eastAsia="黑体"/>
          <w:sz w:val="24"/>
          <w:szCs w:val="24"/>
        </w:rPr>
        <w:t>财务报表预测</w:t>
      </w:r>
      <w:r>
        <w:rPr>
          <w:sz w:val="24"/>
          <w:szCs w:val="24"/>
        </w:rPr>
        <w:tab/>
      </w:r>
      <w:r>
        <w:rPr>
          <w:sz w:val="24"/>
          <w:szCs w:val="24"/>
        </w:rPr>
        <w:fldChar w:fldCharType="begin"/>
      </w:r>
      <w:r>
        <w:rPr>
          <w:sz w:val="24"/>
          <w:szCs w:val="24"/>
        </w:rPr>
        <w:instrText xml:space="preserve"> PAGEREF _Toc61100257 \h </w:instrText>
      </w:r>
      <w:r>
        <w:rPr>
          <w:sz w:val="24"/>
          <w:szCs w:val="24"/>
        </w:rPr>
        <w:fldChar w:fldCharType="separate"/>
      </w:r>
      <w:r>
        <w:rPr>
          <w:sz w:val="24"/>
          <w:szCs w:val="24"/>
        </w:rPr>
        <w:t>57</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"_Toc61100262" </w:instrText>
      </w:r>
      <w:r>
        <w:fldChar w:fldCharType="separate"/>
      </w:r>
      <w:r>
        <w:rPr>
          <w:rStyle w:val="48"/>
          <w:rFonts w:ascii="黑体" w:hAnsi="黑体"/>
          <w:sz w:val="24"/>
          <w:szCs w:val="24"/>
        </w:rPr>
        <w:t>8.5</w:t>
      </w:r>
      <w:r>
        <w:rPr>
          <w:rStyle w:val="48"/>
          <w:rFonts w:hint="eastAsia" w:ascii="黑体" w:hAnsi="黑体"/>
          <w:sz w:val="24"/>
          <w:szCs w:val="24"/>
        </w:rPr>
        <w:t>经济效益指标分析</w:t>
      </w:r>
      <w:r>
        <w:rPr>
          <w:sz w:val="24"/>
          <w:szCs w:val="24"/>
        </w:rPr>
        <w:tab/>
      </w:r>
      <w:r>
        <w:rPr>
          <w:sz w:val="24"/>
          <w:szCs w:val="24"/>
        </w:rPr>
        <w:fldChar w:fldCharType="begin"/>
      </w:r>
      <w:r>
        <w:rPr>
          <w:sz w:val="24"/>
          <w:szCs w:val="24"/>
        </w:rPr>
        <w:instrText xml:space="preserve"> PAGEREF _Toc61100262 \h </w:instrText>
      </w:r>
      <w:r>
        <w:rPr>
          <w:sz w:val="24"/>
          <w:szCs w:val="24"/>
        </w:rPr>
        <w:fldChar w:fldCharType="separate"/>
      </w:r>
      <w:r>
        <w:rPr>
          <w:sz w:val="24"/>
          <w:szCs w:val="24"/>
        </w:rPr>
        <w:t>60</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"_Toc61100263" </w:instrText>
      </w:r>
      <w:r>
        <w:fldChar w:fldCharType="separate"/>
      </w:r>
      <w:r>
        <w:rPr>
          <w:rStyle w:val="48"/>
          <w:rFonts w:ascii="黑体" w:hAnsi="黑体"/>
          <w:sz w:val="24"/>
          <w:szCs w:val="24"/>
        </w:rPr>
        <w:t>8.6</w:t>
      </w:r>
      <w:r>
        <w:rPr>
          <w:rStyle w:val="48"/>
          <w:rFonts w:hint="eastAsia" w:ascii="黑体" w:hAnsi="黑体"/>
          <w:sz w:val="24"/>
          <w:szCs w:val="24"/>
        </w:rPr>
        <w:t>盈利能力分析</w:t>
      </w:r>
      <w:r>
        <w:rPr>
          <w:sz w:val="24"/>
          <w:szCs w:val="24"/>
        </w:rPr>
        <w:tab/>
      </w:r>
      <w:r>
        <w:rPr>
          <w:sz w:val="24"/>
          <w:szCs w:val="24"/>
        </w:rPr>
        <w:fldChar w:fldCharType="begin"/>
      </w:r>
      <w:r>
        <w:rPr>
          <w:sz w:val="24"/>
          <w:szCs w:val="24"/>
        </w:rPr>
        <w:instrText xml:space="preserve"> PAGEREF _Toc61100263 \h </w:instrText>
      </w:r>
      <w:r>
        <w:rPr>
          <w:sz w:val="24"/>
          <w:szCs w:val="24"/>
        </w:rPr>
        <w:fldChar w:fldCharType="separate"/>
      </w:r>
      <w:r>
        <w:rPr>
          <w:sz w:val="24"/>
          <w:szCs w:val="24"/>
        </w:rPr>
        <w:t>61</w:t>
      </w:r>
      <w:r>
        <w:rPr>
          <w:sz w:val="24"/>
          <w:szCs w:val="24"/>
        </w:rPr>
        <w:fldChar w:fldCharType="end"/>
      </w:r>
      <w:r>
        <w:rPr>
          <w:sz w:val="24"/>
          <w:szCs w:val="24"/>
        </w:rPr>
        <w:fldChar w:fldCharType="end"/>
      </w:r>
    </w:p>
    <w:p>
      <w:pPr>
        <w:pStyle w:val="15"/>
        <w:tabs>
          <w:tab w:val="right" w:leader="dot" w:pos="8296"/>
        </w:tabs>
        <w:spacing w:line="300" w:lineRule="auto"/>
        <w:ind w:firstLine="480"/>
        <w:rPr>
          <w:rFonts w:asciiTheme="minorHAnsi" w:hAnsiTheme="minorHAnsi" w:eastAsiaTheme="minorEastAsia"/>
          <w:sz w:val="24"/>
          <w:szCs w:val="24"/>
        </w:rPr>
      </w:pPr>
      <w:r>
        <w:fldChar w:fldCharType="begin"/>
      </w:r>
      <w:r>
        <w:instrText xml:space="preserve"> HYPERLINK \l "_Toc61100264" </w:instrText>
      </w:r>
      <w:r>
        <w:fldChar w:fldCharType="separate"/>
      </w:r>
      <w:r>
        <w:rPr>
          <w:rStyle w:val="48"/>
          <w:rFonts w:hint="eastAsia" w:ascii="黑体" w:hAnsi="黑体" w:eastAsia="黑体"/>
          <w:sz w:val="24"/>
          <w:szCs w:val="24"/>
        </w:rPr>
        <w:t>第九章</w:t>
      </w:r>
      <w:r>
        <w:rPr>
          <w:rStyle w:val="48"/>
          <w:rFonts w:ascii="黑体" w:hAnsi="黑体" w:eastAsia="黑体"/>
          <w:sz w:val="24"/>
          <w:szCs w:val="24"/>
        </w:rPr>
        <w:t xml:space="preserve"> </w:t>
      </w:r>
      <w:r>
        <w:rPr>
          <w:rStyle w:val="48"/>
          <w:rFonts w:hint="eastAsia" w:ascii="黑体" w:hAnsi="黑体" w:eastAsia="黑体"/>
          <w:sz w:val="24"/>
          <w:szCs w:val="24"/>
        </w:rPr>
        <w:t>风险认识</w:t>
      </w:r>
      <w:r>
        <w:rPr>
          <w:sz w:val="24"/>
          <w:szCs w:val="24"/>
        </w:rPr>
        <w:tab/>
      </w:r>
      <w:r>
        <w:rPr>
          <w:sz w:val="24"/>
          <w:szCs w:val="24"/>
        </w:rPr>
        <w:fldChar w:fldCharType="begin"/>
      </w:r>
      <w:r>
        <w:rPr>
          <w:sz w:val="24"/>
          <w:szCs w:val="24"/>
        </w:rPr>
        <w:instrText xml:space="preserve"> PAGEREF _Toc61100264 \h </w:instrText>
      </w:r>
      <w:r>
        <w:rPr>
          <w:sz w:val="24"/>
          <w:szCs w:val="24"/>
        </w:rPr>
        <w:fldChar w:fldCharType="separate"/>
      </w:r>
      <w:r>
        <w:rPr>
          <w:sz w:val="24"/>
          <w:szCs w:val="24"/>
        </w:rPr>
        <w:t>62</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"_Toc61100265" </w:instrText>
      </w:r>
      <w:r>
        <w:fldChar w:fldCharType="separate"/>
      </w:r>
      <w:r>
        <w:rPr>
          <w:rStyle w:val="48"/>
          <w:rFonts w:ascii="黑体" w:hAnsi="黑体"/>
          <w:sz w:val="24"/>
          <w:szCs w:val="24"/>
        </w:rPr>
        <w:t>9.1</w:t>
      </w:r>
      <w:r>
        <w:rPr>
          <w:rStyle w:val="48"/>
          <w:rFonts w:hint="eastAsia" w:ascii="黑体" w:hAnsi="黑体"/>
          <w:sz w:val="24"/>
          <w:szCs w:val="24"/>
        </w:rPr>
        <w:t>主要风险</w:t>
      </w:r>
      <w:r>
        <w:rPr>
          <w:sz w:val="24"/>
          <w:szCs w:val="24"/>
        </w:rPr>
        <w:tab/>
      </w:r>
      <w:r>
        <w:rPr>
          <w:sz w:val="24"/>
          <w:szCs w:val="24"/>
        </w:rPr>
        <w:fldChar w:fldCharType="begin"/>
      </w:r>
      <w:r>
        <w:rPr>
          <w:sz w:val="24"/>
          <w:szCs w:val="24"/>
        </w:rPr>
        <w:instrText xml:space="preserve"> PAGEREF _Toc61100265 \h </w:instrText>
      </w:r>
      <w:r>
        <w:rPr>
          <w:sz w:val="24"/>
          <w:szCs w:val="24"/>
        </w:rPr>
        <w:fldChar w:fldCharType="separate"/>
      </w:r>
      <w:r>
        <w:rPr>
          <w:sz w:val="24"/>
          <w:szCs w:val="24"/>
        </w:rPr>
        <w:t>62</w:t>
      </w:r>
      <w:r>
        <w:rPr>
          <w:sz w:val="24"/>
          <w:szCs w:val="24"/>
        </w:rPr>
        <w:fldChar w:fldCharType="end"/>
      </w:r>
      <w:r>
        <w:rPr>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"_Toc61100266" </w:instrText>
      </w:r>
      <w:r>
        <w:fldChar w:fldCharType="separate"/>
      </w:r>
      <w:r>
        <w:rPr>
          <w:rStyle w:val="48"/>
          <w:rFonts w:ascii="仿宋" w:hAnsi="仿宋" w:eastAsia="仿宋" w:cs="Times New Roman"/>
          <w:sz w:val="24"/>
          <w:szCs w:val="24"/>
        </w:rPr>
        <w:t>9.1.1</w:t>
      </w:r>
      <w:r>
        <w:rPr>
          <w:rStyle w:val="48"/>
          <w:rFonts w:hint="eastAsia" w:ascii="仿宋" w:hAnsi="仿宋" w:eastAsia="仿宋" w:cs="Times New Roman"/>
          <w:sz w:val="24"/>
          <w:szCs w:val="24"/>
        </w:rPr>
        <w:t>国家政策风险</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_Toc61100266 \h </w:instrText>
      </w:r>
      <w:r>
        <w:rPr>
          <w:rFonts w:ascii="仿宋" w:hAnsi="仿宋" w:eastAsia="仿宋"/>
          <w:sz w:val="24"/>
          <w:szCs w:val="24"/>
        </w:rPr>
        <w:fldChar w:fldCharType="separate"/>
      </w:r>
      <w:r>
        <w:rPr>
          <w:rFonts w:ascii="仿宋" w:hAnsi="仿宋" w:eastAsia="仿宋"/>
          <w:sz w:val="24"/>
          <w:szCs w:val="24"/>
        </w:rPr>
        <w:t>62</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"_Toc61100267" </w:instrText>
      </w:r>
      <w:r>
        <w:fldChar w:fldCharType="separate"/>
      </w:r>
      <w:r>
        <w:rPr>
          <w:rStyle w:val="48"/>
          <w:rFonts w:ascii="仿宋" w:hAnsi="仿宋" w:eastAsia="仿宋" w:cs="Times New Roman"/>
          <w:sz w:val="24"/>
          <w:szCs w:val="24"/>
        </w:rPr>
        <w:t>9.1.2</w:t>
      </w:r>
      <w:r>
        <w:rPr>
          <w:rStyle w:val="48"/>
          <w:rFonts w:hint="eastAsia" w:ascii="仿宋" w:hAnsi="仿宋" w:eastAsia="仿宋" w:cs="Times New Roman"/>
          <w:sz w:val="24"/>
          <w:szCs w:val="24"/>
        </w:rPr>
        <w:t>医疗安全风险</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_Toc61100267 \h </w:instrText>
      </w:r>
      <w:r>
        <w:rPr>
          <w:rFonts w:ascii="仿宋" w:hAnsi="仿宋" w:eastAsia="仿宋"/>
          <w:sz w:val="24"/>
          <w:szCs w:val="24"/>
        </w:rPr>
        <w:fldChar w:fldCharType="separate"/>
      </w:r>
      <w:r>
        <w:rPr>
          <w:rFonts w:ascii="仿宋" w:hAnsi="仿宋" w:eastAsia="仿宋"/>
          <w:sz w:val="24"/>
          <w:szCs w:val="24"/>
        </w:rPr>
        <w:t>62</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"_Toc61100268" </w:instrText>
      </w:r>
      <w:r>
        <w:fldChar w:fldCharType="separate"/>
      </w:r>
      <w:r>
        <w:rPr>
          <w:rStyle w:val="48"/>
          <w:rFonts w:ascii="仿宋" w:hAnsi="仿宋" w:eastAsia="仿宋" w:cs="Times New Roman"/>
          <w:sz w:val="24"/>
          <w:szCs w:val="24"/>
        </w:rPr>
        <w:t>9.1.3</w:t>
      </w:r>
      <w:r>
        <w:rPr>
          <w:rStyle w:val="48"/>
          <w:rFonts w:hint="eastAsia" w:ascii="仿宋" w:hAnsi="仿宋" w:eastAsia="仿宋" w:cs="Times New Roman"/>
          <w:sz w:val="24"/>
          <w:szCs w:val="24"/>
        </w:rPr>
        <w:t>道德与信用欺诈风险</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_Toc61100268 \h </w:instrText>
      </w:r>
      <w:r>
        <w:rPr>
          <w:rFonts w:ascii="仿宋" w:hAnsi="仿宋" w:eastAsia="仿宋"/>
          <w:sz w:val="24"/>
          <w:szCs w:val="24"/>
        </w:rPr>
        <w:fldChar w:fldCharType="separate"/>
      </w:r>
      <w:r>
        <w:rPr>
          <w:rFonts w:ascii="仿宋" w:hAnsi="仿宋" w:eastAsia="仿宋"/>
          <w:sz w:val="24"/>
          <w:szCs w:val="24"/>
        </w:rPr>
        <w:t>63</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"_Toc61100269" </w:instrText>
      </w:r>
      <w:r>
        <w:fldChar w:fldCharType="separate"/>
      </w:r>
      <w:r>
        <w:rPr>
          <w:rStyle w:val="48"/>
          <w:rFonts w:ascii="仿宋" w:hAnsi="仿宋" w:eastAsia="仿宋" w:cs="Times New Roman"/>
          <w:sz w:val="24"/>
          <w:szCs w:val="24"/>
        </w:rPr>
        <w:t>9.1.4</w:t>
      </w:r>
      <w:r>
        <w:rPr>
          <w:rStyle w:val="48"/>
          <w:rFonts w:hint="eastAsia" w:ascii="仿宋" w:hAnsi="仿宋" w:eastAsia="仿宋" w:cs="Times New Roman"/>
          <w:sz w:val="24"/>
          <w:szCs w:val="24"/>
        </w:rPr>
        <w:t>其他风险</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_Toc61100269 \h </w:instrText>
      </w:r>
      <w:r>
        <w:rPr>
          <w:rFonts w:ascii="仿宋" w:hAnsi="仿宋" w:eastAsia="仿宋"/>
          <w:sz w:val="24"/>
          <w:szCs w:val="24"/>
        </w:rPr>
        <w:fldChar w:fldCharType="separate"/>
      </w:r>
      <w:r>
        <w:rPr>
          <w:rFonts w:ascii="仿宋" w:hAnsi="仿宋" w:eastAsia="仿宋"/>
          <w:sz w:val="24"/>
          <w:szCs w:val="24"/>
        </w:rPr>
        <w:t>63</w:t>
      </w:r>
      <w:r>
        <w:rPr>
          <w:rFonts w:ascii="仿宋" w:hAnsi="仿宋" w:eastAsia="仿宋"/>
          <w:sz w:val="24"/>
          <w:szCs w:val="24"/>
        </w:rPr>
        <w:fldChar w:fldCharType="end"/>
      </w:r>
      <w:r>
        <w:rPr>
          <w:rFonts w:ascii="仿宋" w:hAnsi="仿宋" w:eastAsia="仿宋"/>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"_Toc61100270" </w:instrText>
      </w:r>
      <w:r>
        <w:fldChar w:fldCharType="separate"/>
      </w:r>
      <w:r>
        <w:rPr>
          <w:rStyle w:val="48"/>
          <w:rFonts w:ascii="黑体" w:hAnsi="黑体"/>
          <w:sz w:val="24"/>
          <w:szCs w:val="24"/>
        </w:rPr>
        <w:t>9.2</w:t>
      </w:r>
      <w:r>
        <w:rPr>
          <w:rStyle w:val="48"/>
          <w:rFonts w:hint="eastAsia" w:ascii="黑体" w:hAnsi="黑体"/>
          <w:sz w:val="24"/>
          <w:szCs w:val="24"/>
        </w:rPr>
        <w:t>风险评估</w:t>
      </w:r>
      <w:r>
        <w:rPr>
          <w:sz w:val="24"/>
          <w:szCs w:val="24"/>
        </w:rPr>
        <w:tab/>
      </w:r>
      <w:r>
        <w:rPr>
          <w:sz w:val="24"/>
          <w:szCs w:val="24"/>
        </w:rPr>
        <w:fldChar w:fldCharType="begin"/>
      </w:r>
      <w:r>
        <w:rPr>
          <w:sz w:val="24"/>
          <w:szCs w:val="24"/>
        </w:rPr>
        <w:instrText xml:space="preserve"> PAGEREF _Toc61100270 \h </w:instrText>
      </w:r>
      <w:r>
        <w:rPr>
          <w:sz w:val="24"/>
          <w:szCs w:val="24"/>
        </w:rPr>
        <w:fldChar w:fldCharType="separate"/>
      </w:r>
      <w:r>
        <w:rPr>
          <w:sz w:val="24"/>
          <w:szCs w:val="24"/>
        </w:rPr>
        <w:t>63</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"_Toc61100271" </w:instrText>
      </w:r>
      <w:r>
        <w:fldChar w:fldCharType="separate"/>
      </w:r>
      <w:r>
        <w:rPr>
          <w:rStyle w:val="48"/>
          <w:rFonts w:ascii="黑体" w:hAnsi="黑体"/>
          <w:sz w:val="24"/>
          <w:szCs w:val="24"/>
        </w:rPr>
        <w:t>9.3</w:t>
      </w:r>
      <w:r>
        <w:rPr>
          <w:rStyle w:val="48"/>
          <w:rFonts w:hint="eastAsia" w:ascii="黑体" w:hAnsi="黑体"/>
          <w:sz w:val="24"/>
          <w:szCs w:val="24"/>
        </w:rPr>
        <w:t>风险应对策略</w:t>
      </w:r>
      <w:r>
        <w:rPr>
          <w:sz w:val="24"/>
          <w:szCs w:val="24"/>
        </w:rPr>
        <w:tab/>
      </w:r>
      <w:r>
        <w:rPr>
          <w:sz w:val="24"/>
          <w:szCs w:val="24"/>
        </w:rPr>
        <w:fldChar w:fldCharType="begin"/>
      </w:r>
      <w:r>
        <w:rPr>
          <w:sz w:val="24"/>
          <w:szCs w:val="24"/>
        </w:rPr>
        <w:instrText xml:space="preserve"> PAGEREF _Toc61100271 \h </w:instrText>
      </w:r>
      <w:r>
        <w:rPr>
          <w:sz w:val="24"/>
          <w:szCs w:val="24"/>
        </w:rPr>
        <w:fldChar w:fldCharType="separate"/>
      </w:r>
      <w:r>
        <w:rPr>
          <w:sz w:val="24"/>
          <w:szCs w:val="24"/>
        </w:rPr>
        <w:t>64</w:t>
      </w:r>
      <w:r>
        <w:rPr>
          <w:sz w:val="24"/>
          <w:szCs w:val="24"/>
        </w:rPr>
        <w:fldChar w:fldCharType="end"/>
      </w:r>
      <w:r>
        <w:rPr>
          <w:sz w:val="24"/>
          <w:szCs w:val="24"/>
        </w:rPr>
        <w:fldChar w:fldCharType="end"/>
      </w:r>
    </w:p>
    <w:p>
      <w:pPr>
        <w:pStyle w:val="15"/>
        <w:tabs>
          <w:tab w:val="right" w:leader="dot" w:pos="8296"/>
        </w:tabs>
        <w:spacing w:line="300" w:lineRule="auto"/>
        <w:ind w:firstLine="480"/>
        <w:rPr>
          <w:rFonts w:asciiTheme="minorHAnsi" w:hAnsiTheme="minorHAnsi" w:eastAsiaTheme="minorEastAsia"/>
          <w:sz w:val="24"/>
          <w:szCs w:val="24"/>
        </w:rPr>
      </w:pPr>
      <w:r>
        <w:fldChar w:fldCharType="begin"/>
      </w:r>
      <w:r>
        <w:instrText xml:space="preserve"> HYPERLINK \l "_Toc61100281" </w:instrText>
      </w:r>
      <w:r>
        <w:fldChar w:fldCharType="separate"/>
      </w:r>
      <w:r>
        <w:rPr>
          <w:rStyle w:val="48"/>
          <w:rFonts w:hint="eastAsia" w:ascii="黑体" w:hAnsi="黑体" w:eastAsia="黑体"/>
          <w:sz w:val="24"/>
          <w:szCs w:val="24"/>
        </w:rPr>
        <w:t>第十章</w:t>
      </w:r>
      <w:r>
        <w:rPr>
          <w:rStyle w:val="48"/>
          <w:rFonts w:ascii="黑体" w:hAnsi="黑体" w:eastAsia="黑体"/>
          <w:sz w:val="24"/>
          <w:szCs w:val="24"/>
        </w:rPr>
        <w:t xml:space="preserve"> </w:t>
      </w:r>
      <w:r>
        <w:rPr>
          <w:rStyle w:val="48"/>
          <w:rFonts w:hint="eastAsia" w:ascii="黑体" w:hAnsi="黑体" w:eastAsia="黑体"/>
          <w:sz w:val="24"/>
          <w:szCs w:val="24"/>
        </w:rPr>
        <w:t>风险资本退出</w:t>
      </w:r>
      <w:r>
        <w:rPr>
          <w:sz w:val="24"/>
          <w:szCs w:val="24"/>
        </w:rPr>
        <w:tab/>
      </w:r>
      <w:r>
        <w:rPr>
          <w:sz w:val="24"/>
          <w:szCs w:val="24"/>
        </w:rPr>
        <w:fldChar w:fldCharType="begin"/>
      </w:r>
      <w:r>
        <w:rPr>
          <w:sz w:val="24"/>
          <w:szCs w:val="24"/>
        </w:rPr>
        <w:instrText xml:space="preserve"> PAGEREF _Toc61100281 \h </w:instrText>
      </w:r>
      <w:r>
        <w:rPr>
          <w:sz w:val="24"/>
          <w:szCs w:val="24"/>
        </w:rPr>
        <w:fldChar w:fldCharType="separate"/>
      </w:r>
      <w:r>
        <w:rPr>
          <w:sz w:val="24"/>
          <w:szCs w:val="24"/>
        </w:rPr>
        <w:t>68</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"_Toc61100282" </w:instrText>
      </w:r>
      <w:r>
        <w:fldChar w:fldCharType="separate"/>
      </w:r>
      <w:r>
        <w:rPr>
          <w:rStyle w:val="48"/>
          <w:rFonts w:ascii="黑体" w:hAnsi="黑体"/>
          <w:sz w:val="24"/>
          <w:szCs w:val="24"/>
        </w:rPr>
        <w:t>10.1IPO</w:t>
      </w:r>
      <w:r>
        <w:rPr>
          <w:sz w:val="24"/>
          <w:szCs w:val="24"/>
        </w:rPr>
        <w:tab/>
      </w:r>
      <w:r>
        <w:rPr>
          <w:sz w:val="24"/>
          <w:szCs w:val="24"/>
        </w:rPr>
        <w:fldChar w:fldCharType="begin"/>
      </w:r>
      <w:r>
        <w:rPr>
          <w:sz w:val="24"/>
          <w:szCs w:val="24"/>
        </w:rPr>
        <w:instrText xml:space="preserve"> PAGEREF _Toc61100282 \h </w:instrText>
      </w:r>
      <w:r>
        <w:rPr>
          <w:sz w:val="24"/>
          <w:szCs w:val="24"/>
        </w:rPr>
        <w:fldChar w:fldCharType="separate"/>
      </w:r>
      <w:r>
        <w:rPr>
          <w:sz w:val="24"/>
          <w:szCs w:val="24"/>
        </w:rPr>
        <w:t>68</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"_Toc61100283" </w:instrText>
      </w:r>
      <w:r>
        <w:fldChar w:fldCharType="separate"/>
      </w:r>
      <w:r>
        <w:rPr>
          <w:rStyle w:val="48"/>
          <w:rFonts w:ascii="黑体" w:hAnsi="黑体"/>
          <w:sz w:val="24"/>
          <w:szCs w:val="24"/>
        </w:rPr>
        <w:t>10.2</w:t>
      </w:r>
      <w:r>
        <w:rPr>
          <w:rStyle w:val="48"/>
          <w:rFonts w:hint="eastAsia" w:ascii="黑体" w:hAnsi="黑体"/>
          <w:sz w:val="24"/>
          <w:szCs w:val="24"/>
        </w:rPr>
        <w:t>产权转让</w:t>
      </w:r>
      <w:r>
        <w:rPr>
          <w:sz w:val="24"/>
          <w:szCs w:val="24"/>
        </w:rPr>
        <w:tab/>
      </w:r>
      <w:r>
        <w:rPr>
          <w:sz w:val="24"/>
          <w:szCs w:val="24"/>
        </w:rPr>
        <w:fldChar w:fldCharType="begin"/>
      </w:r>
      <w:r>
        <w:rPr>
          <w:sz w:val="24"/>
          <w:szCs w:val="24"/>
        </w:rPr>
        <w:instrText xml:space="preserve"> PAGEREF _Toc61100283 \h </w:instrText>
      </w:r>
      <w:r>
        <w:rPr>
          <w:sz w:val="24"/>
          <w:szCs w:val="24"/>
        </w:rPr>
        <w:fldChar w:fldCharType="separate"/>
      </w:r>
      <w:r>
        <w:rPr>
          <w:sz w:val="24"/>
          <w:szCs w:val="24"/>
        </w:rPr>
        <w:t>68</w:t>
      </w:r>
      <w:r>
        <w:rPr>
          <w:sz w:val="24"/>
          <w:szCs w:val="24"/>
        </w:rPr>
        <w:fldChar w:fldCharType="end"/>
      </w:r>
      <w:r>
        <w:rPr>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"_Toc61100284" </w:instrText>
      </w:r>
      <w:r>
        <w:fldChar w:fldCharType="separate"/>
      </w:r>
      <w:r>
        <w:rPr>
          <w:rStyle w:val="48"/>
          <w:rFonts w:ascii="仿宋" w:hAnsi="仿宋" w:eastAsia="仿宋" w:cs="Times New Roman"/>
          <w:sz w:val="24"/>
          <w:szCs w:val="24"/>
        </w:rPr>
        <w:t>10.2.1</w:t>
      </w:r>
      <w:r>
        <w:rPr>
          <w:rStyle w:val="48"/>
          <w:rFonts w:hint="eastAsia" w:ascii="仿宋" w:hAnsi="仿宋" w:eastAsia="仿宋" w:cs="Times New Roman"/>
          <w:sz w:val="24"/>
          <w:szCs w:val="24"/>
        </w:rPr>
        <w:t>股权转让</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_Toc61100284 \h </w:instrText>
      </w:r>
      <w:r>
        <w:rPr>
          <w:rFonts w:ascii="仿宋" w:hAnsi="仿宋" w:eastAsia="仿宋"/>
          <w:sz w:val="24"/>
          <w:szCs w:val="24"/>
        </w:rPr>
        <w:fldChar w:fldCharType="separate"/>
      </w:r>
      <w:r>
        <w:rPr>
          <w:rFonts w:ascii="仿宋" w:hAnsi="仿宋" w:eastAsia="仿宋"/>
          <w:sz w:val="24"/>
          <w:szCs w:val="24"/>
        </w:rPr>
        <w:t>68</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"_Toc61100285" </w:instrText>
      </w:r>
      <w:r>
        <w:fldChar w:fldCharType="separate"/>
      </w:r>
      <w:r>
        <w:rPr>
          <w:rStyle w:val="48"/>
          <w:rFonts w:ascii="仿宋" w:hAnsi="仿宋" w:eastAsia="仿宋" w:cs="Times New Roman"/>
          <w:sz w:val="24"/>
          <w:szCs w:val="24"/>
        </w:rPr>
        <w:t>10.2.2</w:t>
      </w:r>
      <w:r>
        <w:rPr>
          <w:rStyle w:val="48"/>
          <w:rFonts w:hint="eastAsia" w:ascii="仿宋" w:hAnsi="仿宋" w:eastAsia="仿宋" w:cs="Times New Roman"/>
          <w:sz w:val="24"/>
          <w:szCs w:val="24"/>
        </w:rPr>
        <w:t>吸收合并</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_Toc61100285 \h </w:instrText>
      </w:r>
      <w:r>
        <w:rPr>
          <w:rFonts w:ascii="仿宋" w:hAnsi="仿宋" w:eastAsia="仿宋"/>
          <w:sz w:val="24"/>
          <w:szCs w:val="24"/>
        </w:rPr>
        <w:fldChar w:fldCharType="separate"/>
      </w:r>
      <w:r>
        <w:rPr>
          <w:rFonts w:ascii="仿宋" w:hAnsi="仿宋" w:eastAsia="仿宋"/>
          <w:sz w:val="24"/>
          <w:szCs w:val="24"/>
        </w:rPr>
        <w:t>68</w:t>
      </w:r>
      <w:r>
        <w:rPr>
          <w:rFonts w:ascii="仿宋" w:hAnsi="仿宋" w:eastAsia="仿宋"/>
          <w:sz w:val="24"/>
          <w:szCs w:val="24"/>
        </w:rPr>
        <w:fldChar w:fldCharType="end"/>
      </w:r>
      <w:r>
        <w:rPr>
          <w:rFonts w:ascii="仿宋" w:hAnsi="仿宋" w:eastAsia="仿宋"/>
          <w:sz w:val="24"/>
          <w:szCs w:val="24"/>
        </w:rPr>
        <w:fldChar w:fldCharType="end"/>
      </w:r>
    </w:p>
    <w:p>
      <w:pPr>
        <w:pStyle w:val="10"/>
        <w:tabs>
          <w:tab w:val="right" w:leader="dot" w:pos="8296"/>
        </w:tabs>
        <w:spacing w:line="300" w:lineRule="auto"/>
        <w:ind w:left="1120" w:firstLine="480"/>
        <w:rPr>
          <w:rFonts w:ascii="仿宋" w:hAnsi="仿宋" w:eastAsia="仿宋"/>
          <w:sz w:val="24"/>
          <w:szCs w:val="24"/>
        </w:rPr>
      </w:pPr>
      <w:r>
        <w:fldChar w:fldCharType="begin"/>
      </w:r>
      <w:r>
        <w:instrText xml:space="preserve"> HYPERLINK \l "_Toc61100286" </w:instrText>
      </w:r>
      <w:r>
        <w:fldChar w:fldCharType="separate"/>
      </w:r>
      <w:r>
        <w:rPr>
          <w:rStyle w:val="48"/>
          <w:rFonts w:ascii="仿宋" w:hAnsi="仿宋" w:eastAsia="仿宋" w:cs="Times New Roman"/>
          <w:sz w:val="24"/>
          <w:szCs w:val="24"/>
        </w:rPr>
        <w:t>10.2.3</w:t>
      </w:r>
      <w:r>
        <w:rPr>
          <w:rStyle w:val="48"/>
          <w:rFonts w:hint="eastAsia" w:ascii="仿宋" w:hAnsi="仿宋" w:eastAsia="仿宋" w:cs="Times New Roman"/>
          <w:sz w:val="24"/>
          <w:szCs w:val="24"/>
        </w:rPr>
        <w:t>风险企业买进</w:t>
      </w:r>
      <w:r>
        <w:rPr>
          <w:rFonts w:ascii="仿宋" w:hAnsi="仿宋" w:eastAsia="仿宋"/>
          <w:sz w:val="24"/>
          <w:szCs w:val="24"/>
        </w:rPr>
        <w:tab/>
      </w:r>
      <w:r>
        <w:rPr>
          <w:rFonts w:ascii="仿宋" w:hAnsi="仿宋" w:eastAsia="仿宋"/>
          <w:sz w:val="24"/>
          <w:szCs w:val="24"/>
        </w:rPr>
        <w:fldChar w:fldCharType="begin"/>
      </w:r>
      <w:r>
        <w:rPr>
          <w:rFonts w:ascii="仿宋" w:hAnsi="仿宋" w:eastAsia="仿宋"/>
          <w:sz w:val="24"/>
          <w:szCs w:val="24"/>
        </w:rPr>
        <w:instrText xml:space="preserve"> PAGEREF _Toc61100286 \h </w:instrText>
      </w:r>
      <w:r>
        <w:rPr>
          <w:rFonts w:ascii="仿宋" w:hAnsi="仿宋" w:eastAsia="仿宋"/>
          <w:sz w:val="24"/>
          <w:szCs w:val="24"/>
        </w:rPr>
        <w:fldChar w:fldCharType="separate"/>
      </w:r>
      <w:r>
        <w:rPr>
          <w:rFonts w:ascii="仿宋" w:hAnsi="仿宋" w:eastAsia="仿宋"/>
          <w:sz w:val="24"/>
          <w:szCs w:val="24"/>
        </w:rPr>
        <w:t>69</w:t>
      </w:r>
      <w:r>
        <w:rPr>
          <w:rFonts w:ascii="仿宋" w:hAnsi="仿宋" w:eastAsia="仿宋"/>
          <w:sz w:val="24"/>
          <w:szCs w:val="24"/>
        </w:rPr>
        <w:fldChar w:fldCharType="end"/>
      </w:r>
      <w:r>
        <w:rPr>
          <w:rFonts w:ascii="仿宋" w:hAnsi="仿宋" w:eastAsia="仿宋"/>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"_Toc61100287" </w:instrText>
      </w:r>
      <w:r>
        <w:fldChar w:fldCharType="separate"/>
      </w:r>
      <w:r>
        <w:rPr>
          <w:rStyle w:val="48"/>
          <w:rFonts w:ascii="黑体" w:hAnsi="黑体"/>
          <w:sz w:val="24"/>
          <w:szCs w:val="24"/>
        </w:rPr>
        <w:t>10.3</w:t>
      </w:r>
      <w:r>
        <w:rPr>
          <w:rStyle w:val="48"/>
          <w:rFonts w:hint="eastAsia" w:ascii="黑体" w:hAnsi="黑体"/>
          <w:sz w:val="24"/>
          <w:szCs w:val="24"/>
        </w:rPr>
        <w:t>经营者回购</w:t>
      </w:r>
      <w:r>
        <w:rPr>
          <w:sz w:val="24"/>
          <w:szCs w:val="24"/>
        </w:rPr>
        <w:tab/>
      </w:r>
      <w:r>
        <w:rPr>
          <w:sz w:val="24"/>
          <w:szCs w:val="24"/>
        </w:rPr>
        <w:fldChar w:fldCharType="begin"/>
      </w:r>
      <w:r>
        <w:rPr>
          <w:sz w:val="24"/>
          <w:szCs w:val="24"/>
        </w:rPr>
        <w:instrText xml:space="preserve"> PAGEREF _Toc61100287 \h </w:instrText>
      </w:r>
      <w:r>
        <w:rPr>
          <w:sz w:val="24"/>
          <w:szCs w:val="24"/>
        </w:rPr>
        <w:fldChar w:fldCharType="separate"/>
      </w:r>
      <w:r>
        <w:rPr>
          <w:sz w:val="24"/>
          <w:szCs w:val="24"/>
        </w:rPr>
        <w:t>69</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"_Toc61100288" </w:instrText>
      </w:r>
      <w:r>
        <w:fldChar w:fldCharType="separate"/>
      </w:r>
      <w:r>
        <w:rPr>
          <w:rStyle w:val="48"/>
          <w:rFonts w:ascii="黑体" w:hAnsi="黑体"/>
          <w:sz w:val="24"/>
          <w:szCs w:val="24"/>
        </w:rPr>
        <w:t>10.4</w:t>
      </w:r>
      <w:r>
        <w:rPr>
          <w:rStyle w:val="48"/>
          <w:rFonts w:hint="eastAsia" w:ascii="黑体" w:hAnsi="黑体"/>
          <w:sz w:val="24"/>
          <w:szCs w:val="24"/>
        </w:rPr>
        <w:t>破产清算</w:t>
      </w:r>
      <w:r>
        <w:rPr>
          <w:sz w:val="24"/>
          <w:szCs w:val="24"/>
        </w:rPr>
        <w:tab/>
      </w:r>
      <w:r>
        <w:rPr>
          <w:sz w:val="24"/>
          <w:szCs w:val="24"/>
        </w:rPr>
        <w:fldChar w:fldCharType="begin"/>
      </w:r>
      <w:r>
        <w:rPr>
          <w:sz w:val="24"/>
          <w:szCs w:val="24"/>
        </w:rPr>
        <w:instrText xml:space="preserve"> PAGEREF _Toc61100288 \h </w:instrText>
      </w:r>
      <w:r>
        <w:rPr>
          <w:sz w:val="24"/>
          <w:szCs w:val="24"/>
        </w:rPr>
        <w:fldChar w:fldCharType="separate"/>
      </w:r>
      <w:r>
        <w:rPr>
          <w:sz w:val="24"/>
          <w:szCs w:val="24"/>
        </w:rPr>
        <w:t>69</w:t>
      </w:r>
      <w:r>
        <w:rPr>
          <w:sz w:val="24"/>
          <w:szCs w:val="24"/>
        </w:rPr>
        <w:fldChar w:fldCharType="end"/>
      </w:r>
      <w:r>
        <w:rPr>
          <w:sz w:val="24"/>
          <w:szCs w:val="24"/>
        </w:rPr>
        <w:fldChar w:fldCharType="end"/>
      </w:r>
    </w:p>
    <w:p>
      <w:pPr>
        <w:pStyle w:val="15"/>
        <w:tabs>
          <w:tab w:val="right" w:leader="dot" w:pos="8296"/>
        </w:tabs>
        <w:spacing w:line="300" w:lineRule="auto"/>
        <w:ind w:firstLine="480"/>
        <w:rPr>
          <w:rFonts w:asciiTheme="minorHAnsi" w:hAnsiTheme="minorHAnsi" w:eastAsiaTheme="minorEastAsia"/>
          <w:sz w:val="24"/>
          <w:szCs w:val="24"/>
        </w:rPr>
      </w:pPr>
      <w:r>
        <w:fldChar w:fldCharType="begin"/>
      </w:r>
      <w:r>
        <w:instrText xml:space="preserve"> HYPERLINK \l "_Toc61100289" </w:instrText>
      </w:r>
      <w:r>
        <w:fldChar w:fldCharType="separate"/>
      </w:r>
      <w:r>
        <w:rPr>
          <w:rStyle w:val="48"/>
          <w:rFonts w:hint="eastAsia" w:ascii="黑体" w:hAnsi="黑体" w:eastAsia="黑体"/>
          <w:sz w:val="24"/>
          <w:szCs w:val="24"/>
        </w:rPr>
        <w:t>第十一章</w:t>
      </w:r>
      <w:r>
        <w:rPr>
          <w:rStyle w:val="48"/>
          <w:rFonts w:ascii="黑体" w:hAnsi="黑体" w:eastAsia="黑体"/>
          <w:sz w:val="24"/>
          <w:szCs w:val="24"/>
        </w:rPr>
        <w:t xml:space="preserve"> </w:t>
      </w:r>
      <w:r>
        <w:rPr>
          <w:rStyle w:val="48"/>
          <w:rFonts w:hint="eastAsia" w:ascii="黑体" w:hAnsi="黑体" w:eastAsia="黑体"/>
          <w:sz w:val="24"/>
          <w:szCs w:val="24"/>
        </w:rPr>
        <w:t>附录</w:t>
      </w:r>
      <w:r>
        <w:rPr>
          <w:sz w:val="24"/>
          <w:szCs w:val="24"/>
        </w:rPr>
        <w:tab/>
      </w:r>
      <w:r>
        <w:rPr>
          <w:sz w:val="24"/>
          <w:szCs w:val="24"/>
        </w:rPr>
        <w:fldChar w:fldCharType="begin"/>
      </w:r>
      <w:r>
        <w:rPr>
          <w:sz w:val="24"/>
          <w:szCs w:val="24"/>
        </w:rPr>
        <w:instrText xml:space="preserve"> PAGEREF _Toc61100289 \h </w:instrText>
      </w:r>
      <w:r>
        <w:rPr>
          <w:sz w:val="24"/>
          <w:szCs w:val="24"/>
        </w:rPr>
        <w:fldChar w:fldCharType="separate"/>
      </w:r>
      <w:r>
        <w:rPr>
          <w:sz w:val="24"/>
          <w:szCs w:val="24"/>
        </w:rPr>
        <w:t>70</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4"/>
          <w:szCs w:val="24"/>
        </w:rPr>
      </w:pPr>
      <w:r>
        <w:fldChar w:fldCharType="begin"/>
      </w:r>
      <w:r>
        <w:instrText xml:space="preserve"> HYPERLINK \l "_Toc61100290" </w:instrText>
      </w:r>
      <w:r>
        <w:fldChar w:fldCharType="separate"/>
      </w:r>
      <w:r>
        <w:rPr>
          <w:rStyle w:val="48"/>
          <w:rFonts w:ascii="黑体" w:hAnsi="黑体"/>
          <w:sz w:val="24"/>
          <w:szCs w:val="24"/>
        </w:rPr>
        <w:t>11.1</w:t>
      </w:r>
      <w:r>
        <w:rPr>
          <w:rStyle w:val="48"/>
          <w:rFonts w:hint="eastAsia" w:ascii="黑体" w:hAnsi="黑体"/>
          <w:sz w:val="24"/>
          <w:szCs w:val="24"/>
        </w:rPr>
        <w:t>操作流程</w:t>
      </w:r>
      <w:r>
        <w:rPr>
          <w:sz w:val="24"/>
          <w:szCs w:val="24"/>
        </w:rPr>
        <w:tab/>
      </w:r>
      <w:r>
        <w:rPr>
          <w:sz w:val="24"/>
          <w:szCs w:val="24"/>
        </w:rPr>
        <w:fldChar w:fldCharType="begin"/>
      </w:r>
      <w:r>
        <w:rPr>
          <w:sz w:val="24"/>
          <w:szCs w:val="24"/>
        </w:rPr>
        <w:instrText xml:space="preserve"> PAGEREF _Toc61100290 \h </w:instrText>
      </w:r>
      <w:r>
        <w:rPr>
          <w:sz w:val="24"/>
          <w:szCs w:val="24"/>
        </w:rPr>
        <w:fldChar w:fldCharType="separate"/>
      </w:r>
      <w:r>
        <w:rPr>
          <w:sz w:val="24"/>
          <w:szCs w:val="24"/>
        </w:rPr>
        <w:t>70</w:t>
      </w:r>
      <w:r>
        <w:rPr>
          <w:sz w:val="24"/>
          <w:szCs w:val="24"/>
        </w:rPr>
        <w:fldChar w:fldCharType="end"/>
      </w:r>
      <w:r>
        <w:rPr>
          <w:sz w:val="24"/>
          <w:szCs w:val="24"/>
        </w:rPr>
        <w:fldChar w:fldCharType="end"/>
      </w:r>
    </w:p>
    <w:p>
      <w:pPr>
        <w:pStyle w:val="18"/>
        <w:tabs>
          <w:tab w:val="right" w:leader="dot" w:pos="8296"/>
        </w:tabs>
        <w:spacing w:line="300" w:lineRule="auto"/>
        <w:ind w:left="560" w:firstLine="480"/>
        <w:rPr>
          <w:rFonts w:asciiTheme="minorHAnsi" w:hAnsiTheme="minorHAnsi" w:eastAsiaTheme="minorEastAsia"/>
          <w:sz w:val="21"/>
          <w:szCs w:val="22"/>
        </w:rPr>
      </w:pPr>
      <w:r>
        <w:fldChar w:fldCharType="begin"/>
      </w:r>
      <w:r>
        <w:instrText xml:space="preserve"> HYPERLINK \l "_Toc61100291" </w:instrText>
      </w:r>
      <w:r>
        <w:fldChar w:fldCharType="separate"/>
      </w:r>
      <w:r>
        <w:rPr>
          <w:rStyle w:val="48"/>
          <w:rFonts w:ascii="黑体" w:hAnsi="黑体"/>
          <w:sz w:val="24"/>
          <w:szCs w:val="24"/>
        </w:rPr>
        <w:t>11.2</w:t>
      </w:r>
      <w:r>
        <w:rPr>
          <w:rStyle w:val="48"/>
          <w:rFonts w:hint="eastAsia" w:ascii="黑体" w:hAnsi="黑体"/>
          <w:sz w:val="24"/>
          <w:szCs w:val="24"/>
        </w:rPr>
        <w:t>调查问卷内容</w:t>
      </w:r>
      <w:r>
        <w:rPr>
          <w:sz w:val="24"/>
          <w:szCs w:val="24"/>
        </w:rPr>
        <w:tab/>
      </w:r>
      <w:r>
        <w:rPr>
          <w:sz w:val="24"/>
          <w:szCs w:val="24"/>
        </w:rPr>
        <w:fldChar w:fldCharType="begin"/>
      </w:r>
      <w:r>
        <w:rPr>
          <w:sz w:val="24"/>
          <w:szCs w:val="24"/>
        </w:rPr>
        <w:instrText xml:space="preserve"> PAGEREF _Toc61100291 \h </w:instrText>
      </w:r>
      <w:r>
        <w:rPr>
          <w:sz w:val="24"/>
          <w:szCs w:val="24"/>
        </w:rPr>
        <w:fldChar w:fldCharType="separate"/>
      </w:r>
      <w:r>
        <w:rPr>
          <w:sz w:val="24"/>
          <w:szCs w:val="24"/>
        </w:rPr>
        <w:t>70</w:t>
      </w:r>
      <w:r>
        <w:rPr>
          <w:sz w:val="24"/>
          <w:szCs w:val="24"/>
        </w:rPr>
        <w:fldChar w:fldCharType="end"/>
      </w:r>
      <w:r>
        <w:rPr>
          <w:sz w:val="24"/>
          <w:szCs w:val="24"/>
        </w:rPr>
        <w:fldChar w:fldCharType="end"/>
      </w:r>
    </w:p>
    <w:p>
      <w:pPr>
        <w:spacing w:line="300" w:lineRule="auto"/>
        <w:ind w:firstLine="0" w:firstLineChars="0"/>
        <w:jc w:val="left"/>
        <w:rPr>
          <w:rFonts w:ascii="华文楷体" w:hAnsi="华文楷体" w:eastAsia="华文楷体"/>
          <w:sz w:val="24"/>
          <w:szCs w:val="24"/>
        </w:rPr>
        <w:sectPr>
          <w:headerReference r:id="rId11" w:type="default"/>
          <w:footerReference r:id="rId13" w:type="default"/>
          <w:headerReference r:id="rId12" w:type="even"/>
          <w:footerReference r:id="rId14" w:type="even"/>
          <w:pgSz w:w="11906" w:h="16838"/>
          <w:pgMar w:top="1440" w:right="1800" w:bottom="1440" w:left="1800" w:header="851" w:footer="992" w:gutter="0"/>
          <w:pgNumType w:fmt="upperRoman" w:start="1"/>
          <w:cols w:space="425" w:num="1"/>
          <w:docGrid w:type="lines" w:linePitch="312" w:charSpace="0"/>
        </w:sectPr>
      </w:pPr>
      <w:r>
        <w:rPr>
          <w:rFonts w:ascii="华文楷体" w:hAnsi="华文楷体" w:eastAsia="华文楷体"/>
          <w:sz w:val="24"/>
          <w:szCs w:val="24"/>
        </w:rPr>
        <w:fldChar w:fldCharType="end"/>
      </w:r>
    </w:p>
    <w:p>
      <w:pPr>
        <w:pStyle w:val="83"/>
        <w:ind w:firstLine="180" w:firstLineChars="45"/>
        <w:outlineLvl w:val="0"/>
        <w:rPr>
          <w:rFonts w:ascii="黑体" w:hAnsi="黑体" w:eastAsia="黑体"/>
          <w:sz w:val="40"/>
          <w:szCs w:val="40"/>
        </w:rPr>
      </w:pPr>
      <w:bookmarkStart w:id="2" w:name="_Toc5364924"/>
      <w:bookmarkStart w:id="3" w:name="_Toc61100175"/>
      <w:r>
        <w:rPr>
          <w:rFonts w:hint="eastAsia" w:ascii="黑体" w:hAnsi="黑体" w:eastAsia="黑体"/>
          <w:sz w:val="40"/>
          <w:szCs w:val="40"/>
        </w:rPr>
        <w:t>第一章 执行概要</w:t>
      </w:r>
      <w:bookmarkEnd w:id="0"/>
      <w:bookmarkEnd w:id="2"/>
      <w:bookmarkEnd w:id="3"/>
    </w:p>
    <w:p>
      <w:pPr>
        <w:pStyle w:val="84"/>
        <w:ind w:firstLine="0" w:firstLineChars="0"/>
        <w:outlineLvl w:val="1"/>
        <w:rPr>
          <w:rFonts w:ascii="黑体" w:hAnsi="黑体"/>
          <w:b w:val="0"/>
          <w:sz w:val="30"/>
          <w:szCs w:val="30"/>
        </w:rPr>
      </w:pPr>
      <w:bookmarkStart w:id="4" w:name="_Toc4504532"/>
      <w:bookmarkStart w:id="5" w:name="_Toc5364925"/>
      <w:bookmarkStart w:id="6" w:name="_Toc61100176"/>
      <w:bookmarkStart w:id="7" w:name="_Toc17004"/>
      <w:r>
        <w:rPr>
          <w:rFonts w:hint="eastAsia" w:ascii="黑体" w:hAnsi="黑体"/>
          <w:b w:val="0"/>
          <w:sz w:val="30"/>
          <w:szCs w:val="30"/>
        </w:rPr>
        <w:t>1.1公司概况</w:t>
      </w:r>
      <w:bookmarkEnd w:id="4"/>
      <w:bookmarkEnd w:id="5"/>
      <w:bookmarkEnd w:id="6"/>
    </w:p>
    <w:p>
      <w:pPr>
        <w:ind w:firstLine="480"/>
        <w:rPr>
          <w:sz w:val="24"/>
          <w:szCs w:val="24"/>
        </w:rPr>
      </w:pPr>
      <w:r>
        <w:rPr>
          <w:rFonts w:hint="eastAsia"/>
          <w:sz w:val="24"/>
          <w:szCs w:val="24"/>
        </w:rPr>
        <w:t>云惠医健康咨询有限公司是一家致力于互联网医疗服务的公司。公司致力于构建以知识分享、信息共享为核心的受控自媒体平台，</w:t>
      </w:r>
      <w:r>
        <w:rPr>
          <w:rFonts w:hint="eastAsia"/>
          <w:b/>
          <w:sz w:val="24"/>
          <w:szCs w:val="24"/>
        </w:rPr>
        <w:t>以中老年慢性病患者为初期目标用户群体</w:t>
      </w:r>
      <w:r>
        <w:rPr>
          <w:rFonts w:hint="eastAsia"/>
          <w:sz w:val="24"/>
          <w:szCs w:val="24"/>
        </w:rPr>
        <w:t>，打造具备医疗咨询、病友交流、医生交流、病例评析、医疗方案制定、寻医问药、会诊室等主要功能的互联网+APP医疗生态圈。</w:t>
      </w:r>
    </w:p>
    <w:p>
      <w:pPr>
        <w:ind w:firstLine="480"/>
        <w:rPr>
          <w:sz w:val="24"/>
          <w:szCs w:val="24"/>
          <w:lang w:val="ru-RU"/>
        </w:rPr>
      </w:pPr>
      <w:r>
        <w:rPr>
          <w:sz w:val="24"/>
          <w:szCs w:val="24"/>
          <w:lang w:val="ru-RU"/>
        </w:rPr>
        <w:t>公司秉承“平等、学习、创新和尊重知识”的理念，高效整合医疗资源，创新医疗知识共享，科学防治慢性疾病，智慧提升人类幸福。采用扁平化的团队组织架构，保证了公司的有效运转。同时根据自身的发展战略和计划，建立了一套完整的人力资源管理制度，为公司的发展提供了人才与组织保障。</w:t>
      </w:r>
    </w:p>
    <w:p>
      <w:pPr>
        <w:ind w:firstLine="480"/>
        <w:rPr>
          <w:sz w:val="24"/>
          <w:szCs w:val="24"/>
          <w:lang w:val="ru-RU"/>
        </w:rPr>
      </w:pPr>
      <w:r>
        <w:rPr>
          <w:sz w:val="24"/>
          <w:szCs w:val="24"/>
          <w:lang w:val="ru-RU"/>
        </w:rPr>
        <w:t>公司采用创新性的运营模式，计划将平台发展规划分为三个阶段：投入期，成长期和成熟期。三个阶段战略任务和创新之处如下：</w:t>
      </w:r>
    </w:p>
    <w:p>
      <w:pPr>
        <w:ind w:firstLine="482"/>
        <w:rPr>
          <w:sz w:val="24"/>
          <w:szCs w:val="24"/>
          <w:lang w:val="ru-RU"/>
        </w:rPr>
      </w:pPr>
      <w:r>
        <w:rPr>
          <w:b/>
          <w:sz w:val="24"/>
          <w:szCs w:val="24"/>
          <w:lang w:val="ru-RU"/>
        </w:rPr>
        <w:t>投入期</w:t>
      </w:r>
      <w:r>
        <w:rPr>
          <w:sz w:val="24"/>
          <w:szCs w:val="24"/>
          <w:lang w:val="ru-RU"/>
        </w:rPr>
        <w:t>将专注于中老年慢性病市场，主要目标是增加用户注册数量，这一阶段采取完全免费的策略，但是，免费策略被设计成一个竞争性分级免费的体系，以激励用户通过“病毒式营销”方式推广APP平台，激励用户分享更有价值的治疗故事，激励医生不断提高治疗水平和用户满意度（竞争性分级免费策略详见2.2项目介绍）。</w:t>
      </w:r>
    </w:p>
    <w:p>
      <w:pPr>
        <w:ind w:firstLine="482"/>
        <w:rPr>
          <w:sz w:val="24"/>
          <w:szCs w:val="24"/>
          <w:lang w:val="ru-RU"/>
        </w:rPr>
      </w:pPr>
      <w:r>
        <w:rPr>
          <w:rFonts w:hint="eastAsia"/>
          <w:b/>
          <w:sz w:val="24"/>
          <w:szCs w:val="24"/>
          <w:lang w:val="ru-RU"/>
        </w:rPr>
        <w:t>成长期</w:t>
      </w:r>
      <w:r>
        <w:rPr>
          <w:rFonts w:hint="eastAsia"/>
          <w:sz w:val="24"/>
          <w:szCs w:val="24"/>
          <w:lang w:val="ru-RU"/>
        </w:rPr>
        <w:t>由于用户高速增长，平台积累了大量的注册用户和流量，可以考虑逐渐退出前期烧钱补贴的模式，推出一些盈利项目，包括会诊室、医疗方案、大数据查询服务、医药广告和非处方药的销售等。</w:t>
      </w:r>
    </w:p>
    <w:p>
      <w:pPr>
        <w:ind w:firstLine="482"/>
        <w:rPr>
          <w:sz w:val="24"/>
          <w:szCs w:val="24"/>
          <w:lang w:val="ru-RU"/>
        </w:rPr>
      </w:pPr>
      <w:r>
        <w:rPr>
          <w:rFonts w:hint="eastAsia"/>
          <w:b/>
          <w:sz w:val="24"/>
          <w:szCs w:val="24"/>
          <w:lang w:val="ru-RU"/>
        </w:rPr>
        <w:t>成熟期</w:t>
      </w:r>
      <w:r>
        <w:rPr>
          <w:rFonts w:hint="eastAsia"/>
          <w:sz w:val="24"/>
          <w:szCs w:val="24"/>
          <w:lang w:val="ru-RU"/>
        </w:rPr>
        <w:t>进一步把平台打造成一个全球知名的医疗APP，将用户定位从中老年人扩大到其他年龄层的群体。利用无线穿戴医疗检测设备，对用户进行无时间限制和空间限制的医疗检查和监测。建设大数据应用平台，为用户提供精准的健康预测与预防。</w:t>
      </w:r>
    </w:p>
    <w:p>
      <w:pPr>
        <w:pStyle w:val="84"/>
        <w:ind w:firstLine="0" w:firstLineChars="0"/>
        <w:outlineLvl w:val="1"/>
        <w:rPr>
          <w:rFonts w:ascii="黑体" w:hAnsi="黑体"/>
          <w:b w:val="0"/>
          <w:sz w:val="30"/>
          <w:szCs w:val="30"/>
        </w:rPr>
      </w:pPr>
      <w:bookmarkStart w:id="8" w:name="_Toc5364926"/>
      <w:bookmarkStart w:id="9" w:name="_Toc61100177"/>
      <w:bookmarkStart w:id="10" w:name="_Toc4504534"/>
      <w:r>
        <w:rPr>
          <w:rFonts w:hint="eastAsia" w:ascii="黑体" w:hAnsi="黑体"/>
          <w:b w:val="0"/>
          <w:sz w:val="30"/>
          <w:szCs w:val="30"/>
        </w:rPr>
        <w:t>1</w:t>
      </w:r>
      <w:r>
        <w:rPr>
          <w:rFonts w:ascii="黑体" w:hAnsi="黑体"/>
          <w:b w:val="0"/>
          <w:sz w:val="30"/>
          <w:szCs w:val="30"/>
        </w:rPr>
        <w:t>.2</w:t>
      </w:r>
      <w:r>
        <w:rPr>
          <w:rFonts w:hint="eastAsia" w:ascii="黑体" w:hAnsi="黑体"/>
          <w:b w:val="0"/>
          <w:sz w:val="30"/>
          <w:szCs w:val="30"/>
        </w:rPr>
        <w:t>项目背景</w:t>
      </w:r>
      <w:bookmarkEnd w:id="8"/>
      <w:bookmarkEnd w:id="9"/>
    </w:p>
    <w:p>
      <w:pPr>
        <w:ind w:firstLine="480"/>
        <w:rPr>
          <w:rFonts w:ascii="仿宋_GB2312"/>
          <w:sz w:val="24"/>
          <w:szCs w:val="24"/>
        </w:rPr>
      </w:pPr>
      <w:r>
        <w:rPr>
          <w:rFonts w:hint="eastAsia" w:ascii="仿宋_GB2312"/>
          <w:sz w:val="24"/>
          <w:szCs w:val="24"/>
        </w:rPr>
        <w:t>2018年4月28日，国务院办公厅印发了《关于促进“互联网+医疗健康发展的意见》。意见指出，要着力突出解决好我国人口老龄化和慢性病等问题，推进实施健康中国战略，提升医疗卫生现代化管理水平。让医疗插上“互联网+”翅膀，着力构建“互联网+”分级诊疗体系建设，合理配置医疗资源，实现优质医疗资源共享，创新服务模式，提高服务效率，降低服务成本，满足人民群众日益增长的医疗卫生健康需求。</w:t>
      </w:r>
    </w:p>
    <w:p>
      <w:pPr>
        <w:ind w:firstLine="480"/>
        <w:rPr>
          <w:rFonts w:ascii="仿宋_GB2312"/>
          <w:sz w:val="24"/>
          <w:szCs w:val="24"/>
        </w:rPr>
      </w:pPr>
      <w:r>
        <w:rPr>
          <w:rFonts w:hint="eastAsia" w:ascii="仿宋_GB2312"/>
          <w:sz w:val="24"/>
          <w:szCs w:val="24"/>
        </w:rPr>
        <w:t>目前，随着互联网的不断发展和医疗产业的不断融合，我国医疗行业正向合理分配优质医疗资源、医疗行业移动化、智能化、信息化发展发展。但是，我国医疗行业仍面临以下主要问题：</w:t>
      </w:r>
    </w:p>
    <w:p>
      <w:pPr>
        <w:ind w:firstLine="482"/>
        <w:rPr>
          <w:rFonts w:ascii="仿宋_GB2312"/>
          <w:sz w:val="24"/>
          <w:szCs w:val="24"/>
        </w:rPr>
      </w:pPr>
      <w:r>
        <w:rPr>
          <w:rFonts w:hint="eastAsia" w:ascii="仿宋_GB2312"/>
          <w:b/>
          <w:sz w:val="24"/>
          <w:szCs w:val="24"/>
        </w:rPr>
        <w:t>医疗资源配置不均。</w:t>
      </w:r>
      <w:r>
        <w:rPr>
          <w:rFonts w:hint="eastAsia" w:ascii="仿宋_GB2312"/>
          <w:sz w:val="24"/>
          <w:szCs w:val="24"/>
        </w:rPr>
        <w:t>一线城市的大医院拥有最优质的医疗资源，而中小医院、社区医院和县乡医院的医疗资源相对匮乏，据统计，目前80%以上的优秀医生都集中在少数医院，90%的高难度手术由不到5%的医院完成。</w:t>
      </w:r>
    </w:p>
    <w:p>
      <w:pPr>
        <w:ind w:firstLine="482"/>
        <w:rPr>
          <w:rFonts w:ascii="仿宋_GB2312"/>
          <w:sz w:val="24"/>
          <w:szCs w:val="24"/>
        </w:rPr>
      </w:pPr>
      <w:r>
        <w:rPr>
          <w:rFonts w:hint="eastAsia" w:ascii="仿宋_GB2312"/>
          <w:b/>
          <w:sz w:val="24"/>
          <w:szCs w:val="24"/>
        </w:rPr>
        <w:t>医院出现强者恒强，弱者恒弱的现象。</w:t>
      </w:r>
      <w:r>
        <w:rPr>
          <w:rFonts w:hint="eastAsia" w:ascii="仿宋_GB2312"/>
          <w:sz w:val="24"/>
          <w:szCs w:val="24"/>
        </w:rPr>
        <w:t>大医院新入职的医生可以通过不断向身边经验丰富的医生学习或参与医疗实践，以积累医疗经验；而中小医院的年轻医生缺少这种学习机会，因此无法积累丰富的治疗经验。</w:t>
      </w:r>
    </w:p>
    <w:p>
      <w:pPr>
        <w:ind w:firstLine="482"/>
        <w:rPr>
          <w:rFonts w:ascii="仿宋_GB2312"/>
          <w:sz w:val="24"/>
          <w:szCs w:val="24"/>
        </w:rPr>
      </w:pPr>
      <w:r>
        <w:rPr>
          <w:rFonts w:hint="eastAsia" w:ascii="仿宋_GB2312"/>
          <w:b/>
          <w:sz w:val="24"/>
          <w:szCs w:val="24"/>
        </w:rPr>
        <w:t>大医院人满为患，而中小医院门可罗雀。</w:t>
      </w:r>
      <w:r>
        <w:rPr>
          <w:rFonts w:hint="eastAsia" w:ascii="仿宋_GB2312"/>
          <w:sz w:val="24"/>
          <w:szCs w:val="24"/>
        </w:rPr>
        <w:t>由于目前这种状况的出现，中老年患者更加追捧大医院的医疗水平，但凡身体出现不适都涌向大医院，导致大医院在小病治疗上耗费过多资源，出现“大材小用”的现象。而中小医院资源被闲置浪费，医生更是缺少积累经验的机会。为防止医疗事故的发生，往往将难度稍高的病例都推往大医院。</w:t>
      </w:r>
    </w:p>
    <w:p>
      <w:pPr>
        <w:ind w:firstLine="480"/>
        <w:rPr>
          <w:rFonts w:ascii="仿宋_GB2312"/>
          <w:sz w:val="24"/>
          <w:szCs w:val="24"/>
        </w:rPr>
      </w:pPr>
      <w:r>
        <w:rPr>
          <w:rFonts w:hint="eastAsia" w:ascii="仿宋_GB2312"/>
          <w:sz w:val="24"/>
          <w:szCs w:val="24"/>
        </w:rPr>
        <w:t>因此，目前存在的问题亟待解决，而e+医APP致力于构建知识分享、信息共享的受控自媒体平台，通过经验丰富的医生分享知识，让新医生不受空间和时间限制地学习、查阅高水平医生的诊疗案例文章、视频和经典的医疗处方，从而迅速提高医疗水平。同时，通过患病时间长的用户分享自身的治疗经历和经验，以便让同类患者少走弯路，找到正确的治疗方向，快速对接合适的医生，及时接受正确有效的治疗。</w:t>
      </w:r>
    </w:p>
    <w:p>
      <w:pPr>
        <w:pStyle w:val="84"/>
        <w:ind w:firstLine="0" w:firstLineChars="0"/>
        <w:outlineLvl w:val="1"/>
        <w:rPr>
          <w:rFonts w:ascii="黑体" w:hAnsi="黑体"/>
          <w:b w:val="0"/>
          <w:sz w:val="30"/>
          <w:szCs w:val="30"/>
        </w:rPr>
      </w:pPr>
      <w:bookmarkStart w:id="11" w:name="_Toc5364927"/>
      <w:bookmarkStart w:id="12" w:name="_Toc61100178"/>
      <w:r>
        <w:rPr>
          <w:rFonts w:hint="eastAsia" w:ascii="黑体" w:hAnsi="黑体"/>
          <w:b w:val="0"/>
          <w:sz w:val="30"/>
          <w:szCs w:val="30"/>
        </w:rPr>
        <w:t>1.3项目</w:t>
      </w:r>
      <w:bookmarkEnd w:id="7"/>
      <w:bookmarkEnd w:id="10"/>
      <w:bookmarkEnd w:id="11"/>
      <w:r>
        <w:rPr>
          <w:rFonts w:hint="eastAsia" w:ascii="黑体" w:hAnsi="黑体"/>
          <w:b w:val="0"/>
          <w:sz w:val="30"/>
          <w:szCs w:val="30"/>
        </w:rPr>
        <w:t>分析</w:t>
      </w:r>
      <w:bookmarkEnd w:id="12"/>
    </w:p>
    <w:p>
      <w:pPr>
        <w:ind w:firstLine="482"/>
        <w:rPr>
          <w:rFonts w:ascii="仿宋_GB2312"/>
          <w:sz w:val="24"/>
          <w:szCs w:val="24"/>
        </w:rPr>
      </w:pPr>
      <w:bookmarkStart w:id="13" w:name="_Toc32407"/>
      <w:r>
        <w:rPr>
          <w:rFonts w:hint="eastAsia" w:ascii="仿宋_GB2312"/>
          <w:b/>
          <w:sz w:val="24"/>
          <w:szCs w:val="24"/>
        </w:rPr>
        <w:t>项目</w:t>
      </w:r>
      <w:bookmarkEnd w:id="13"/>
      <w:r>
        <w:rPr>
          <w:rFonts w:hint="eastAsia" w:ascii="仿宋_GB2312"/>
          <w:b/>
          <w:sz w:val="24"/>
          <w:szCs w:val="24"/>
        </w:rPr>
        <w:t>任务：</w:t>
      </w:r>
      <w:r>
        <w:rPr>
          <w:rFonts w:hint="eastAsia" w:ascii="仿宋_GB2312"/>
          <w:sz w:val="24"/>
          <w:szCs w:val="24"/>
        </w:rPr>
        <w:t>通过设计竞争性分级免费策略，激励医生提供更优质的医疗服务和治疗经验，同时激励患者分享自身的治疗经历和有价值的医疗知识，以中老年慢性病为切入点，打造一个以知识分享、信息共享为核心的互联网+APP医疗生态圈，具备医疗咨询、病友交流、医生交流、病例评析、医疗方案制定、寻医问药、会诊室等主要功能。</w:t>
      </w:r>
    </w:p>
    <w:p>
      <w:pPr>
        <w:ind w:firstLine="482"/>
        <w:rPr>
          <w:rFonts w:ascii="仿宋_GB2312"/>
          <w:sz w:val="24"/>
          <w:szCs w:val="24"/>
        </w:rPr>
      </w:pPr>
      <w:r>
        <w:rPr>
          <w:rFonts w:hint="eastAsia" w:ascii="仿宋_GB2312"/>
          <w:b/>
          <w:sz w:val="24"/>
          <w:szCs w:val="24"/>
        </w:rPr>
        <w:t>项目需求：</w:t>
      </w:r>
      <w:r>
        <w:rPr>
          <w:rFonts w:hint="eastAsia" w:ascii="仿宋_GB2312"/>
          <w:sz w:val="24"/>
          <w:szCs w:val="24"/>
        </w:rPr>
        <w:t>患者对获得有效治疗的渴望；新入职医生对积累医疗经验的渴望；有经验医生对传授知识获得成功的渴望；中小医院对获取优质医疗资源的渴望；大医院对疏解人满为患现状的渴望。</w:t>
      </w:r>
    </w:p>
    <w:p>
      <w:pPr>
        <w:ind w:firstLine="482"/>
        <w:rPr>
          <w:rFonts w:ascii="仿宋_GB2312"/>
          <w:sz w:val="24"/>
          <w:szCs w:val="24"/>
        </w:rPr>
      </w:pPr>
      <w:r>
        <w:rPr>
          <w:rFonts w:hint="eastAsia" w:ascii="仿宋_GB2312"/>
          <w:b/>
          <w:sz w:val="24"/>
          <w:szCs w:val="24"/>
        </w:rPr>
        <w:t>项目可行性：</w:t>
      </w:r>
      <w:bookmarkStart w:id="14" w:name="_Toc5968"/>
      <w:r>
        <w:rPr>
          <w:rFonts w:hint="eastAsia" w:ascii="仿宋_GB2312"/>
          <w:sz w:val="24"/>
          <w:szCs w:val="24"/>
        </w:rPr>
        <w:t>信息技术、互联网大潮催生的互联网+，使得医疗资源的虚拟化、再配置成为大势所趋。</w:t>
      </w:r>
    </w:p>
    <w:p>
      <w:pPr>
        <w:ind w:firstLine="482"/>
        <w:rPr>
          <w:rFonts w:ascii="仿宋_GB2312"/>
          <w:sz w:val="24"/>
          <w:szCs w:val="24"/>
        </w:rPr>
      </w:pPr>
      <w:r>
        <w:rPr>
          <w:rFonts w:hint="eastAsia" w:ascii="仿宋_GB2312"/>
          <w:b/>
          <w:sz w:val="24"/>
          <w:szCs w:val="24"/>
        </w:rPr>
        <w:t>项目</w:t>
      </w:r>
      <w:bookmarkEnd w:id="14"/>
      <w:r>
        <w:rPr>
          <w:rFonts w:hint="eastAsia" w:ascii="仿宋_GB2312"/>
          <w:b/>
          <w:sz w:val="24"/>
          <w:szCs w:val="24"/>
        </w:rPr>
        <w:t>优势：</w:t>
      </w:r>
      <w:r>
        <w:rPr>
          <w:rFonts w:hint="eastAsia" w:ascii="仿宋_GB2312"/>
          <w:sz w:val="24"/>
          <w:szCs w:val="24"/>
        </w:rPr>
        <w:t>通过构建一个以知识分享和信息共享为核心的自媒体医疗生态APP平台，可以最大程度地提高患者参与度和降低经营成本。</w:t>
      </w:r>
    </w:p>
    <w:p>
      <w:pPr>
        <w:ind w:firstLine="482"/>
        <w:rPr>
          <w:rFonts w:ascii="仿宋_GB2312"/>
          <w:sz w:val="24"/>
          <w:szCs w:val="24"/>
        </w:rPr>
      </w:pPr>
      <w:r>
        <w:rPr>
          <w:rFonts w:hint="eastAsia" w:ascii="仿宋_GB2312"/>
          <w:b/>
          <w:sz w:val="24"/>
          <w:szCs w:val="24"/>
        </w:rPr>
        <w:t>项目风险规避：</w:t>
      </w:r>
      <w:r>
        <w:rPr>
          <w:rFonts w:hint="eastAsia" w:ascii="仿宋_GB2312"/>
          <w:sz w:val="24"/>
          <w:szCs w:val="24"/>
        </w:rPr>
        <w:t>通过设计完善的管理流程来控制和规避主要风险（详见第9章）。</w:t>
      </w:r>
    </w:p>
    <w:p>
      <w:pPr>
        <w:pStyle w:val="84"/>
        <w:ind w:firstLine="0" w:firstLineChars="0"/>
        <w:outlineLvl w:val="1"/>
        <w:rPr>
          <w:rFonts w:ascii="黑体" w:hAnsi="黑体"/>
          <w:b w:val="0"/>
          <w:sz w:val="30"/>
          <w:szCs w:val="30"/>
        </w:rPr>
      </w:pPr>
      <w:bookmarkStart w:id="15" w:name="_Toc5364928"/>
      <w:bookmarkStart w:id="16" w:name="_Toc61100179"/>
      <w:bookmarkStart w:id="17" w:name="_Toc4504535"/>
      <w:r>
        <w:rPr>
          <w:rFonts w:hint="eastAsia" w:ascii="黑体" w:hAnsi="黑体"/>
          <w:b w:val="0"/>
          <w:sz w:val="30"/>
          <w:szCs w:val="30"/>
        </w:rPr>
        <w:t>1.4市场分析</w:t>
      </w:r>
      <w:bookmarkEnd w:id="15"/>
      <w:bookmarkEnd w:id="16"/>
      <w:bookmarkEnd w:id="17"/>
    </w:p>
    <w:p>
      <w:pPr>
        <w:ind w:firstLine="480"/>
        <w:rPr>
          <w:rFonts w:ascii="仿宋_GB2312"/>
          <w:sz w:val="24"/>
          <w:szCs w:val="24"/>
        </w:rPr>
      </w:pPr>
      <w:r>
        <w:rPr>
          <w:rFonts w:hint="eastAsia" w:ascii="仿宋_GB2312"/>
          <w:sz w:val="24"/>
          <w:szCs w:val="24"/>
        </w:rPr>
        <w:t>近年来，我国中老年慢性病患者数量剧增，而其中近90%的患者因不能找到有效的治疗方案和适当的医生，而错过最佳治疗时间，再加上病情没有得到合理的控制和治疗，导致很多患者病情加重，严重影响生活质量。</w:t>
      </w:r>
    </w:p>
    <w:p>
      <w:pPr>
        <w:ind w:firstLine="480"/>
        <w:rPr>
          <w:rFonts w:ascii="仿宋_GB2312"/>
          <w:sz w:val="24"/>
          <w:szCs w:val="24"/>
        </w:rPr>
      </w:pPr>
      <w:r>
        <w:rPr>
          <w:rFonts w:hint="eastAsia" w:ascii="仿宋_GB2312"/>
          <w:sz w:val="24"/>
          <w:szCs w:val="24"/>
        </w:rPr>
        <w:t>医疗资源分配不均，诊疗任务分配不均。2018年全国医疗机构总诊疗人次高达83.1亿人次，其中工作5年内的新入职医生诊疗人次仅为1.9亿人次，占比不足总诊疗人次的2.5%，直接导致了“医疗资源闲置”的局面。2018年末，我国医疗卫生机构数达997434个，三甲医院数量为1442家，三甲医院数量仅占医院总数的4.37%，而三甲医院诊疗人次占全国总诊疗人次的比例却高达20.869%。医疗资源的分配不均，使得诊疗任务大量集中在三甲医院。</w:t>
      </w:r>
    </w:p>
    <w:p>
      <w:pPr>
        <w:ind w:firstLine="480"/>
        <w:rPr>
          <w:rFonts w:hint="eastAsia" w:ascii="仿宋_GB2312"/>
          <w:sz w:val="24"/>
          <w:szCs w:val="24"/>
        </w:rPr>
      </w:pPr>
      <w:r>
        <w:rPr>
          <w:rFonts w:hint="eastAsia" w:ascii="仿宋_GB2312"/>
          <w:sz w:val="24"/>
          <w:szCs w:val="24"/>
        </w:rPr>
        <w:t>据国家卫生和计划生育委员会发布的近十年《我国卫生和计划生育事业发展统计公报》的显示资料可知，我国执业（助理）医师从2008年的208.2万人增长至2017年的335万人，但每年辞职和退休医师占比率从2008年的2.98%上升至2017年的4.07%，呈现逐年上涨态势，而且根据《中国医师执业状况白皮书》调查数据统计，40-60岁年龄人群是辞职和退休医生主要群体。随着辞职和退休医生数量的逐年增加，40-60岁主要退休人群所拥有的丰富临床医疗经验和知识也将被大量流失（如图1-1所示）。</w:t>
      </w:r>
    </w:p>
    <w:p>
      <w:pPr>
        <w:ind w:firstLine="480"/>
        <w:rPr>
          <w:rFonts w:ascii="仿宋_GB2312"/>
          <w:sz w:val="24"/>
          <w:szCs w:val="24"/>
        </w:rPr>
      </w:pPr>
    </w:p>
    <w:p>
      <w:pPr>
        <w:ind w:firstLine="480"/>
        <w:jc w:val="center"/>
        <w:rPr>
          <w:rFonts w:hint="eastAsia" w:ascii="仿宋_GB2312"/>
          <w:sz w:val="24"/>
          <w:szCs w:val="24"/>
        </w:rPr>
      </w:pPr>
    </w:p>
    <w:p>
      <w:pPr>
        <w:ind w:firstLine="480"/>
        <w:jc w:val="center"/>
        <w:rPr>
          <w:rFonts w:hint="eastAsia" w:ascii="仿宋_GB2312"/>
          <w:sz w:val="24"/>
          <w:szCs w:val="24"/>
        </w:rPr>
      </w:pPr>
    </w:p>
    <w:p>
      <w:pPr>
        <w:spacing w:line="240" w:lineRule="auto"/>
        <w:ind w:firstLine="0" w:firstLineChars="0"/>
        <w:jc w:val="center"/>
        <w:rPr>
          <w:rFonts w:hint="eastAsia" w:ascii="仿宋_GB2312"/>
          <w:sz w:val="21"/>
          <w:szCs w:val="24"/>
        </w:rPr>
      </w:pPr>
      <w:r>
        <w:rPr>
          <w:rFonts w:ascii="黑体" w:hAnsi="黑体"/>
          <w:b/>
          <w:sz w:val="30"/>
          <w:szCs w:val="30"/>
        </w:rPr>
        <w:drawing>
          <wp:anchor distT="0" distB="0" distL="114300" distR="114300" simplePos="0" relativeHeight="251676672" behindDoc="0" locked="0" layoutInCell="1" allowOverlap="1">
            <wp:simplePos x="0" y="0"/>
            <wp:positionH relativeFrom="column">
              <wp:posOffset>304800</wp:posOffset>
            </wp:positionH>
            <wp:positionV relativeFrom="paragraph">
              <wp:posOffset>352425</wp:posOffset>
            </wp:positionV>
            <wp:extent cx="5039995" cy="2155825"/>
            <wp:effectExtent l="0" t="0" r="8255" b="0"/>
            <wp:wrapSquare wrapText="bothSides"/>
            <wp:docPr id="14" name="图片 14" descr="C:\Users\鲁佳\AppData\Local\Temp\16101739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鲁佳\AppData\Local\Temp\1610173922(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039995" cy="2155825"/>
                    </a:xfrm>
                    <a:prstGeom prst="rect">
                      <a:avLst/>
                    </a:prstGeom>
                    <a:noFill/>
                    <a:ln>
                      <a:noFill/>
                    </a:ln>
                  </pic:spPr>
                </pic:pic>
              </a:graphicData>
            </a:graphic>
          </wp:anchor>
        </w:drawing>
      </w:r>
      <w:bookmarkStart w:id="18" w:name="_Toc4504536"/>
      <w:bookmarkStart w:id="19" w:name="_Toc5364929"/>
    </w:p>
    <w:p>
      <w:pPr>
        <w:spacing w:line="240" w:lineRule="auto"/>
        <w:ind w:firstLine="0" w:firstLineChars="0"/>
        <w:jc w:val="center"/>
        <w:rPr>
          <w:rFonts w:ascii="仿宋_GB2312"/>
          <w:sz w:val="21"/>
          <w:szCs w:val="24"/>
        </w:rPr>
      </w:pPr>
      <w:r>
        <w:rPr>
          <w:rFonts w:hint="eastAsia" w:ascii="仿宋_GB2312"/>
          <w:sz w:val="21"/>
          <w:szCs w:val="24"/>
        </w:rPr>
        <w:t>图1-1 我国每年执业（助理）医师数量和辞退医师占比率</w:t>
      </w:r>
    </w:p>
    <w:p>
      <w:pPr>
        <w:pStyle w:val="84"/>
        <w:ind w:firstLine="0" w:firstLineChars="0"/>
        <w:outlineLvl w:val="1"/>
        <w:rPr>
          <w:rFonts w:ascii="黑体" w:hAnsi="黑体"/>
          <w:b w:val="0"/>
          <w:sz w:val="30"/>
          <w:szCs w:val="30"/>
        </w:rPr>
      </w:pPr>
      <w:bookmarkStart w:id="20" w:name="_Toc61100180"/>
      <w:r>
        <w:rPr>
          <w:rFonts w:hint="eastAsia" w:ascii="黑体" w:hAnsi="黑体"/>
          <w:b w:val="0"/>
          <w:sz w:val="30"/>
          <w:szCs w:val="30"/>
        </w:rPr>
        <w:t>1.5</w:t>
      </w:r>
      <w:bookmarkEnd w:id="18"/>
      <w:bookmarkEnd w:id="19"/>
      <w:r>
        <w:rPr>
          <w:rFonts w:hint="eastAsia" w:ascii="黑体" w:hAnsi="黑体"/>
          <w:b w:val="0"/>
          <w:sz w:val="30"/>
          <w:szCs w:val="30"/>
        </w:rPr>
        <w:t>公司战略</w:t>
      </w:r>
      <w:bookmarkEnd w:id="20"/>
    </w:p>
    <w:p>
      <w:pPr>
        <w:ind w:firstLine="480"/>
        <w:jc w:val="left"/>
        <w:rPr>
          <w:sz w:val="24"/>
          <w:szCs w:val="24"/>
        </w:rPr>
      </w:pPr>
      <w:r>
        <w:rPr>
          <w:rFonts w:hint="eastAsia" w:ascii="仿宋_GB2312"/>
          <w:sz w:val="24"/>
          <w:szCs w:val="24"/>
        </w:rPr>
        <w:t>公司秉承“平等、学习、创新和尊重知识”的理念，努力促进医疗知识共享、医疗资源良性循环，创新医疗服务模式，改善用户健康，提升人类幸福，努力打造成一个大数据精准医疗的平台。</w:t>
      </w:r>
    </w:p>
    <w:p>
      <w:pPr>
        <w:ind w:firstLine="482"/>
        <w:rPr>
          <w:rFonts w:ascii="仿宋_GB2312"/>
          <w:sz w:val="24"/>
          <w:szCs w:val="24"/>
        </w:rPr>
      </w:pPr>
      <w:r>
        <w:rPr>
          <w:rFonts w:hint="eastAsia" w:ascii="仿宋_GB2312"/>
          <w:b/>
          <w:sz w:val="24"/>
          <w:szCs w:val="24"/>
        </w:rPr>
        <w:t>前期战略：</w:t>
      </w:r>
      <w:r>
        <w:rPr>
          <w:rFonts w:hint="eastAsia" w:ascii="仿宋_GB2312"/>
          <w:sz w:val="24"/>
          <w:szCs w:val="24"/>
        </w:rPr>
        <w:t>前期引入风险投资资金，吸引优秀的医生入驻“e+医”APP平台，并努力打造成知识分享的医疗平台。通过对医生设计竞争性分级免费策略激励医生分享知识、为患者提供更好的服务、为新入职医生提供学习的机会。通过对用户设计竞争性分级免费策略，吸引中老年用户注册，获取流量，提高关注度，并激励患者奉献有价值的医疗经历和治疗经验，同时，激励患者向周围朋友推荐平台，降低APP推广和营销成本，从而将平台打造成知识分享、医疗资源良性循环的生态圈。</w:t>
      </w:r>
    </w:p>
    <w:p>
      <w:pPr>
        <w:ind w:firstLine="482"/>
        <w:rPr>
          <w:rFonts w:ascii="仿宋_GB2312"/>
          <w:sz w:val="24"/>
          <w:szCs w:val="24"/>
        </w:rPr>
      </w:pPr>
      <w:r>
        <w:rPr>
          <w:rFonts w:hint="eastAsia" w:ascii="仿宋_GB2312"/>
          <w:b/>
          <w:sz w:val="24"/>
          <w:szCs w:val="24"/>
        </w:rPr>
        <w:t>中期发展战略：</w:t>
      </w:r>
      <w:r>
        <w:rPr>
          <w:rFonts w:hint="eastAsia" w:ascii="仿宋_GB2312"/>
          <w:sz w:val="24"/>
          <w:szCs w:val="24"/>
        </w:rPr>
        <w:t>推出更多的盈利项目，包括会诊室、医疗方案、医药广告、大数据查询服务和在线药房等项目，并开始对实际交易收取提成，使公司逐步盈利。</w:t>
      </w:r>
    </w:p>
    <w:p>
      <w:pPr>
        <w:ind w:firstLine="482"/>
        <w:rPr>
          <w:rFonts w:ascii="仿宋_GB2312"/>
          <w:sz w:val="24"/>
          <w:szCs w:val="24"/>
        </w:rPr>
      </w:pPr>
      <w:r>
        <w:rPr>
          <w:rFonts w:hint="eastAsia" w:ascii="仿宋_GB2312"/>
          <w:b/>
          <w:sz w:val="24"/>
          <w:szCs w:val="24"/>
        </w:rPr>
        <w:t>后期发展战略：</w:t>
      </w:r>
      <w:r>
        <w:rPr>
          <w:rFonts w:hint="eastAsia" w:ascii="仿宋_GB2312"/>
          <w:sz w:val="24"/>
          <w:szCs w:val="24"/>
        </w:rPr>
        <w:t>通过对用户健康大数据的开发利用，推动平台精准医疗服务模式的发展。将中老年用户群体扩展到其他年龄层，使平台成为全球性知名医疗APP。</w:t>
      </w:r>
    </w:p>
    <w:p>
      <w:pPr>
        <w:pStyle w:val="84"/>
        <w:ind w:firstLine="0" w:firstLineChars="0"/>
        <w:outlineLvl w:val="1"/>
        <w:rPr>
          <w:rFonts w:ascii="黑体" w:hAnsi="黑体"/>
          <w:b w:val="0"/>
          <w:sz w:val="30"/>
          <w:szCs w:val="30"/>
        </w:rPr>
      </w:pPr>
      <w:bookmarkStart w:id="21" w:name="_Toc61100181"/>
      <w:bookmarkStart w:id="22" w:name="_Toc5364930"/>
      <w:bookmarkStart w:id="23" w:name="_Toc4504537"/>
      <w:r>
        <w:rPr>
          <w:rFonts w:hint="eastAsia" w:ascii="黑体" w:hAnsi="黑体"/>
          <w:b w:val="0"/>
          <w:sz w:val="30"/>
          <w:szCs w:val="30"/>
        </w:rPr>
        <w:t>1.6营销战略</w:t>
      </w:r>
      <w:bookmarkEnd w:id="21"/>
      <w:bookmarkEnd w:id="22"/>
      <w:bookmarkEnd w:id="23"/>
    </w:p>
    <w:p>
      <w:pPr>
        <w:ind w:firstLine="480"/>
        <w:rPr>
          <w:rFonts w:ascii="仿宋_GB2312"/>
          <w:sz w:val="24"/>
          <w:szCs w:val="24"/>
        </w:rPr>
      </w:pPr>
      <w:r>
        <w:rPr>
          <w:rFonts w:hint="eastAsia" w:ascii="仿宋_GB2312"/>
          <w:sz w:val="24"/>
          <w:szCs w:val="24"/>
        </w:rPr>
        <w:t>为实现公司战略目标和任务，公司根据发展规模和市场需求制定了前期营销策略和中后期营销策略以满足用户实际需求。</w:t>
      </w:r>
      <w:bookmarkStart w:id="24" w:name="_Toc4504538"/>
    </w:p>
    <w:p>
      <w:pPr>
        <w:ind w:firstLine="482"/>
        <w:rPr>
          <w:rFonts w:ascii="仿宋_GB2312"/>
          <w:b/>
          <w:sz w:val="24"/>
          <w:szCs w:val="24"/>
        </w:rPr>
      </w:pPr>
      <w:r>
        <w:rPr>
          <w:rFonts w:hint="eastAsia" w:ascii="仿宋_GB2312"/>
          <w:b/>
          <w:sz w:val="24"/>
          <w:szCs w:val="24"/>
        </w:rPr>
        <w:t>1.前期营销战略</w:t>
      </w:r>
    </w:p>
    <w:p>
      <w:pPr>
        <w:ind w:firstLine="480"/>
        <w:rPr>
          <w:rFonts w:ascii="仿宋_GB2312"/>
          <w:sz w:val="24"/>
          <w:szCs w:val="24"/>
        </w:rPr>
      </w:pPr>
      <w:r>
        <w:rPr>
          <w:rFonts w:hint="eastAsia" w:ascii="仿宋_GB2312"/>
          <w:sz w:val="24"/>
          <w:szCs w:val="24"/>
        </w:rPr>
        <w:t>前期主要利用风险投资资金，实行补贴策略，为用户提供免费或者部分免费的医疗服务，吸引用户注册，获取APP流量及下载量，提高市场占有率。</w:t>
      </w:r>
    </w:p>
    <w:p>
      <w:pPr>
        <w:ind w:firstLine="480"/>
        <w:rPr>
          <w:rFonts w:ascii="仿宋_GB2312"/>
          <w:sz w:val="24"/>
          <w:szCs w:val="24"/>
        </w:rPr>
      </w:pPr>
      <w:r>
        <w:rPr>
          <w:rFonts w:hint="eastAsia" w:ascii="仿宋_GB2312"/>
          <w:sz w:val="24"/>
          <w:szCs w:val="24"/>
        </w:rPr>
        <w:t>针对慢性病患者主要通过手机应用商店推广、病毒式营销推广（采用竞争性分级免费策略引导并刺激用户主动宣传APP）、搜索引擎关键词推广等线上营销方法。</w:t>
      </w:r>
    </w:p>
    <w:p>
      <w:pPr>
        <w:ind w:firstLine="480"/>
        <w:rPr>
          <w:rFonts w:ascii="仿宋_GB2312"/>
          <w:sz w:val="24"/>
          <w:szCs w:val="24"/>
        </w:rPr>
      </w:pPr>
      <w:r>
        <w:rPr>
          <w:rFonts w:hint="eastAsia" w:ascii="仿宋_GB2312"/>
          <w:sz w:val="24"/>
          <w:szCs w:val="24"/>
        </w:rPr>
        <w:t>针对医生主要通过与医生面对面宣传的方式进行线下推广，提高公司知名度，从而实现公司初期战略目标。</w:t>
      </w:r>
    </w:p>
    <w:p>
      <w:pPr>
        <w:ind w:firstLine="482"/>
        <w:rPr>
          <w:rFonts w:ascii="仿宋_GB2312"/>
          <w:b/>
          <w:sz w:val="24"/>
          <w:szCs w:val="24"/>
        </w:rPr>
      </w:pPr>
      <w:r>
        <w:rPr>
          <w:rFonts w:hint="eastAsia" w:ascii="仿宋_GB2312"/>
          <w:b/>
          <w:sz w:val="24"/>
          <w:szCs w:val="24"/>
        </w:rPr>
        <w:t>2.中后期营销战略</w:t>
      </w:r>
    </w:p>
    <w:p>
      <w:pPr>
        <w:ind w:firstLine="480"/>
        <w:rPr>
          <w:rFonts w:ascii="仿宋_GB2312"/>
          <w:sz w:val="24"/>
          <w:szCs w:val="24"/>
        </w:rPr>
      </w:pPr>
      <w:r>
        <w:rPr>
          <w:rFonts w:hint="eastAsia" w:ascii="仿宋_GB2312"/>
          <w:sz w:val="24"/>
          <w:szCs w:val="24"/>
        </w:rPr>
        <w:t>沿用前期营销策略的基础上，逐步推出新的服务项目，包括：会诊室、医疗方案制定和在线药房等，并且推出更多个性化的服务项目，如私人医生和基于大数据的开发利用等。</w:t>
      </w:r>
    </w:p>
    <w:p>
      <w:pPr>
        <w:ind w:firstLine="480"/>
        <w:rPr>
          <w:rFonts w:ascii="仿宋_GB2312"/>
          <w:sz w:val="24"/>
          <w:szCs w:val="24"/>
        </w:rPr>
      </w:pPr>
      <w:r>
        <w:rPr>
          <w:rFonts w:hint="eastAsia" w:ascii="仿宋_GB2312"/>
          <w:sz w:val="24"/>
          <w:szCs w:val="24"/>
        </w:rPr>
        <w:t>针对慢性病患者仍继续沿用手机应用市场推广、病毒式营销推广、利用搜索引擎关键词推广等线上营销方式，并加大病毒式营销的力度，以鼓励老用户邀请新用户下载注册，降低营销成本。还通过纸媒、老年大学、新闻发布会、官方媒体或机构宣传等线下营销方式推广，强化品牌形象，持续吸引用户，继续扩大市场规模。</w:t>
      </w:r>
    </w:p>
    <w:p>
      <w:pPr>
        <w:ind w:firstLine="480"/>
        <w:rPr>
          <w:rFonts w:ascii="仿宋_GB2312"/>
          <w:sz w:val="24"/>
          <w:szCs w:val="24"/>
        </w:rPr>
      </w:pPr>
      <w:r>
        <w:rPr>
          <w:rFonts w:hint="eastAsia" w:ascii="仿宋_GB2312"/>
          <w:sz w:val="24"/>
          <w:szCs w:val="24"/>
        </w:rPr>
        <w:t>针对医生采取线下优质医生评选活动、学术会议或行业主题会议推广、专家座谈会推广等线下营销方式，保证“e+医”APP平台的优质医生源，提高社会关注度和认可度，赢得良好的社会口碑，树立良好的企业形象。</w:t>
      </w:r>
    </w:p>
    <w:p>
      <w:pPr>
        <w:spacing w:line="240" w:lineRule="atLeast"/>
        <w:ind w:firstLine="422"/>
        <w:jc w:val="center"/>
        <w:rPr>
          <w:rFonts w:ascii="楷体" w:hAnsi="楷体" w:eastAsia="楷体" w:cs="黑体"/>
          <w:b/>
          <w:bCs/>
          <w:sz w:val="21"/>
          <w:szCs w:val="21"/>
        </w:rPr>
      </w:pPr>
    </w:p>
    <w:p>
      <w:pPr>
        <w:pStyle w:val="84"/>
        <w:ind w:firstLine="0" w:firstLineChars="0"/>
        <w:outlineLvl w:val="1"/>
        <w:rPr>
          <w:rFonts w:ascii="黑体" w:hAnsi="黑体"/>
          <w:b w:val="0"/>
          <w:sz w:val="30"/>
          <w:szCs w:val="30"/>
        </w:rPr>
      </w:pPr>
      <w:bookmarkStart w:id="25" w:name="_Toc5364931"/>
      <w:bookmarkStart w:id="26" w:name="_Toc61100182"/>
      <w:r>
        <w:rPr>
          <w:rFonts w:hint="eastAsia" w:ascii="黑体" w:hAnsi="黑体"/>
          <w:b w:val="0"/>
          <w:sz w:val="30"/>
          <w:szCs w:val="30"/>
        </w:rPr>
        <w:t>1.7</w:t>
      </w:r>
      <w:bookmarkEnd w:id="24"/>
      <w:bookmarkEnd w:id="25"/>
      <w:r>
        <w:rPr>
          <w:rFonts w:hint="eastAsia" w:ascii="黑体" w:hAnsi="黑体"/>
          <w:b w:val="0"/>
          <w:sz w:val="30"/>
          <w:szCs w:val="30"/>
        </w:rPr>
        <w:t>投资分析</w:t>
      </w:r>
      <w:bookmarkEnd w:id="26"/>
    </w:p>
    <w:p>
      <w:pPr>
        <w:ind w:firstLine="480"/>
        <w:rPr>
          <w:rFonts w:ascii="仿宋_GB2312"/>
          <w:sz w:val="24"/>
          <w:szCs w:val="24"/>
        </w:rPr>
      </w:pPr>
      <w:bookmarkStart w:id="27" w:name="_Toc4504539"/>
      <w:r>
        <w:rPr>
          <w:rFonts w:hint="eastAsia" w:ascii="仿宋_GB2312"/>
          <w:sz w:val="24"/>
          <w:szCs w:val="24"/>
        </w:rPr>
        <w:t>根据现行同类移动医疗APP开发企业相关数据估算，公司正常运转需要3000万元资金，主要用于APP推广、APP研发测试、人员工资及补贴、医生责任险购买及保证足够的流动资金来维持公司的运营周转。公司投资资本结构如表1-1所示。</w:t>
      </w:r>
    </w:p>
    <w:p>
      <w:pPr>
        <w:spacing w:line="240" w:lineRule="auto"/>
        <w:ind w:firstLine="0" w:firstLineChars="0"/>
        <w:jc w:val="center"/>
        <w:rPr>
          <w:rFonts w:ascii="仿宋_GB2312"/>
          <w:sz w:val="21"/>
          <w:szCs w:val="24"/>
        </w:rPr>
      </w:pPr>
      <w:r>
        <w:rPr>
          <w:rFonts w:hint="eastAsia" w:ascii="仿宋_GB2312"/>
          <w:sz w:val="21"/>
          <w:szCs w:val="24"/>
        </w:rPr>
        <w:t>表1-1公司初期资本结构</w:t>
      </w:r>
    </w:p>
    <w:tbl>
      <w:tblPr>
        <w:tblStyle w:val="24"/>
        <w:tblW w:w="0" w:type="auto"/>
        <w:tblInd w:w="0" w:type="dxa"/>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2"/>
        <w:gridCol w:w="1585"/>
        <w:gridCol w:w="1585"/>
        <w:gridCol w:w="1585"/>
        <w:gridCol w:w="1585"/>
      </w:tblGrid>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PrEx>
        <w:tc>
          <w:tcPr>
            <w:tcW w:w="2182" w:type="dxa"/>
            <w:tcBorders>
              <w:top w:val="single" w:color="5B9BD5" w:themeColor="accent1" w:sz="8" w:space="0"/>
              <w:left w:val="nil"/>
              <w:bottom w:val="single" w:color="5B9BD5" w:themeColor="accent1" w:sz="8" w:space="0"/>
              <w:right w:val="nil"/>
              <w:insideH w:val="single" w:sz="8" w:space="0"/>
              <w:insideV w:val="nil"/>
            </w:tcBorders>
          </w:tcPr>
          <w:p>
            <w:pPr>
              <w:spacing w:before="0" w:after="0" w:line="240" w:lineRule="auto"/>
              <w:ind w:firstLine="0" w:firstLineChars="0"/>
              <w:rPr>
                <w:rFonts w:ascii="仿宋_GB2312"/>
                <w:b/>
                <w:bCs/>
                <w:color w:val="2E75B6" w:themeColor="accent1" w:themeShade="BF"/>
                <w:sz w:val="21"/>
                <w:szCs w:val="24"/>
              </w:rPr>
            </w:pPr>
          </w:p>
        </w:tc>
        <w:tc>
          <w:tcPr>
            <w:tcW w:w="1585"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rPr>
                <w:rFonts w:ascii="仿宋_GB2312"/>
                <w:b/>
                <w:bCs/>
                <w:color w:val="2E75B6" w:themeColor="accent1" w:themeShade="BF"/>
                <w:sz w:val="21"/>
                <w:szCs w:val="24"/>
              </w:rPr>
            </w:pPr>
            <w:r>
              <w:rPr>
                <w:rFonts w:hint="eastAsia" w:ascii="仿宋_GB2312"/>
                <w:b/>
                <w:bCs/>
                <w:color w:val="2E75B6" w:themeColor="accent1" w:themeShade="BF"/>
                <w:sz w:val="21"/>
                <w:szCs w:val="24"/>
              </w:rPr>
              <w:t>团队自筹</w:t>
            </w:r>
          </w:p>
        </w:tc>
        <w:tc>
          <w:tcPr>
            <w:tcW w:w="1585"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rPr>
                <w:rFonts w:ascii="仿宋_GB2312"/>
                <w:b/>
                <w:bCs/>
                <w:color w:val="2E75B6" w:themeColor="accent1" w:themeShade="BF"/>
                <w:sz w:val="21"/>
                <w:szCs w:val="24"/>
              </w:rPr>
            </w:pPr>
            <w:r>
              <w:rPr>
                <w:rFonts w:hint="eastAsia" w:ascii="仿宋_GB2312"/>
                <w:b/>
                <w:bCs/>
                <w:color w:val="2E75B6" w:themeColor="accent1" w:themeShade="BF"/>
                <w:sz w:val="21"/>
                <w:szCs w:val="24"/>
              </w:rPr>
              <w:t>风险投资</w:t>
            </w:r>
          </w:p>
        </w:tc>
        <w:tc>
          <w:tcPr>
            <w:tcW w:w="1585"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rPr>
                <w:rFonts w:ascii="仿宋_GB2312"/>
                <w:b/>
                <w:bCs/>
                <w:color w:val="2E75B6" w:themeColor="accent1" w:themeShade="BF"/>
                <w:sz w:val="21"/>
                <w:szCs w:val="24"/>
              </w:rPr>
            </w:pPr>
            <w:r>
              <w:rPr>
                <w:rFonts w:hint="eastAsia" w:ascii="仿宋_GB2312"/>
                <w:b/>
                <w:bCs/>
                <w:color w:val="2E75B6" w:themeColor="accent1" w:themeShade="BF"/>
                <w:sz w:val="21"/>
                <w:szCs w:val="24"/>
              </w:rPr>
              <w:t>银行贷款</w:t>
            </w:r>
          </w:p>
        </w:tc>
        <w:tc>
          <w:tcPr>
            <w:tcW w:w="1585"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rPr>
                <w:rFonts w:ascii="仿宋_GB2312"/>
                <w:b/>
                <w:bCs/>
                <w:color w:val="2E75B6" w:themeColor="accent1" w:themeShade="BF"/>
                <w:sz w:val="21"/>
                <w:szCs w:val="24"/>
              </w:rPr>
            </w:pPr>
            <w:r>
              <w:rPr>
                <w:rFonts w:hint="eastAsia" w:ascii="仿宋_GB2312"/>
                <w:b/>
                <w:bCs/>
                <w:color w:val="2E75B6" w:themeColor="accent1" w:themeShade="BF"/>
                <w:sz w:val="21"/>
                <w:szCs w:val="24"/>
              </w:rPr>
              <w:t>合计</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2" w:type="dxa"/>
            <w:tcBorders>
              <w:left w:val="nil"/>
              <w:right w:val="nil"/>
              <w:insideV w:val="nil"/>
            </w:tcBorders>
            <w:shd w:val="clear" w:color="auto" w:fill="D6E6F4" w:themeFill="accent1" w:themeFillTint="3F"/>
          </w:tcPr>
          <w:p>
            <w:pPr>
              <w:spacing w:line="240" w:lineRule="auto"/>
              <w:ind w:firstLine="0" w:firstLineChars="0"/>
              <w:rPr>
                <w:rFonts w:ascii="仿宋_GB2312"/>
                <w:b/>
                <w:bCs/>
                <w:color w:val="2E75B6" w:themeColor="accent1" w:themeShade="BF"/>
                <w:sz w:val="21"/>
                <w:szCs w:val="24"/>
              </w:rPr>
            </w:pPr>
            <w:r>
              <w:rPr>
                <w:rFonts w:hint="eastAsia" w:ascii="仿宋_GB2312"/>
                <w:b/>
                <w:bCs/>
                <w:color w:val="2E75B6" w:themeColor="accent1" w:themeShade="BF"/>
                <w:sz w:val="21"/>
                <w:szCs w:val="24"/>
              </w:rPr>
              <w:t>金额（万元）</w:t>
            </w:r>
          </w:p>
        </w:tc>
        <w:tc>
          <w:tcPr>
            <w:tcW w:w="1585" w:type="dxa"/>
            <w:tcBorders>
              <w:right w:val="nil"/>
              <w:insideV w:val="nil"/>
            </w:tcBorders>
            <w:shd w:val="clear" w:color="auto" w:fill="D6E6F4" w:themeFill="accent1" w:themeFillTint="3F"/>
          </w:tcPr>
          <w:p>
            <w:pPr>
              <w:spacing w:line="240" w:lineRule="auto"/>
              <w:ind w:firstLine="0" w:firstLineChars="0"/>
              <w:rPr>
                <w:rFonts w:ascii="仿宋_GB2312"/>
                <w:color w:val="2E75B6" w:themeColor="accent1" w:themeShade="BF"/>
                <w:sz w:val="21"/>
                <w:szCs w:val="24"/>
              </w:rPr>
            </w:pPr>
            <w:r>
              <w:rPr>
                <w:rFonts w:ascii="仿宋_GB2312"/>
                <w:color w:val="2E75B6" w:themeColor="accent1" w:themeShade="BF"/>
                <w:sz w:val="21"/>
                <w:szCs w:val="24"/>
              </w:rPr>
              <w:t>200</w:t>
            </w:r>
          </w:p>
        </w:tc>
        <w:tc>
          <w:tcPr>
            <w:tcW w:w="1585" w:type="dxa"/>
            <w:tcBorders>
              <w:right w:val="nil"/>
              <w:insideV w:val="nil"/>
            </w:tcBorders>
            <w:shd w:val="clear" w:color="auto" w:fill="D6E6F4" w:themeFill="accent1" w:themeFillTint="3F"/>
          </w:tcPr>
          <w:p>
            <w:pPr>
              <w:spacing w:line="240" w:lineRule="auto"/>
              <w:ind w:firstLine="0" w:firstLineChars="0"/>
              <w:rPr>
                <w:rFonts w:ascii="仿宋_GB2312"/>
                <w:color w:val="2E75B6" w:themeColor="accent1" w:themeShade="BF"/>
                <w:sz w:val="21"/>
                <w:szCs w:val="24"/>
              </w:rPr>
            </w:pPr>
            <w:r>
              <w:rPr>
                <w:rFonts w:ascii="仿宋_GB2312"/>
                <w:color w:val="2E75B6" w:themeColor="accent1" w:themeShade="BF"/>
                <w:sz w:val="21"/>
                <w:szCs w:val="24"/>
              </w:rPr>
              <w:t>2000</w:t>
            </w:r>
          </w:p>
        </w:tc>
        <w:tc>
          <w:tcPr>
            <w:tcW w:w="1585" w:type="dxa"/>
            <w:tcBorders>
              <w:right w:val="nil"/>
              <w:insideV w:val="nil"/>
            </w:tcBorders>
            <w:shd w:val="clear" w:color="auto" w:fill="D6E6F4" w:themeFill="accent1" w:themeFillTint="3F"/>
          </w:tcPr>
          <w:p>
            <w:pPr>
              <w:spacing w:line="240" w:lineRule="auto"/>
              <w:ind w:firstLine="0" w:firstLineChars="0"/>
              <w:rPr>
                <w:rFonts w:ascii="仿宋_GB2312"/>
                <w:color w:val="2E75B6" w:themeColor="accent1" w:themeShade="BF"/>
                <w:sz w:val="21"/>
                <w:szCs w:val="24"/>
              </w:rPr>
            </w:pPr>
            <w:r>
              <w:rPr>
                <w:rFonts w:ascii="仿宋_GB2312"/>
                <w:color w:val="2E75B6" w:themeColor="accent1" w:themeShade="BF"/>
                <w:sz w:val="21"/>
                <w:szCs w:val="24"/>
              </w:rPr>
              <w:t>800</w:t>
            </w:r>
          </w:p>
        </w:tc>
        <w:tc>
          <w:tcPr>
            <w:tcW w:w="1585" w:type="dxa"/>
            <w:tcBorders>
              <w:right w:val="nil"/>
              <w:insideV w:val="nil"/>
            </w:tcBorders>
            <w:shd w:val="clear" w:color="auto" w:fill="D6E6F4" w:themeFill="accent1" w:themeFillTint="3F"/>
          </w:tcPr>
          <w:p>
            <w:pPr>
              <w:spacing w:line="240" w:lineRule="auto"/>
              <w:ind w:firstLine="0" w:firstLineChars="0"/>
              <w:rPr>
                <w:rFonts w:ascii="仿宋_GB2312"/>
                <w:color w:val="2E75B6" w:themeColor="accent1" w:themeShade="BF"/>
                <w:sz w:val="21"/>
                <w:szCs w:val="24"/>
              </w:rPr>
            </w:pPr>
            <w:r>
              <w:rPr>
                <w:rFonts w:ascii="仿宋_GB2312"/>
                <w:color w:val="2E75B6" w:themeColor="accent1" w:themeShade="BF"/>
                <w:sz w:val="21"/>
                <w:szCs w:val="24"/>
              </w:rPr>
              <w:t>3000</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2" w:type="dxa"/>
          </w:tcPr>
          <w:p>
            <w:pPr>
              <w:spacing w:line="240" w:lineRule="auto"/>
              <w:ind w:firstLine="0" w:firstLineChars="0"/>
              <w:rPr>
                <w:rFonts w:ascii="仿宋_GB2312"/>
                <w:b/>
                <w:bCs/>
                <w:color w:val="2E75B6" w:themeColor="accent1" w:themeShade="BF"/>
                <w:sz w:val="21"/>
                <w:szCs w:val="24"/>
              </w:rPr>
            </w:pPr>
            <w:r>
              <w:rPr>
                <w:rFonts w:hint="eastAsia" w:ascii="仿宋_GB2312"/>
                <w:b/>
                <w:bCs/>
                <w:color w:val="2E75B6" w:themeColor="accent1" w:themeShade="BF"/>
                <w:sz w:val="21"/>
                <w:szCs w:val="24"/>
              </w:rPr>
              <w:t>比例</w:t>
            </w:r>
          </w:p>
        </w:tc>
        <w:tc>
          <w:tcPr>
            <w:tcW w:w="1585" w:type="dxa"/>
          </w:tcPr>
          <w:p>
            <w:pPr>
              <w:spacing w:line="240" w:lineRule="auto"/>
              <w:ind w:firstLine="0" w:firstLineChars="0"/>
              <w:rPr>
                <w:rFonts w:ascii="仿宋_GB2312"/>
                <w:color w:val="2E75B6" w:themeColor="accent1" w:themeShade="BF"/>
                <w:sz w:val="21"/>
                <w:szCs w:val="24"/>
              </w:rPr>
            </w:pPr>
            <w:r>
              <w:rPr>
                <w:rFonts w:ascii="仿宋_GB2312"/>
                <w:color w:val="2E75B6" w:themeColor="accent1" w:themeShade="BF"/>
                <w:sz w:val="21"/>
                <w:szCs w:val="24"/>
              </w:rPr>
              <w:t>6.67%</w:t>
            </w:r>
          </w:p>
        </w:tc>
        <w:tc>
          <w:tcPr>
            <w:tcW w:w="1585" w:type="dxa"/>
          </w:tcPr>
          <w:p>
            <w:pPr>
              <w:spacing w:line="240" w:lineRule="auto"/>
              <w:ind w:firstLine="0" w:firstLineChars="0"/>
              <w:rPr>
                <w:rFonts w:ascii="仿宋_GB2312"/>
                <w:color w:val="2E75B6" w:themeColor="accent1" w:themeShade="BF"/>
                <w:sz w:val="21"/>
                <w:szCs w:val="24"/>
              </w:rPr>
            </w:pPr>
            <w:r>
              <w:rPr>
                <w:rFonts w:ascii="仿宋_GB2312"/>
                <w:color w:val="2E75B6" w:themeColor="accent1" w:themeShade="BF"/>
                <w:sz w:val="21"/>
                <w:szCs w:val="24"/>
              </w:rPr>
              <w:t>66.67%</w:t>
            </w:r>
          </w:p>
        </w:tc>
        <w:tc>
          <w:tcPr>
            <w:tcW w:w="1585" w:type="dxa"/>
          </w:tcPr>
          <w:p>
            <w:pPr>
              <w:spacing w:line="240" w:lineRule="auto"/>
              <w:ind w:firstLine="0" w:firstLineChars="0"/>
              <w:rPr>
                <w:rFonts w:ascii="仿宋_GB2312"/>
                <w:color w:val="2E75B6" w:themeColor="accent1" w:themeShade="BF"/>
                <w:sz w:val="21"/>
                <w:szCs w:val="24"/>
              </w:rPr>
            </w:pPr>
            <w:r>
              <w:rPr>
                <w:rFonts w:ascii="仿宋_GB2312"/>
                <w:color w:val="2E75B6" w:themeColor="accent1" w:themeShade="BF"/>
                <w:sz w:val="21"/>
                <w:szCs w:val="24"/>
              </w:rPr>
              <w:t>26.67%</w:t>
            </w:r>
          </w:p>
        </w:tc>
        <w:tc>
          <w:tcPr>
            <w:tcW w:w="1585" w:type="dxa"/>
          </w:tcPr>
          <w:p>
            <w:pPr>
              <w:spacing w:line="240" w:lineRule="auto"/>
              <w:ind w:firstLine="0" w:firstLineChars="0"/>
              <w:rPr>
                <w:rFonts w:ascii="仿宋_GB2312"/>
                <w:color w:val="2E75B6" w:themeColor="accent1" w:themeShade="BF"/>
                <w:sz w:val="21"/>
                <w:szCs w:val="24"/>
              </w:rPr>
            </w:pPr>
            <w:r>
              <w:rPr>
                <w:rFonts w:ascii="仿宋_GB2312"/>
                <w:color w:val="2E75B6" w:themeColor="accent1" w:themeShade="BF"/>
                <w:sz w:val="21"/>
                <w:szCs w:val="24"/>
              </w:rPr>
              <w:t>100%</w:t>
            </w:r>
          </w:p>
        </w:tc>
      </w:tr>
    </w:tbl>
    <w:p>
      <w:pPr>
        <w:spacing w:line="240" w:lineRule="auto"/>
        <w:ind w:firstLine="440"/>
        <w:rPr>
          <w:rFonts w:ascii="仿宋_GB2312"/>
          <w:sz w:val="22"/>
          <w:szCs w:val="24"/>
        </w:rPr>
      </w:pPr>
      <w:r>
        <w:rPr>
          <w:rFonts w:hint="eastAsia" w:ascii="仿宋_GB2312"/>
          <w:sz w:val="22"/>
          <w:szCs w:val="24"/>
        </w:rPr>
        <w:t>注：由于本企业在初创期属于小型微利企业，根据《关于进一步做好小微企业贷款减免政策贯彻落实工作的通知》（财税{2017}78号），初创型小微企业可享受无息贷款优惠政策。</w:t>
      </w:r>
    </w:p>
    <w:p>
      <w:pPr>
        <w:ind w:firstLine="480"/>
        <w:rPr>
          <w:rFonts w:ascii="仿宋_GB2312"/>
          <w:sz w:val="24"/>
          <w:szCs w:val="24"/>
        </w:rPr>
      </w:pPr>
      <w:r>
        <w:rPr>
          <w:rFonts w:hint="eastAsia" w:ascii="仿宋_GB2312"/>
          <w:sz w:val="24"/>
          <w:szCs w:val="24"/>
        </w:rPr>
        <w:t>项目投资共需要资金3000万元，主要来自于权益资本和债务资本。其中权益资本为团队自筹和风险投资者投资；债务资本为银行贷款。整个项目将采取“团队自筹+风险投资+银行贷款+滚动投资”的方法。投入期所需资金主要由团队自筹和风险投资商投资，成长期和成熟期所需资金通过银行贷款和自有资本再投入获取。</w:t>
      </w:r>
    </w:p>
    <w:p>
      <w:pPr>
        <w:pStyle w:val="84"/>
        <w:ind w:firstLine="480"/>
        <w:rPr>
          <w:rFonts w:eastAsia="仿宋_GB2312"/>
          <w:b w:val="0"/>
          <w:sz w:val="24"/>
          <w:szCs w:val="24"/>
        </w:rPr>
      </w:pPr>
    </w:p>
    <w:p>
      <w:pPr>
        <w:pStyle w:val="84"/>
        <w:ind w:firstLine="0" w:firstLineChars="0"/>
        <w:outlineLvl w:val="1"/>
        <w:rPr>
          <w:rFonts w:ascii="黑体" w:hAnsi="黑体"/>
          <w:b w:val="0"/>
          <w:sz w:val="30"/>
          <w:szCs w:val="30"/>
        </w:rPr>
      </w:pPr>
      <w:bookmarkStart w:id="28" w:name="_Toc61100183"/>
      <w:bookmarkStart w:id="29" w:name="_Toc5364932"/>
      <w:r>
        <w:rPr>
          <w:rFonts w:hint="eastAsia" w:ascii="黑体" w:hAnsi="黑体"/>
          <w:b w:val="0"/>
          <w:sz w:val="30"/>
          <w:szCs w:val="30"/>
        </w:rPr>
        <w:t>1.8财务分析</w:t>
      </w:r>
      <w:bookmarkEnd w:id="27"/>
      <w:bookmarkEnd w:id="28"/>
      <w:bookmarkEnd w:id="29"/>
    </w:p>
    <w:p>
      <w:pPr>
        <w:ind w:firstLine="482"/>
        <w:rPr>
          <w:rFonts w:ascii="仿宋_GB2312"/>
          <w:b/>
          <w:sz w:val="24"/>
          <w:szCs w:val="24"/>
        </w:rPr>
      </w:pPr>
      <w:r>
        <w:rPr>
          <w:rFonts w:hint="eastAsia" w:ascii="仿宋_GB2312"/>
          <w:b/>
          <w:sz w:val="24"/>
          <w:szCs w:val="24"/>
        </w:rPr>
        <w:t xml:space="preserve">1.收益预测 </w:t>
      </w:r>
    </w:p>
    <w:p>
      <w:pPr>
        <w:ind w:firstLine="480"/>
        <w:rPr>
          <w:rFonts w:ascii="仿宋_GB2312"/>
          <w:sz w:val="24"/>
          <w:szCs w:val="24"/>
        </w:rPr>
      </w:pPr>
      <w:r>
        <w:rPr>
          <w:rFonts w:hint="eastAsia" w:ascii="仿宋_GB2312"/>
          <w:sz w:val="24"/>
          <w:szCs w:val="24"/>
        </w:rPr>
        <w:t>在对市场需求调研和分析的基础上，结合本公司现有的规模和资金情况做出未来十年的收益情况预测表如表1-2所示。</w:t>
      </w:r>
    </w:p>
    <w:p>
      <w:pPr>
        <w:spacing w:line="240" w:lineRule="auto"/>
        <w:ind w:firstLine="0" w:firstLineChars="0"/>
        <w:jc w:val="center"/>
        <w:rPr>
          <w:rFonts w:ascii="仿宋_GB2312"/>
          <w:sz w:val="21"/>
          <w:szCs w:val="24"/>
        </w:rPr>
      </w:pPr>
      <w:r>
        <w:rPr>
          <w:rFonts w:hint="eastAsia" w:ascii="仿宋_GB2312"/>
          <w:sz w:val="21"/>
          <w:szCs w:val="24"/>
        </w:rPr>
        <w:t>表1-2收益预测一览表</w:t>
      </w:r>
    </w:p>
    <w:p>
      <w:pPr>
        <w:spacing w:line="240" w:lineRule="auto"/>
        <w:ind w:firstLine="420"/>
        <w:jc w:val="right"/>
        <w:rPr>
          <w:rFonts w:ascii="仿宋_GB2312"/>
          <w:sz w:val="21"/>
          <w:szCs w:val="24"/>
        </w:rPr>
      </w:pPr>
      <w:r>
        <w:rPr>
          <w:rFonts w:hint="eastAsia" w:ascii="仿宋_GB2312"/>
          <w:sz w:val="21"/>
          <w:szCs w:val="24"/>
        </w:rPr>
        <w:t>（单位：万元）</w:t>
      </w:r>
    </w:p>
    <w:tbl>
      <w:tblPr>
        <w:tblStyle w:val="23"/>
        <w:tblW w:w="88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gridCol w:w="717"/>
        <w:gridCol w:w="716"/>
        <w:gridCol w:w="720"/>
        <w:gridCol w:w="745"/>
        <w:gridCol w:w="745"/>
        <w:gridCol w:w="753"/>
        <w:gridCol w:w="776"/>
        <w:gridCol w:w="776"/>
        <w:gridCol w:w="776"/>
        <w:gridCol w:w="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时期</w:t>
            </w:r>
          </w:p>
        </w:tc>
        <w:tc>
          <w:tcPr>
            <w:tcW w:w="2153" w:type="dxa"/>
            <w:gridSpan w:val="3"/>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初期</w:t>
            </w:r>
          </w:p>
        </w:tc>
        <w:tc>
          <w:tcPr>
            <w:tcW w:w="2243" w:type="dxa"/>
            <w:gridSpan w:val="3"/>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中期</w:t>
            </w:r>
          </w:p>
        </w:tc>
        <w:tc>
          <w:tcPr>
            <w:tcW w:w="3184" w:type="dxa"/>
            <w:gridSpan w:val="4"/>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后期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项目/年份</w:t>
            </w:r>
          </w:p>
        </w:tc>
        <w:tc>
          <w:tcPr>
            <w:tcW w:w="717" w:type="dxa"/>
            <w:vAlign w:val="center"/>
          </w:tcPr>
          <w:p>
            <w:pPr>
              <w:spacing w:line="240" w:lineRule="auto"/>
              <w:ind w:firstLine="0" w:firstLineChars="0"/>
              <w:jc w:val="center"/>
              <w:rPr>
                <w:rFonts w:ascii="宋体" w:hAnsi="宋体" w:eastAsia="宋体"/>
                <w:sz w:val="16"/>
                <w:szCs w:val="18"/>
              </w:rPr>
            </w:pPr>
            <w:r>
              <w:rPr>
                <w:rFonts w:ascii="宋体" w:hAnsi="宋体" w:eastAsia="宋体"/>
                <w:sz w:val="16"/>
                <w:szCs w:val="18"/>
              </w:rPr>
              <w:t>2019</w:t>
            </w:r>
          </w:p>
        </w:tc>
        <w:tc>
          <w:tcPr>
            <w:tcW w:w="71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2020</w:t>
            </w:r>
          </w:p>
        </w:tc>
        <w:tc>
          <w:tcPr>
            <w:tcW w:w="720"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2021</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2022</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2023</w:t>
            </w:r>
          </w:p>
        </w:tc>
        <w:tc>
          <w:tcPr>
            <w:tcW w:w="753"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2024</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2025</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2026</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2027</w:t>
            </w:r>
          </w:p>
        </w:tc>
        <w:tc>
          <w:tcPr>
            <w:tcW w:w="85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处方提成</w:t>
            </w:r>
          </w:p>
        </w:tc>
        <w:tc>
          <w:tcPr>
            <w:tcW w:w="717" w:type="dxa"/>
            <w:vAlign w:val="center"/>
          </w:tcPr>
          <w:p>
            <w:pPr>
              <w:spacing w:line="240" w:lineRule="auto"/>
              <w:ind w:firstLine="0" w:firstLineChars="0"/>
              <w:jc w:val="center"/>
              <w:rPr>
                <w:rFonts w:ascii="宋体" w:hAnsi="宋体" w:eastAsia="宋体"/>
                <w:sz w:val="16"/>
                <w:szCs w:val="18"/>
              </w:rPr>
            </w:pPr>
            <w:r>
              <w:rPr>
                <w:rFonts w:ascii="宋体" w:hAnsi="宋体" w:eastAsia="宋体"/>
                <w:sz w:val="16"/>
                <w:szCs w:val="18"/>
              </w:rPr>
              <w:t>1.16</w:t>
            </w:r>
          </w:p>
        </w:tc>
        <w:tc>
          <w:tcPr>
            <w:tcW w:w="716" w:type="dxa"/>
            <w:vAlign w:val="center"/>
          </w:tcPr>
          <w:p>
            <w:pPr>
              <w:spacing w:line="240" w:lineRule="auto"/>
              <w:ind w:firstLine="0" w:firstLineChars="0"/>
              <w:jc w:val="center"/>
              <w:rPr>
                <w:rFonts w:ascii="宋体" w:hAnsi="宋体" w:eastAsia="宋体"/>
                <w:sz w:val="16"/>
                <w:szCs w:val="18"/>
              </w:rPr>
            </w:pPr>
            <w:r>
              <w:rPr>
                <w:rFonts w:ascii="宋体" w:hAnsi="宋体" w:eastAsia="宋体"/>
                <w:sz w:val="16"/>
                <w:szCs w:val="18"/>
              </w:rPr>
              <w:t>1.94</w:t>
            </w:r>
          </w:p>
        </w:tc>
        <w:tc>
          <w:tcPr>
            <w:tcW w:w="720" w:type="dxa"/>
            <w:vAlign w:val="center"/>
          </w:tcPr>
          <w:p>
            <w:pPr>
              <w:spacing w:line="240" w:lineRule="auto"/>
              <w:ind w:firstLine="0" w:firstLineChars="0"/>
              <w:jc w:val="center"/>
              <w:rPr>
                <w:rFonts w:ascii="宋体" w:hAnsi="宋体" w:eastAsia="宋体"/>
                <w:sz w:val="16"/>
                <w:szCs w:val="18"/>
              </w:rPr>
            </w:pPr>
            <w:r>
              <w:rPr>
                <w:rFonts w:ascii="宋体" w:hAnsi="宋体" w:eastAsia="宋体"/>
                <w:sz w:val="16"/>
                <w:szCs w:val="18"/>
              </w:rPr>
              <w:t>3.87</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26.82</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35.76</w:t>
            </w:r>
          </w:p>
        </w:tc>
        <w:tc>
          <w:tcPr>
            <w:tcW w:w="753"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44.70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152.10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202.80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253.50</w:t>
            </w:r>
          </w:p>
        </w:tc>
        <w:tc>
          <w:tcPr>
            <w:tcW w:w="85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405.60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医疗方案提成</w:t>
            </w:r>
          </w:p>
        </w:tc>
        <w:tc>
          <w:tcPr>
            <w:tcW w:w="717"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0.48</w:t>
            </w:r>
          </w:p>
        </w:tc>
        <w:tc>
          <w:tcPr>
            <w:tcW w:w="71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0.96</w:t>
            </w:r>
          </w:p>
        </w:tc>
        <w:tc>
          <w:tcPr>
            <w:tcW w:w="720"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3.82</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17.94</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35.88</w:t>
            </w:r>
          </w:p>
        </w:tc>
        <w:tc>
          <w:tcPr>
            <w:tcW w:w="753"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59.80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131.60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197.40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329.00</w:t>
            </w:r>
          </w:p>
        </w:tc>
        <w:tc>
          <w:tcPr>
            <w:tcW w:w="85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658.00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私人医生包月费用提成</w:t>
            </w:r>
          </w:p>
        </w:tc>
        <w:tc>
          <w:tcPr>
            <w:tcW w:w="717" w:type="dxa"/>
            <w:vAlign w:val="center"/>
          </w:tcPr>
          <w:p>
            <w:pPr>
              <w:spacing w:line="240" w:lineRule="auto"/>
              <w:ind w:firstLine="0" w:firstLineChars="0"/>
              <w:jc w:val="center"/>
              <w:rPr>
                <w:rFonts w:ascii="宋体" w:hAnsi="宋体" w:eastAsia="宋体"/>
                <w:sz w:val="16"/>
                <w:szCs w:val="18"/>
              </w:rPr>
            </w:pPr>
            <w:r>
              <w:rPr>
                <w:rFonts w:ascii="宋体" w:hAnsi="宋体" w:eastAsia="宋体"/>
                <w:sz w:val="16"/>
                <w:szCs w:val="18"/>
              </w:rPr>
              <w:t>0.40</w:t>
            </w:r>
          </w:p>
        </w:tc>
        <w:tc>
          <w:tcPr>
            <w:tcW w:w="71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1.52</w:t>
            </w:r>
          </w:p>
        </w:tc>
        <w:tc>
          <w:tcPr>
            <w:tcW w:w="720"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3.63</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15.18</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25.96</w:t>
            </w:r>
          </w:p>
        </w:tc>
        <w:tc>
          <w:tcPr>
            <w:tcW w:w="753"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41.14</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97.86</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149.80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179.76</w:t>
            </w:r>
          </w:p>
        </w:tc>
        <w:tc>
          <w:tcPr>
            <w:tcW w:w="85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237.68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会诊室提成</w:t>
            </w:r>
          </w:p>
        </w:tc>
        <w:tc>
          <w:tcPr>
            <w:tcW w:w="717"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1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20"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23.96</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47.92</w:t>
            </w:r>
          </w:p>
        </w:tc>
        <w:tc>
          <w:tcPr>
            <w:tcW w:w="753"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119.80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255.60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511.20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894.60</w:t>
            </w:r>
          </w:p>
        </w:tc>
        <w:tc>
          <w:tcPr>
            <w:tcW w:w="85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1278.00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药房收入</w:t>
            </w:r>
          </w:p>
        </w:tc>
        <w:tc>
          <w:tcPr>
            <w:tcW w:w="717"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1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20"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10</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30</w:t>
            </w:r>
          </w:p>
        </w:tc>
        <w:tc>
          <w:tcPr>
            <w:tcW w:w="753"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100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350</w:t>
            </w:r>
          </w:p>
        </w:tc>
        <w:tc>
          <w:tcPr>
            <w:tcW w:w="85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广告收入</w:t>
            </w:r>
          </w:p>
        </w:tc>
        <w:tc>
          <w:tcPr>
            <w:tcW w:w="717"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1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20"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40</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70</w:t>
            </w:r>
          </w:p>
        </w:tc>
        <w:tc>
          <w:tcPr>
            <w:tcW w:w="753"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150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400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1000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1650</w:t>
            </w:r>
          </w:p>
        </w:tc>
        <w:tc>
          <w:tcPr>
            <w:tcW w:w="85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交叉查询</w:t>
            </w:r>
            <w:r>
              <w:rPr>
                <w:rFonts w:ascii="宋体" w:hAnsi="宋体" w:eastAsia="宋体"/>
                <w:sz w:val="16"/>
                <w:szCs w:val="18"/>
              </w:rPr>
              <w:t>收入</w:t>
            </w:r>
          </w:p>
        </w:tc>
        <w:tc>
          <w:tcPr>
            <w:tcW w:w="717"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1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20"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10</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30</w:t>
            </w:r>
          </w:p>
        </w:tc>
        <w:tc>
          <w:tcPr>
            <w:tcW w:w="753"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80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100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150</w:t>
            </w:r>
          </w:p>
        </w:tc>
        <w:tc>
          <w:tcPr>
            <w:tcW w:w="85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pPr>
              <w:spacing w:line="240" w:lineRule="auto"/>
              <w:ind w:firstLine="0" w:firstLineChars="0"/>
              <w:jc w:val="center"/>
              <w:rPr>
                <w:rFonts w:ascii="宋体" w:hAnsi="宋体" w:eastAsia="宋体"/>
                <w:sz w:val="16"/>
                <w:szCs w:val="18"/>
              </w:rPr>
            </w:pPr>
            <w:r>
              <w:rPr>
                <w:rFonts w:ascii="宋体" w:hAnsi="宋体" w:eastAsia="宋体"/>
                <w:sz w:val="16"/>
                <w:szCs w:val="18"/>
              </w:rPr>
              <w:t>大数据服务费</w:t>
            </w:r>
          </w:p>
        </w:tc>
        <w:tc>
          <w:tcPr>
            <w:tcW w:w="717"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1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20"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53"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500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1000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2000</w:t>
            </w:r>
          </w:p>
        </w:tc>
        <w:tc>
          <w:tcPr>
            <w:tcW w:w="85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合计</w:t>
            </w:r>
          </w:p>
        </w:tc>
        <w:tc>
          <w:tcPr>
            <w:tcW w:w="717"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2.03</w:t>
            </w:r>
          </w:p>
        </w:tc>
        <w:tc>
          <w:tcPr>
            <w:tcW w:w="71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4.41</w:t>
            </w:r>
          </w:p>
        </w:tc>
        <w:tc>
          <w:tcPr>
            <w:tcW w:w="720"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11.33</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143.90</w:t>
            </w:r>
          </w:p>
        </w:tc>
        <w:tc>
          <w:tcPr>
            <w:tcW w:w="745"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275.52</w:t>
            </w:r>
          </w:p>
        </w:tc>
        <w:tc>
          <w:tcPr>
            <w:tcW w:w="753"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515.44</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1619.30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3361.20</w:t>
            </w:r>
          </w:p>
        </w:tc>
        <w:tc>
          <w:tcPr>
            <w:tcW w:w="77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5806.86</w:t>
            </w:r>
          </w:p>
        </w:tc>
        <w:tc>
          <w:tcPr>
            <w:tcW w:w="856" w:type="dxa"/>
            <w:vAlign w:val="center"/>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11779.28</w:t>
            </w:r>
          </w:p>
        </w:tc>
      </w:tr>
    </w:tbl>
    <w:p>
      <w:pPr>
        <w:ind w:firstLine="420"/>
        <w:rPr>
          <w:rFonts w:ascii="仿宋_GB2312"/>
          <w:sz w:val="21"/>
          <w:szCs w:val="24"/>
        </w:rPr>
      </w:pPr>
      <w:r>
        <w:rPr>
          <w:rFonts w:hint="eastAsia" w:ascii="仿宋_GB2312"/>
          <w:sz w:val="21"/>
          <w:szCs w:val="24"/>
        </w:rPr>
        <w:t>注：大数据服务费包括科研机构、卫计委、医院、用户病情预测预防</w:t>
      </w:r>
    </w:p>
    <w:p>
      <w:pPr>
        <w:ind w:firstLine="482"/>
        <w:rPr>
          <w:rFonts w:ascii="仿宋_GB2312"/>
          <w:b/>
          <w:sz w:val="24"/>
          <w:szCs w:val="24"/>
        </w:rPr>
      </w:pPr>
      <w:r>
        <w:rPr>
          <w:rFonts w:hint="eastAsia" w:ascii="仿宋_GB2312"/>
          <w:b/>
          <w:sz w:val="24"/>
          <w:szCs w:val="24"/>
        </w:rPr>
        <w:t>2.财务预测</w:t>
      </w:r>
    </w:p>
    <w:p>
      <w:pPr>
        <w:ind w:firstLine="480"/>
        <w:jc w:val="left"/>
        <w:rPr>
          <w:sz w:val="24"/>
          <w:szCs w:val="24"/>
        </w:rPr>
      </w:pPr>
      <w:r>
        <w:rPr>
          <w:rFonts w:hint="eastAsia"/>
          <w:sz w:val="24"/>
          <w:szCs w:val="24"/>
        </w:rPr>
        <w:t>基于投资分析和公司发展战略，公司未来十年营业收入和资产总额将呈现高增长态势，公司发展稳健，成长性良好，具体数据如图1-2所示。</w:t>
      </w:r>
      <w:bookmarkStart w:id="30" w:name="_Toc4504540"/>
    </w:p>
    <w:p>
      <w:pPr>
        <w:ind w:firstLine="480"/>
        <w:jc w:val="left"/>
        <w:rPr>
          <w:sz w:val="24"/>
          <w:szCs w:val="24"/>
        </w:rPr>
      </w:pPr>
      <w:r>
        <w:rPr>
          <w:sz w:val="24"/>
          <w:szCs w:val="24"/>
        </w:rPr>
        <w:drawing>
          <wp:inline distT="0" distB="0" distL="0" distR="0">
            <wp:extent cx="5114925" cy="2371725"/>
            <wp:effectExtent l="0" t="0" r="0" b="0"/>
            <wp:docPr id="55" name="图表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pPr>
        <w:spacing w:line="240" w:lineRule="auto"/>
        <w:ind w:firstLine="0" w:firstLineChars="0"/>
        <w:jc w:val="center"/>
        <w:rPr>
          <w:rFonts w:ascii="仿宋_GB2312"/>
          <w:sz w:val="21"/>
          <w:szCs w:val="24"/>
        </w:rPr>
      </w:pPr>
      <w:r>
        <w:rPr>
          <w:rFonts w:hint="eastAsia" w:ascii="仿宋_GB2312"/>
          <w:sz w:val="21"/>
          <w:szCs w:val="24"/>
        </w:rPr>
        <w:t>图1-2公司未来十年营业收入和资产总额估算（万元）</w:t>
      </w:r>
    </w:p>
    <w:bookmarkEnd w:id="1"/>
    <w:bookmarkEnd w:id="30"/>
    <w:p>
      <w:pPr>
        <w:pStyle w:val="83"/>
        <w:ind w:firstLine="144" w:firstLineChars="45"/>
        <w:outlineLvl w:val="0"/>
        <w:rPr>
          <w:rFonts w:ascii="黑体" w:hAnsi="黑体" w:eastAsia="黑体"/>
          <w:sz w:val="32"/>
          <w:szCs w:val="40"/>
        </w:rPr>
        <w:sectPr>
          <w:headerReference r:id="rId15" w:type="default"/>
          <w:headerReference r:id="rId16" w:type="even"/>
          <w:pgSz w:w="11906" w:h="16838"/>
          <w:pgMar w:top="1440" w:right="1800" w:bottom="1440" w:left="1800" w:header="851" w:footer="992" w:gutter="0"/>
          <w:pgNumType w:start="1"/>
          <w:cols w:space="425" w:num="1"/>
          <w:docGrid w:type="lines" w:linePitch="381" w:charSpace="0"/>
        </w:sectPr>
      </w:pPr>
      <w:bookmarkStart w:id="31" w:name="_Toc5364934"/>
    </w:p>
    <w:p>
      <w:pPr>
        <w:pStyle w:val="83"/>
        <w:ind w:firstLine="180" w:firstLineChars="45"/>
        <w:outlineLvl w:val="0"/>
        <w:rPr>
          <w:rFonts w:ascii="黑体" w:hAnsi="黑体" w:eastAsia="黑体"/>
          <w:sz w:val="40"/>
          <w:szCs w:val="40"/>
        </w:rPr>
      </w:pPr>
      <w:bookmarkStart w:id="32" w:name="_Toc61100184"/>
      <w:r>
        <w:rPr>
          <w:rFonts w:hint="eastAsia" w:ascii="黑体" w:hAnsi="黑体" w:eastAsia="黑体"/>
          <w:sz w:val="40"/>
          <w:szCs w:val="40"/>
        </w:rPr>
        <w:t>第二章 项目分析</w:t>
      </w:r>
      <w:bookmarkEnd w:id="31"/>
      <w:bookmarkEnd w:id="32"/>
    </w:p>
    <w:p>
      <w:pPr>
        <w:pStyle w:val="84"/>
        <w:ind w:firstLine="0" w:firstLineChars="0"/>
        <w:outlineLvl w:val="1"/>
        <w:rPr>
          <w:rFonts w:ascii="黑体" w:hAnsi="黑体"/>
          <w:b w:val="0"/>
          <w:sz w:val="30"/>
          <w:szCs w:val="30"/>
        </w:rPr>
      </w:pPr>
      <w:bookmarkStart w:id="33" w:name="_Toc61100185"/>
      <w:bookmarkStart w:id="34" w:name="_Hlk5353661"/>
      <w:r>
        <w:rPr>
          <w:rFonts w:hint="eastAsia" w:ascii="黑体" w:hAnsi="黑体"/>
          <w:b w:val="0"/>
          <w:sz w:val="30"/>
          <w:szCs w:val="30"/>
        </w:rPr>
        <w:t>2.1项目背景</w:t>
      </w:r>
      <w:bookmarkEnd w:id="33"/>
    </w:p>
    <w:p>
      <w:pPr>
        <w:ind w:firstLine="482"/>
        <w:rPr>
          <w:rFonts w:ascii="仿宋_GB2312"/>
          <w:b/>
          <w:sz w:val="24"/>
          <w:szCs w:val="24"/>
        </w:rPr>
      </w:pPr>
      <w:r>
        <w:rPr>
          <w:rFonts w:hint="eastAsia" w:ascii="仿宋_GB2312"/>
          <w:b/>
          <w:sz w:val="24"/>
          <w:szCs w:val="24"/>
        </w:rPr>
        <w:t>1.慢性病患者人数不断增多</w:t>
      </w:r>
    </w:p>
    <w:p>
      <w:pPr>
        <w:ind w:firstLine="480"/>
        <w:rPr>
          <w:rFonts w:ascii="仿宋_GB2312"/>
          <w:sz w:val="24"/>
          <w:szCs w:val="24"/>
        </w:rPr>
      </w:pPr>
      <w:r>
        <w:rPr>
          <w:rFonts w:hint="eastAsia" w:ascii="仿宋_GB2312"/>
          <w:sz w:val="24"/>
          <w:szCs w:val="24"/>
        </w:rPr>
        <w:t>随着我国工业化、城镇化、老龄化进程不断加快，居民生活方式、生态环境、食品安全状况等因素对健康的影响逐步显现。据国家卫计委统计，我国慢性病的发病率近年呈现快速上升的趋势。《中国自我保健蓝皮书（2015-2016》中指出，根据中国卫生服务调查显示，中国居民慢性病患病率由2003年的123.3‰上升到2013年的245.2‰，十年增长了一倍。中国确诊的慢性病患者已超过2.6亿人，目前据估计这一数据已超过3亿。调查结果显示，慢性病死亡占中国居民总死亡的构成已上升至85%。慢性病呈现年轻化发展趋势，并开始侵袭四五十岁的中年人。</w:t>
      </w:r>
    </w:p>
    <w:p>
      <w:pPr>
        <w:ind w:firstLine="482"/>
        <w:rPr>
          <w:rFonts w:ascii="仿宋_GB2312"/>
          <w:b/>
          <w:sz w:val="24"/>
          <w:szCs w:val="24"/>
        </w:rPr>
      </w:pPr>
      <w:r>
        <w:rPr>
          <w:rFonts w:hint="eastAsia" w:ascii="仿宋_GB2312"/>
          <w:b/>
          <w:sz w:val="24"/>
          <w:szCs w:val="24"/>
        </w:rPr>
        <w:t>2.医疗资源分配不均，医疗信息破碎化。</w:t>
      </w:r>
    </w:p>
    <w:p>
      <w:pPr>
        <w:ind w:firstLine="480"/>
        <w:rPr>
          <w:rFonts w:ascii="仿宋_GB2312"/>
          <w:sz w:val="24"/>
          <w:szCs w:val="24"/>
        </w:rPr>
      </w:pPr>
      <w:r>
        <w:rPr>
          <w:rFonts w:hint="eastAsia" w:ascii="仿宋_GB2312"/>
          <w:sz w:val="24"/>
          <w:szCs w:val="24"/>
        </w:rPr>
        <w:t>目前，我国医疗行业仍存在优质医疗资源不足，分配不均等问题。好的医疗资源主要集中在“北上广深”等大的中心城市，催生了“全民上协和”的医疗之风，导致大型公立医院越来越挤，社区基层医院则门可罗雀。</w:t>
      </w:r>
    </w:p>
    <w:p>
      <w:pPr>
        <w:ind w:firstLine="480"/>
        <w:rPr>
          <w:rFonts w:ascii="仿宋_GB2312"/>
          <w:sz w:val="24"/>
          <w:szCs w:val="24"/>
        </w:rPr>
      </w:pPr>
      <w:r>
        <w:rPr>
          <w:rFonts w:hint="eastAsia" w:ascii="仿宋_GB2312"/>
          <w:sz w:val="24"/>
          <w:szCs w:val="24"/>
        </w:rPr>
        <w:t>另外由于医疗服务体系市场化，各大医疗服务机构对自我产生的医疗信息进行保护和封锁，与外界交流甚少，导致患者医疗信息呈碎片化。而慢性病患者需要可持续的跟踪治疗，所以完整的医疗信息将会是实现慢病可持续管理的重要基础。</w:t>
      </w:r>
    </w:p>
    <w:p>
      <w:pPr>
        <w:ind w:firstLine="482"/>
        <w:rPr>
          <w:rFonts w:ascii="仿宋_GB2312"/>
          <w:b/>
          <w:sz w:val="24"/>
          <w:szCs w:val="24"/>
        </w:rPr>
      </w:pPr>
      <w:r>
        <w:rPr>
          <w:rFonts w:hint="eastAsia" w:ascii="仿宋_GB2312"/>
          <w:b/>
          <w:sz w:val="24"/>
          <w:szCs w:val="24"/>
        </w:rPr>
        <w:t>3.慢性病的医疗知识难以共享</w:t>
      </w:r>
    </w:p>
    <w:p>
      <w:pPr>
        <w:ind w:firstLine="480"/>
        <w:rPr>
          <w:rFonts w:ascii="仿宋_GB2312"/>
          <w:sz w:val="24"/>
          <w:szCs w:val="24"/>
        </w:rPr>
      </w:pPr>
      <w:r>
        <w:rPr>
          <w:rFonts w:hint="eastAsia" w:ascii="仿宋_GB2312"/>
          <w:sz w:val="24"/>
          <w:szCs w:val="24"/>
        </w:rPr>
        <w:t>健康教育是慢性病治疗的基本措施之一，应当贯穿于所有慢性病的预防、治疗及康复过程中。根据《老年人慢性病医疗保健知识需求情况调查研究》发现：老年慢性病患者对定期体检、日常饮食禁忌知识、用药指导、中医养生保健常识、生活起居知识等医疗保健知识需求比较高。但由于健康教育的缺失，人们对医疗知识重视程度不足，慢性病医疗保健观念落后，网络慢性病医疗知识鱼龙混杂、可信度低等因素，导致慢性病的医疗知识难以做到共享，慢性病患者需要一个值得信赖的专业医疗知识分享平台去获得、分享知识（如表2-1所示）。</w:t>
      </w:r>
    </w:p>
    <w:p>
      <w:pPr>
        <w:ind w:firstLine="480"/>
        <w:rPr>
          <w:rFonts w:ascii="仿宋_GB2312"/>
          <w:sz w:val="24"/>
          <w:szCs w:val="24"/>
        </w:rPr>
      </w:pPr>
    </w:p>
    <w:p>
      <w:pPr>
        <w:ind w:firstLine="480"/>
        <w:rPr>
          <w:rFonts w:ascii="仿宋_GB2312"/>
          <w:sz w:val="24"/>
          <w:szCs w:val="24"/>
        </w:rPr>
      </w:pPr>
    </w:p>
    <w:p>
      <w:pPr>
        <w:ind w:firstLine="480"/>
        <w:rPr>
          <w:rFonts w:ascii="仿宋_GB2312"/>
          <w:sz w:val="24"/>
          <w:szCs w:val="24"/>
        </w:rPr>
      </w:pPr>
    </w:p>
    <w:p>
      <w:pPr>
        <w:spacing w:line="240" w:lineRule="auto"/>
        <w:ind w:firstLine="0" w:firstLineChars="0"/>
        <w:jc w:val="center"/>
        <w:rPr>
          <w:rFonts w:ascii="仿宋_GB2312"/>
          <w:sz w:val="21"/>
          <w:szCs w:val="24"/>
        </w:rPr>
      </w:pPr>
      <w:r>
        <w:rPr>
          <w:rFonts w:hint="eastAsia" w:ascii="仿宋_GB2312"/>
          <w:sz w:val="21"/>
          <w:szCs w:val="24"/>
        </w:rPr>
        <w:t>表2-1老年人慢性病医疗保健知识需求情况</w:t>
      </w:r>
    </w:p>
    <w:tbl>
      <w:tblPr>
        <w:tblStyle w:val="31"/>
        <w:tblW w:w="0" w:type="auto"/>
        <w:jc w:val="center"/>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Layout w:type="autofit"/>
        <w:tblCellMar>
          <w:top w:w="0" w:type="dxa"/>
          <w:left w:w="108" w:type="dxa"/>
          <w:bottom w:w="0" w:type="dxa"/>
          <w:right w:w="108" w:type="dxa"/>
        </w:tblCellMar>
      </w:tblPr>
      <w:tblGrid>
        <w:gridCol w:w="2211"/>
        <w:gridCol w:w="1984"/>
        <w:gridCol w:w="1984"/>
      </w:tblGrid>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trHeight w:val="20" w:hRule="atLeast"/>
          <w:jc w:val="center"/>
        </w:trPr>
        <w:tc>
          <w:tcPr>
            <w:tcW w:w="2211" w:type="dxa"/>
            <w:vMerge w:val="restart"/>
            <w:tcBorders>
              <w:top w:val="single" w:color="5B9BD5" w:themeColor="accent1" w:sz="8" w:space="0"/>
              <w:left w:val="single" w:color="5B9BD5" w:themeColor="accent1" w:sz="8" w:space="0"/>
              <w:bottom w:val="single" w:color="5B9BD5" w:themeColor="accent1" w:sz="18" w:space="0"/>
              <w:right w:val="single" w:color="5B9BD5" w:themeColor="accent1" w:sz="8" w:space="0"/>
              <w:insideH w:val="single" w:sz="18" w:space="0"/>
              <w:insideV w:val="single" w:sz="8" w:space="0"/>
            </w:tcBorders>
            <w:vAlign w:val="center"/>
          </w:tcPr>
          <w:p>
            <w:pPr>
              <w:spacing w:before="0" w:after="0" w:line="180" w:lineRule="auto"/>
              <w:ind w:firstLine="0" w:firstLineChars="0"/>
              <w:jc w:val="center"/>
              <w:rPr>
                <w:rFonts w:ascii="宋体" w:hAnsi="宋体" w:eastAsia="宋体" w:cstheme="majorBidi"/>
                <w:b/>
                <w:bCs/>
                <w:sz w:val="18"/>
                <w:szCs w:val="21"/>
              </w:rPr>
            </w:pPr>
            <w:r>
              <w:rPr>
                <w:rFonts w:hint="eastAsia" w:ascii="宋体" w:hAnsi="宋体" w:eastAsia="宋体" w:cstheme="majorBidi"/>
                <w:b/>
                <w:bCs/>
                <w:sz w:val="18"/>
                <w:szCs w:val="21"/>
              </w:rPr>
              <w:t>项目</w:t>
            </w:r>
          </w:p>
        </w:tc>
        <w:tc>
          <w:tcPr>
            <w:tcW w:w="1984" w:type="dxa"/>
            <w:tcBorders>
              <w:top w:val="single" w:color="5B9BD5" w:themeColor="accent1" w:sz="8" w:space="0"/>
              <w:bottom w:val="single" w:color="5B9BD5" w:themeColor="accent1" w:sz="18" w:space="0"/>
              <w:right w:val="single" w:color="5B9BD5" w:themeColor="accent1" w:sz="8" w:space="0"/>
              <w:insideH w:val="single" w:sz="18" w:space="0"/>
              <w:insideV w:val="single" w:sz="8" w:space="0"/>
            </w:tcBorders>
            <w:vAlign w:val="center"/>
          </w:tcPr>
          <w:p>
            <w:pPr>
              <w:spacing w:before="0" w:after="0" w:line="180" w:lineRule="auto"/>
              <w:ind w:firstLine="0" w:firstLineChars="0"/>
              <w:jc w:val="center"/>
              <w:rPr>
                <w:rFonts w:ascii="宋体" w:hAnsi="宋体" w:eastAsia="宋体" w:cstheme="majorBidi"/>
                <w:b/>
                <w:bCs/>
                <w:sz w:val="18"/>
                <w:szCs w:val="21"/>
              </w:rPr>
            </w:pPr>
            <w:r>
              <w:rPr>
                <w:rFonts w:hint="eastAsia" w:ascii="宋体" w:hAnsi="宋体" w:eastAsia="宋体" w:cstheme="majorBidi"/>
                <w:b/>
                <w:bCs/>
                <w:sz w:val="18"/>
                <w:szCs w:val="21"/>
              </w:rPr>
              <w:t>需要</w:t>
            </w:r>
          </w:p>
        </w:tc>
        <w:tc>
          <w:tcPr>
            <w:tcW w:w="1984" w:type="dxa"/>
            <w:tcBorders>
              <w:top w:val="single" w:color="5B9BD5" w:themeColor="accent1" w:sz="8" w:space="0"/>
              <w:bottom w:val="single" w:color="5B9BD5" w:themeColor="accent1" w:sz="18" w:space="0"/>
              <w:right w:val="single" w:color="5B9BD5" w:themeColor="accent1" w:sz="8" w:space="0"/>
              <w:insideH w:val="single" w:sz="18" w:space="0"/>
              <w:insideV w:val="single" w:sz="8" w:space="0"/>
            </w:tcBorders>
            <w:vAlign w:val="center"/>
          </w:tcPr>
          <w:p>
            <w:pPr>
              <w:spacing w:before="0" w:after="0" w:line="180" w:lineRule="auto"/>
              <w:ind w:firstLine="0" w:firstLineChars="0"/>
              <w:jc w:val="center"/>
              <w:rPr>
                <w:rFonts w:ascii="宋体" w:hAnsi="宋体" w:eastAsia="宋体" w:cstheme="majorBidi"/>
                <w:b/>
                <w:bCs/>
                <w:sz w:val="18"/>
                <w:szCs w:val="21"/>
              </w:rPr>
            </w:pPr>
            <w:r>
              <w:rPr>
                <w:rFonts w:hint="eastAsia" w:ascii="宋体" w:hAnsi="宋体" w:eastAsia="宋体" w:cstheme="majorBidi"/>
                <w:b/>
                <w:bCs/>
                <w:sz w:val="18"/>
                <w:szCs w:val="21"/>
              </w:rPr>
              <w:t>不需要或无所谓</w:t>
            </w:r>
          </w:p>
        </w:tc>
      </w:tr>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trHeight w:val="20" w:hRule="atLeast"/>
          <w:jc w:val="center"/>
        </w:trPr>
        <w:tc>
          <w:tcPr>
            <w:tcW w:w="2211" w:type="dxa"/>
            <w:vMerge w:val="continue"/>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vAlign w:val="center"/>
          </w:tcPr>
          <w:p>
            <w:pPr>
              <w:spacing w:line="180" w:lineRule="auto"/>
              <w:ind w:firstLine="0" w:firstLineChars="0"/>
              <w:jc w:val="center"/>
              <w:rPr>
                <w:rFonts w:ascii="宋体" w:hAnsi="宋体" w:eastAsia="宋体" w:cstheme="majorBidi"/>
                <w:b/>
                <w:bCs/>
                <w:sz w:val="18"/>
                <w:szCs w:val="21"/>
              </w:rPr>
            </w:pPr>
          </w:p>
        </w:tc>
        <w:tc>
          <w:tcPr>
            <w:tcW w:w="1984"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vAlign w:val="center"/>
          </w:tcPr>
          <w:p>
            <w:pPr>
              <w:spacing w:line="180" w:lineRule="auto"/>
              <w:ind w:firstLine="0" w:firstLineChars="0"/>
              <w:jc w:val="center"/>
              <w:rPr>
                <w:rFonts w:ascii="宋体" w:hAnsi="宋体" w:eastAsia="宋体"/>
                <w:sz w:val="18"/>
                <w:szCs w:val="21"/>
              </w:rPr>
            </w:pPr>
            <w:r>
              <w:rPr>
                <w:rFonts w:hint="eastAsia" w:ascii="宋体" w:hAnsi="宋体" w:eastAsia="宋体"/>
                <w:sz w:val="18"/>
                <w:szCs w:val="21"/>
              </w:rPr>
              <w:t>百分比</w:t>
            </w:r>
          </w:p>
        </w:tc>
        <w:tc>
          <w:tcPr>
            <w:tcW w:w="1984"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vAlign w:val="center"/>
          </w:tcPr>
          <w:p>
            <w:pPr>
              <w:spacing w:line="180" w:lineRule="auto"/>
              <w:ind w:firstLine="0" w:firstLineChars="0"/>
              <w:jc w:val="center"/>
              <w:rPr>
                <w:rFonts w:ascii="宋体" w:hAnsi="宋体" w:eastAsia="宋体"/>
                <w:sz w:val="18"/>
                <w:szCs w:val="21"/>
              </w:rPr>
            </w:pPr>
            <w:r>
              <w:rPr>
                <w:rFonts w:hint="eastAsia" w:ascii="宋体" w:hAnsi="宋体" w:eastAsia="宋体"/>
                <w:sz w:val="18"/>
                <w:szCs w:val="21"/>
              </w:rPr>
              <w:t>百分比</w:t>
            </w:r>
          </w:p>
        </w:tc>
      </w:tr>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trHeight w:val="20" w:hRule="atLeast"/>
          <w:jc w:val="center"/>
        </w:trPr>
        <w:tc>
          <w:tcPr>
            <w:tcW w:w="2211"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vAlign w:val="center"/>
          </w:tcPr>
          <w:p>
            <w:pPr>
              <w:spacing w:line="180" w:lineRule="auto"/>
              <w:ind w:firstLine="0" w:firstLineChars="0"/>
              <w:jc w:val="center"/>
              <w:rPr>
                <w:rFonts w:ascii="宋体" w:hAnsi="宋体" w:eastAsia="宋体" w:cstheme="majorBidi"/>
                <w:b/>
                <w:bCs/>
                <w:sz w:val="18"/>
                <w:szCs w:val="21"/>
              </w:rPr>
            </w:pPr>
            <w:r>
              <w:rPr>
                <w:rFonts w:hint="eastAsia" w:ascii="宋体" w:hAnsi="宋体" w:eastAsia="宋体" w:cstheme="majorBidi"/>
                <w:b/>
                <w:bCs/>
                <w:sz w:val="18"/>
                <w:szCs w:val="21"/>
              </w:rPr>
              <w:t>定期体检</w:t>
            </w:r>
          </w:p>
        </w:tc>
        <w:tc>
          <w:tcPr>
            <w:tcW w:w="1984"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vAlign w:val="center"/>
          </w:tcPr>
          <w:p>
            <w:pPr>
              <w:spacing w:line="180" w:lineRule="auto"/>
              <w:ind w:firstLine="0" w:firstLineChars="0"/>
              <w:jc w:val="center"/>
              <w:rPr>
                <w:rFonts w:ascii="宋体" w:hAnsi="宋体" w:eastAsia="宋体"/>
                <w:sz w:val="18"/>
                <w:szCs w:val="21"/>
              </w:rPr>
            </w:pPr>
            <w:r>
              <w:rPr>
                <w:rFonts w:ascii="宋体" w:hAnsi="宋体" w:eastAsia="宋体"/>
                <w:sz w:val="18"/>
                <w:szCs w:val="21"/>
              </w:rPr>
              <w:t>85.4%</w:t>
            </w:r>
          </w:p>
        </w:tc>
        <w:tc>
          <w:tcPr>
            <w:tcW w:w="1984"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vAlign w:val="center"/>
          </w:tcPr>
          <w:p>
            <w:pPr>
              <w:spacing w:line="180" w:lineRule="auto"/>
              <w:ind w:firstLine="0" w:firstLineChars="0"/>
              <w:jc w:val="center"/>
              <w:rPr>
                <w:rFonts w:ascii="宋体" w:hAnsi="宋体" w:eastAsia="宋体"/>
                <w:sz w:val="18"/>
                <w:szCs w:val="21"/>
              </w:rPr>
            </w:pPr>
            <w:r>
              <w:rPr>
                <w:rFonts w:ascii="宋体" w:hAnsi="宋体" w:eastAsia="宋体"/>
                <w:sz w:val="18"/>
                <w:szCs w:val="21"/>
              </w:rPr>
              <w:t>14.6%</w:t>
            </w:r>
          </w:p>
        </w:tc>
      </w:tr>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trHeight w:val="20" w:hRule="atLeast"/>
          <w:jc w:val="center"/>
        </w:trPr>
        <w:tc>
          <w:tcPr>
            <w:tcW w:w="2211"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vAlign w:val="center"/>
          </w:tcPr>
          <w:p>
            <w:pPr>
              <w:spacing w:line="180" w:lineRule="auto"/>
              <w:ind w:firstLine="0" w:firstLineChars="0"/>
              <w:jc w:val="center"/>
              <w:rPr>
                <w:rFonts w:ascii="宋体" w:hAnsi="宋体" w:eastAsia="宋体" w:cstheme="majorBidi"/>
                <w:b/>
                <w:bCs/>
                <w:sz w:val="18"/>
                <w:szCs w:val="21"/>
              </w:rPr>
            </w:pPr>
            <w:r>
              <w:rPr>
                <w:rFonts w:hint="eastAsia" w:ascii="宋体" w:hAnsi="宋体" w:eastAsia="宋体" w:cstheme="majorBidi"/>
                <w:b/>
                <w:bCs/>
                <w:sz w:val="18"/>
                <w:szCs w:val="21"/>
              </w:rPr>
              <w:t>日常饮食禁忌知识</w:t>
            </w:r>
          </w:p>
        </w:tc>
        <w:tc>
          <w:tcPr>
            <w:tcW w:w="1984"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vAlign w:val="center"/>
          </w:tcPr>
          <w:p>
            <w:pPr>
              <w:spacing w:line="180" w:lineRule="auto"/>
              <w:ind w:firstLine="0" w:firstLineChars="0"/>
              <w:jc w:val="center"/>
              <w:rPr>
                <w:rFonts w:ascii="宋体" w:hAnsi="宋体" w:eastAsia="宋体"/>
                <w:sz w:val="18"/>
                <w:szCs w:val="21"/>
              </w:rPr>
            </w:pPr>
            <w:r>
              <w:rPr>
                <w:rFonts w:ascii="宋体" w:hAnsi="宋体" w:eastAsia="宋体"/>
                <w:sz w:val="18"/>
                <w:szCs w:val="21"/>
              </w:rPr>
              <w:t>76.0%</w:t>
            </w:r>
          </w:p>
        </w:tc>
        <w:tc>
          <w:tcPr>
            <w:tcW w:w="1984"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vAlign w:val="center"/>
          </w:tcPr>
          <w:p>
            <w:pPr>
              <w:spacing w:line="180" w:lineRule="auto"/>
              <w:ind w:firstLine="0" w:firstLineChars="0"/>
              <w:jc w:val="center"/>
              <w:rPr>
                <w:rFonts w:ascii="宋体" w:hAnsi="宋体" w:eastAsia="宋体"/>
                <w:sz w:val="18"/>
                <w:szCs w:val="21"/>
              </w:rPr>
            </w:pPr>
            <w:r>
              <w:rPr>
                <w:rFonts w:ascii="宋体" w:hAnsi="宋体" w:eastAsia="宋体"/>
                <w:sz w:val="18"/>
                <w:szCs w:val="21"/>
              </w:rPr>
              <w:t>23.9%</w:t>
            </w:r>
          </w:p>
        </w:tc>
      </w:tr>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trHeight w:val="20" w:hRule="atLeast"/>
          <w:jc w:val="center"/>
        </w:trPr>
        <w:tc>
          <w:tcPr>
            <w:tcW w:w="2211"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vAlign w:val="center"/>
          </w:tcPr>
          <w:p>
            <w:pPr>
              <w:spacing w:line="180" w:lineRule="auto"/>
              <w:ind w:firstLine="0" w:firstLineChars="0"/>
              <w:jc w:val="center"/>
              <w:rPr>
                <w:rFonts w:ascii="宋体" w:hAnsi="宋体" w:eastAsia="宋体" w:cstheme="majorBidi"/>
                <w:b/>
                <w:bCs/>
                <w:sz w:val="18"/>
                <w:szCs w:val="21"/>
              </w:rPr>
            </w:pPr>
            <w:r>
              <w:rPr>
                <w:rFonts w:hint="eastAsia" w:ascii="宋体" w:hAnsi="宋体" w:eastAsia="宋体" w:cstheme="majorBidi"/>
                <w:b/>
                <w:bCs/>
                <w:sz w:val="18"/>
                <w:szCs w:val="21"/>
              </w:rPr>
              <w:t>用药指导</w:t>
            </w:r>
          </w:p>
        </w:tc>
        <w:tc>
          <w:tcPr>
            <w:tcW w:w="1984"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vAlign w:val="center"/>
          </w:tcPr>
          <w:p>
            <w:pPr>
              <w:spacing w:line="180" w:lineRule="auto"/>
              <w:ind w:firstLine="0" w:firstLineChars="0"/>
              <w:jc w:val="center"/>
              <w:rPr>
                <w:rFonts w:ascii="宋体" w:hAnsi="宋体" w:eastAsia="宋体"/>
                <w:sz w:val="18"/>
                <w:szCs w:val="21"/>
              </w:rPr>
            </w:pPr>
            <w:r>
              <w:rPr>
                <w:rFonts w:ascii="宋体" w:hAnsi="宋体" w:eastAsia="宋体"/>
                <w:sz w:val="18"/>
                <w:szCs w:val="21"/>
              </w:rPr>
              <w:t>69.8%</w:t>
            </w:r>
          </w:p>
        </w:tc>
        <w:tc>
          <w:tcPr>
            <w:tcW w:w="1984"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vAlign w:val="center"/>
          </w:tcPr>
          <w:p>
            <w:pPr>
              <w:spacing w:line="180" w:lineRule="auto"/>
              <w:ind w:firstLine="0" w:firstLineChars="0"/>
              <w:jc w:val="center"/>
              <w:rPr>
                <w:rFonts w:ascii="宋体" w:hAnsi="宋体" w:eastAsia="宋体"/>
                <w:sz w:val="18"/>
                <w:szCs w:val="21"/>
              </w:rPr>
            </w:pPr>
            <w:r>
              <w:rPr>
                <w:rFonts w:ascii="宋体" w:hAnsi="宋体" w:eastAsia="宋体"/>
                <w:sz w:val="18"/>
                <w:szCs w:val="21"/>
              </w:rPr>
              <w:t>30.2%</w:t>
            </w:r>
          </w:p>
        </w:tc>
      </w:tr>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trHeight w:val="20" w:hRule="atLeast"/>
          <w:jc w:val="center"/>
        </w:trPr>
        <w:tc>
          <w:tcPr>
            <w:tcW w:w="2211"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vAlign w:val="center"/>
          </w:tcPr>
          <w:p>
            <w:pPr>
              <w:spacing w:line="180" w:lineRule="auto"/>
              <w:ind w:firstLine="0" w:firstLineChars="0"/>
              <w:jc w:val="center"/>
              <w:rPr>
                <w:rFonts w:ascii="宋体" w:hAnsi="宋体" w:eastAsia="宋体" w:cstheme="majorBidi"/>
                <w:b/>
                <w:bCs/>
                <w:sz w:val="18"/>
                <w:szCs w:val="21"/>
              </w:rPr>
            </w:pPr>
            <w:r>
              <w:rPr>
                <w:rFonts w:hint="eastAsia" w:ascii="宋体" w:hAnsi="宋体" w:eastAsia="宋体" w:cstheme="majorBidi"/>
                <w:b/>
                <w:bCs/>
                <w:sz w:val="18"/>
                <w:szCs w:val="21"/>
              </w:rPr>
              <w:t>中医养生保健常识</w:t>
            </w:r>
          </w:p>
        </w:tc>
        <w:tc>
          <w:tcPr>
            <w:tcW w:w="1984"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vAlign w:val="center"/>
          </w:tcPr>
          <w:p>
            <w:pPr>
              <w:spacing w:line="180" w:lineRule="auto"/>
              <w:ind w:firstLine="0" w:firstLineChars="0"/>
              <w:jc w:val="center"/>
              <w:rPr>
                <w:rFonts w:ascii="宋体" w:hAnsi="宋体" w:eastAsia="宋体"/>
                <w:sz w:val="18"/>
                <w:szCs w:val="21"/>
              </w:rPr>
            </w:pPr>
            <w:r>
              <w:rPr>
                <w:rFonts w:ascii="宋体" w:hAnsi="宋体" w:eastAsia="宋体"/>
                <w:sz w:val="18"/>
                <w:szCs w:val="21"/>
              </w:rPr>
              <w:t>61.5%</w:t>
            </w:r>
          </w:p>
        </w:tc>
        <w:tc>
          <w:tcPr>
            <w:tcW w:w="1984"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shd w:val="clear" w:color="auto" w:fill="D6E6F4" w:themeFill="accent1" w:themeFillTint="3F"/>
            <w:vAlign w:val="center"/>
          </w:tcPr>
          <w:p>
            <w:pPr>
              <w:spacing w:line="180" w:lineRule="auto"/>
              <w:ind w:firstLine="0" w:firstLineChars="0"/>
              <w:jc w:val="center"/>
              <w:rPr>
                <w:rFonts w:ascii="宋体" w:hAnsi="宋体" w:eastAsia="宋体"/>
                <w:sz w:val="18"/>
                <w:szCs w:val="21"/>
              </w:rPr>
            </w:pPr>
            <w:r>
              <w:rPr>
                <w:rFonts w:ascii="宋体" w:hAnsi="宋体" w:eastAsia="宋体"/>
                <w:sz w:val="18"/>
                <w:szCs w:val="21"/>
              </w:rPr>
              <w:t>38.5%</w:t>
            </w:r>
          </w:p>
        </w:tc>
      </w:tr>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CellMar>
            <w:top w:w="0" w:type="dxa"/>
            <w:left w:w="108" w:type="dxa"/>
            <w:bottom w:w="0" w:type="dxa"/>
            <w:right w:w="108" w:type="dxa"/>
          </w:tblCellMar>
        </w:tblPrEx>
        <w:trPr>
          <w:trHeight w:val="20" w:hRule="atLeast"/>
          <w:jc w:val="center"/>
        </w:trPr>
        <w:tc>
          <w:tcPr>
            <w:tcW w:w="2211" w:type="dxa"/>
            <w:tcBorders>
              <w:top w:val="single" w:color="5B9BD5" w:themeColor="accent1" w:sz="8" w:space="0"/>
              <w:left w:val="single" w:color="5B9BD5" w:themeColor="accent1" w:sz="8" w:space="0"/>
              <w:bottom w:val="single" w:color="5B9BD5" w:themeColor="accent1" w:sz="8" w:space="0"/>
              <w:right w:val="single" w:color="5B9BD5" w:themeColor="accent1" w:sz="8" w:space="0"/>
              <w:insideH w:val="single" w:sz="8" w:space="0"/>
              <w:insideV w:val="single" w:sz="8" w:space="0"/>
            </w:tcBorders>
            <w:vAlign w:val="center"/>
          </w:tcPr>
          <w:p>
            <w:pPr>
              <w:spacing w:line="180" w:lineRule="auto"/>
              <w:ind w:firstLine="0" w:firstLineChars="0"/>
              <w:jc w:val="center"/>
              <w:rPr>
                <w:rFonts w:ascii="宋体" w:hAnsi="宋体" w:eastAsia="宋体" w:cstheme="majorBidi"/>
                <w:b/>
                <w:bCs/>
                <w:sz w:val="18"/>
                <w:szCs w:val="21"/>
              </w:rPr>
            </w:pPr>
            <w:r>
              <w:rPr>
                <w:rFonts w:hint="eastAsia" w:ascii="宋体" w:hAnsi="宋体" w:eastAsia="宋体" w:cstheme="majorBidi"/>
                <w:b/>
                <w:bCs/>
                <w:sz w:val="18"/>
                <w:szCs w:val="21"/>
              </w:rPr>
              <w:t>生活起居知识</w:t>
            </w:r>
          </w:p>
        </w:tc>
        <w:tc>
          <w:tcPr>
            <w:tcW w:w="1984"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vAlign w:val="center"/>
          </w:tcPr>
          <w:p>
            <w:pPr>
              <w:spacing w:line="180" w:lineRule="auto"/>
              <w:ind w:firstLine="0" w:firstLineChars="0"/>
              <w:jc w:val="center"/>
              <w:rPr>
                <w:rFonts w:ascii="宋体" w:hAnsi="宋体" w:eastAsia="宋体"/>
                <w:sz w:val="18"/>
                <w:szCs w:val="21"/>
              </w:rPr>
            </w:pPr>
            <w:r>
              <w:rPr>
                <w:rFonts w:ascii="宋体" w:hAnsi="宋体" w:eastAsia="宋体"/>
                <w:sz w:val="18"/>
                <w:szCs w:val="21"/>
              </w:rPr>
              <w:t>55.2%</w:t>
            </w:r>
          </w:p>
        </w:tc>
        <w:tc>
          <w:tcPr>
            <w:tcW w:w="1984" w:type="dxa"/>
            <w:tcBorders>
              <w:top w:val="single" w:color="5B9BD5" w:themeColor="accent1" w:sz="8" w:space="0"/>
              <w:bottom w:val="single" w:color="5B9BD5" w:themeColor="accent1" w:sz="8" w:space="0"/>
              <w:right w:val="single" w:color="5B9BD5" w:themeColor="accent1" w:sz="8" w:space="0"/>
              <w:insideH w:val="single" w:sz="8" w:space="0"/>
              <w:insideV w:val="single" w:sz="8" w:space="0"/>
            </w:tcBorders>
            <w:vAlign w:val="center"/>
          </w:tcPr>
          <w:p>
            <w:pPr>
              <w:spacing w:line="180" w:lineRule="auto"/>
              <w:ind w:firstLine="0" w:firstLineChars="0"/>
              <w:jc w:val="center"/>
              <w:rPr>
                <w:rFonts w:ascii="宋体" w:hAnsi="宋体" w:eastAsia="宋体"/>
                <w:sz w:val="18"/>
                <w:szCs w:val="21"/>
              </w:rPr>
            </w:pPr>
            <w:r>
              <w:rPr>
                <w:rFonts w:ascii="宋体" w:hAnsi="宋体" w:eastAsia="宋体"/>
                <w:sz w:val="18"/>
                <w:szCs w:val="21"/>
              </w:rPr>
              <w:t>44.8%</w:t>
            </w:r>
          </w:p>
        </w:tc>
      </w:tr>
    </w:tbl>
    <w:p>
      <w:pPr>
        <w:ind w:firstLine="420"/>
        <w:rPr>
          <w:rFonts w:ascii="仿宋_GB2312"/>
          <w:sz w:val="21"/>
          <w:szCs w:val="24"/>
        </w:rPr>
      </w:pPr>
      <w:r>
        <w:rPr>
          <w:rFonts w:hint="eastAsia" w:ascii="仿宋_GB2312"/>
          <w:sz w:val="21"/>
          <w:szCs w:val="24"/>
        </w:rPr>
        <w:t>数据来源：《老年人慢性病医疗保健知识需求情况调查研究》</w:t>
      </w:r>
    </w:p>
    <w:p>
      <w:pPr>
        <w:ind w:firstLine="482"/>
        <w:rPr>
          <w:rFonts w:ascii="仿宋_GB2312"/>
          <w:b/>
          <w:sz w:val="24"/>
          <w:szCs w:val="24"/>
        </w:rPr>
      </w:pPr>
      <w:r>
        <w:rPr>
          <w:rFonts w:hint="eastAsia" w:ascii="仿宋_GB2312"/>
          <w:b/>
          <w:sz w:val="24"/>
          <w:szCs w:val="24"/>
        </w:rPr>
        <w:t>4.公民自我防治意识薄弱，慢性病防治效率低。</w:t>
      </w:r>
    </w:p>
    <w:p>
      <w:pPr>
        <w:ind w:firstLine="480"/>
        <w:rPr>
          <w:rFonts w:ascii="仿宋_GB2312"/>
          <w:sz w:val="24"/>
          <w:szCs w:val="24"/>
        </w:rPr>
      </w:pPr>
      <w:r>
        <w:rPr>
          <w:rFonts w:hint="eastAsia" w:ascii="仿宋_GB2312"/>
          <w:sz w:val="24"/>
          <w:szCs w:val="24"/>
        </w:rPr>
        <w:t>虽然近年来我国在慢性病管理方面已采取了各种措施，但由于人口基数大，老龄化程度严重，慢病管理工作起步晚、底子薄等因素，我国在慢病管理方面仍存在各种各样的问题，比如：慢病管理网络尚不健全；民众对慢病防治认识不足，预防为主的观念不强；患者缺乏健康意识和管理习惯；慢病防治工作中各部门缺乏沟通协调等。</w:t>
      </w:r>
    </w:p>
    <w:bookmarkEnd w:id="34"/>
    <w:p>
      <w:pPr>
        <w:ind w:firstLine="480"/>
        <w:jc w:val="left"/>
        <w:rPr>
          <w:sz w:val="24"/>
          <w:szCs w:val="24"/>
        </w:rPr>
      </w:pPr>
      <w:bookmarkStart w:id="35" w:name="_Toc4504543"/>
    </w:p>
    <w:p>
      <w:pPr>
        <w:pStyle w:val="84"/>
        <w:ind w:firstLine="0" w:firstLineChars="0"/>
        <w:outlineLvl w:val="1"/>
        <w:rPr>
          <w:rFonts w:ascii="黑体" w:hAnsi="黑体"/>
          <w:b w:val="0"/>
          <w:sz w:val="30"/>
          <w:szCs w:val="30"/>
        </w:rPr>
      </w:pPr>
      <w:bookmarkStart w:id="36" w:name="_Toc5364936"/>
      <w:bookmarkStart w:id="37" w:name="_Toc61100186"/>
      <w:r>
        <w:rPr>
          <w:rFonts w:hint="eastAsia" w:ascii="黑体" w:hAnsi="黑体"/>
          <w:b w:val="0"/>
          <w:sz w:val="30"/>
          <w:szCs w:val="30"/>
        </w:rPr>
        <w:t>2.2项目介绍</w:t>
      </w:r>
      <w:bookmarkEnd w:id="35"/>
      <w:bookmarkEnd w:id="36"/>
      <w:bookmarkEnd w:id="37"/>
    </w:p>
    <w:p>
      <w:pPr>
        <w:ind w:firstLine="480"/>
        <w:rPr>
          <w:rFonts w:ascii="仿宋_GB2312"/>
          <w:sz w:val="24"/>
          <w:szCs w:val="24"/>
        </w:rPr>
      </w:pPr>
      <w:bookmarkStart w:id="38" w:name="_Toc4504544"/>
      <w:bookmarkStart w:id="39" w:name="_Toc5364937"/>
      <w:r>
        <w:rPr>
          <w:rFonts w:hint="eastAsia" w:ascii="仿宋_GB2312"/>
          <w:sz w:val="24"/>
          <w:szCs w:val="24"/>
        </w:rPr>
        <w:t>“e+医”APP是一款以医患间知识分享和信息共享为核心，着力打造医疗知识生态圈的移动医疗APP，通过设计竞争性分级免费策略，吸引和激励医生和患者参与到平台的活动中。医生受竞争性分级策略激励为患者提供更好服务，患者受该策略激励提高对APP的关注度并注册使用。</w:t>
      </w:r>
    </w:p>
    <w:p>
      <w:pPr>
        <w:ind w:firstLine="480"/>
        <w:rPr>
          <w:rFonts w:ascii="仿宋_GB2312"/>
          <w:sz w:val="24"/>
          <w:szCs w:val="24"/>
        </w:rPr>
      </w:pPr>
      <w:r>
        <w:rPr>
          <w:rFonts w:hint="eastAsia" w:ascii="仿宋_GB2312"/>
          <w:sz w:val="24"/>
          <w:szCs w:val="24"/>
        </w:rPr>
        <w:t>APP用户版主要使用群体前期定位为中老年慢性病患者，中后期扩展至中老年及其他年龄层群体。对用户提供在线问诊、医疗方案制定、查看医生处方、疑难杂症会诊室及健康数据分析等服务，缓解当前社会看病难、费用贵的现状，节省看病时间成本，帮助患者足不出户就能及时了解自身健康状况，还可利用健康数据分析有效防控疾病；医生版使用群体为各级医院在岗医生。医生可通过在线问诊、处方展示、医疗方案制定等方式获得收益和名气，通过查看高级医生处方、医学文献，医生间交流互动等方式来学习知识，提升自身医疗技能和水平。</w:t>
      </w:r>
    </w:p>
    <w:p>
      <w:pPr>
        <w:ind w:firstLine="480"/>
        <w:rPr>
          <w:rFonts w:ascii="仿宋_GB2312"/>
          <w:sz w:val="24"/>
          <w:szCs w:val="24"/>
        </w:rPr>
      </w:pPr>
      <w:r>
        <w:rPr>
          <w:rFonts w:hint="eastAsia" w:ascii="仿宋_GB2312"/>
          <w:sz w:val="24"/>
          <w:szCs w:val="24"/>
        </w:rPr>
        <w:t>本平台致力于知识分享和信息共享的核心价值、医疗资源良性循环生态圈的建设，开设医疗咨询、病友交流、医生互助、病例评价和寻医问药等功能，最终实现对医疗资源的共享及高效利用，改善医疗资源分配不均现状，为慢性病及其他病症患者提供一个长期性疾病管理服务平台（如图2-1所示）。本项目包括如</w:t>
      </w:r>
      <w:r>
        <w:rPr>
          <w:rFonts w:ascii="仿宋_GB2312"/>
          <w:sz w:val="21"/>
          <w:szCs w:val="24"/>
        </w:rPr>
        <w:drawing>
          <wp:anchor distT="0" distB="0" distL="114300" distR="114300" simplePos="0" relativeHeight="251664384" behindDoc="0" locked="0" layoutInCell="1" allowOverlap="1">
            <wp:simplePos x="0" y="0"/>
            <wp:positionH relativeFrom="margin">
              <wp:align>center</wp:align>
            </wp:positionH>
            <wp:positionV relativeFrom="paragraph">
              <wp:posOffset>704850</wp:posOffset>
            </wp:positionV>
            <wp:extent cx="4381500" cy="3987800"/>
            <wp:effectExtent l="0" t="0" r="0" b="0"/>
            <wp:wrapSquare wrapText="bothSides"/>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22">
                      <a:extLst>
                        <a:ext uri="{28A0092B-C50C-407E-A947-70E740481C1C}">
                          <a14:useLocalDpi xmlns:a14="http://schemas.microsoft.com/office/drawing/2010/main" val="0"/>
                        </a:ext>
                      </a:extLst>
                    </a:blip>
                    <a:srcRect b="1697"/>
                    <a:stretch>
                      <a:fillRect/>
                    </a:stretch>
                  </pic:blipFill>
                  <pic:spPr>
                    <a:xfrm>
                      <a:off x="0" y="0"/>
                      <a:ext cx="4381500" cy="3987800"/>
                    </a:xfrm>
                    <a:prstGeom prst="rect">
                      <a:avLst/>
                    </a:prstGeom>
                    <a:noFill/>
                    <a:ln>
                      <a:noFill/>
                    </a:ln>
                  </pic:spPr>
                </pic:pic>
              </a:graphicData>
            </a:graphic>
          </wp:anchor>
        </w:drawing>
      </w:r>
      <w:r>
        <w:rPr>
          <w:rFonts w:hint="eastAsia" w:ascii="仿宋_GB2312"/>
          <w:sz w:val="24"/>
          <w:szCs w:val="24"/>
        </w:rPr>
        <w:t>下几个重要的特征：</w:t>
      </w:r>
    </w:p>
    <w:p>
      <w:pPr>
        <w:spacing w:line="240" w:lineRule="auto"/>
        <w:ind w:firstLine="420"/>
        <w:jc w:val="center"/>
        <w:rPr>
          <w:rFonts w:ascii="仿宋_GB2312"/>
          <w:sz w:val="21"/>
          <w:szCs w:val="24"/>
        </w:rPr>
      </w:pPr>
      <w:r>
        <w:rPr>
          <w:rFonts w:hint="eastAsia" w:ascii="仿宋_GB2312"/>
          <w:sz w:val="21"/>
          <w:szCs w:val="24"/>
        </w:rPr>
        <w:t>图2-1 “e+医”APP主要功能介绍</w:t>
      </w:r>
    </w:p>
    <w:p>
      <w:pPr>
        <w:tabs>
          <w:tab w:val="center" w:pos="4434"/>
        </w:tabs>
        <w:spacing w:line="500" w:lineRule="exact"/>
        <w:ind w:firstLine="0" w:firstLineChars="0"/>
        <w:jc w:val="left"/>
        <w:outlineLvl w:val="2"/>
        <w:rPr>
          <w:rFonts w:ascii="黑体" w:hAnsi="黑体" w:eastAsia="黑体" w:cs="Times New Roman"/>
        </w:rPr>
      </w:pPr>
      <w:bookmarkStart w:id="40" w:name="_Toc61100187"/>
      <w:r>
        <w:rPr>
          <w:rFonts w:hint="eastAsia" w:ascii="黑体" w:hAnsi="黑体" w:eastAsia="黑体" w:cs="Times New Roman"/>
        </w:rPr>
        <w:t>2.2.1平台的核心价值</w:t>
      </w:r>
      <w:bookmarkEnd w:id="40"/>
    </w:p>
    <w:p>
      <w:pPr>
        <w:ind w:firstLine="480"/>
        <w:rPr>
          <w:rFonts w:ascii="仿宋_GB2312"/>
          <w:sz w:val="24"/>
          <w:szCs w:val="24"/>
        </w:rPr>
      </w:pPr>
      <w:r>
        <w:rPr>
          <w:rFonts w:hint="eastAsia" w:ascii="仿宋_GB2312"/>
          <w:sz w:val="24"/>
          <w:szCs w:val="24"/>
        </w:rPr>
        <w:t>平台的核心价值是利用信息技术平台，实现知识分享和信息共享。本平台不仅可以学习医疗知识，而且可以提供医疗服务。通过知识分享和信息共享建立参与方的互信，从而提升患者的自我防治的知识水平，提高新入职医生的诊疗能力，延续退休医生的知识价值，更有利于减少医患间矛盾，促进医患关系和谐发展，实现精准医疗。</w:t>
      </w:r>
    </w:p>
    <w:p>
      <w:pPr>
        <w:tabs>
          <w:tab w:val="center" w:pos="4434"/>
        </w:tabs>
        <w:spacing w:line="500" w:lineRule="exact"/>
        <w:ind w:firstLine="0" w:firstLineChars="0"/>
        <w:jc w:val="left"/>
        <w:outlineLvl w:val="2"/>
        <w:rPr>
          <w:rFonts w:ascii="黑体" w:hAnsi="黑体" w:eastAsia="黑体" w:cs="Times New Roman"/>
        </w:rPr>
      </w:pPr>
      <w:bookmarkStart w:id="41" w:name="_Toc61100188"/>
      <w:r>
        <w:rPr>
          <w:rFonts w:hint="eastAsia" w:ascii="黑体" w:hAnsi="黑体" w:eastAsia="黑体" w:cs="Times New Roman"/>
        </w:rPr>
        <w:t>2.2.2竞争性分级免费策略</w:t>
      </w:r>
      <w:bookmarkEnd w:id="41"/>
    </w:p>
    <w:p>
      <w:pPr>
        <w:ind w:firstLine="480"/>
        <w:rPr>
          <w:rFonts w:ascii="仿宋_GB2312"/>
          <w:sz w:val="24"/>
          <w:szCs w:val="24"/>
        </w:rPr>
      </w:pPr>
      <w:r>
        <w:rPr>
          <w:rFonts w:hint="eastAsia" w:ascii="仿宋_GB2312"/>
          <w:sz w:val="24"/>
          <w:szCs w:val="24"/>
        </w:rPr>
        <w:t>免费的必要性：降低进入市场的门槛，在较短的时间内获得APP下载量和用户注册量，从而为后面的医疗生态建设提供基础。本项目并不是简单的全部免费，而是设计了一个竞争性分级免费策略（详见2.3）。</w:t>
      </w:r>
    </w:p>
    <w:p>
      <w:pPr>
        <w:tabs>
          <w:tab w:val="center" w:pos="4434"/>
        </w:tabs>
        <w:spacing w:line="500" w:lineRule="exact"/>
        <w:ind w:firstLine="0" w:firstLineChars="0"/>
        <w:jc w:val="left"/>
        <w:outlineLvl w:val="2"/>
        <w:rPr>
          <w:rFonts w:ascii="黑体" w:hAnsi="黑体" w:eastAsia="黑体" w:cs="Times New Roman"/>
        </w:rPr>
      </w:pPr>
      <w:bookmarkStart w:id="42" w:name="_Toc61100189"/>
      <w:r>
        <w:rPr>
          <w:rFonts w:hint="eastAsia" w:ascii="黑体" w:hAnsi="黑体" w:eastAsia="黑体" w:cs="Times New Roman"/>
        </w:rPr>
        <w:t>2.2.3完善的风险机制</w:t>
      </w:r>
      <w:bookmarkEnd w:id="42"/>
    </w:p>
    <w:p>
      <w:pPr>
        <w:ind w:firstLine="480"/>
        <w:rPr>
          <w:rFonts w:ascii="仿宋_GB2312"/>
          <w:sz w:val="24"/>
          <w:szCs w:val="24"/>
        </w:rPr>
      </w:pPr>
      <w:r>
        <w:rPr>
          <w:rFonts w:hint="eastAsia" w:ascii="仿宋_GB2312"/>
          <w:sz w:val="24"/>
          <w:szCs w:val="24"/>
        </w:rPr>
        <w:t>医疗行业是高风险行业，为了应对各种风险，本策略设计了一系列的风险控制机制（详见第9章）。</w:t>
      </w:r>
    </w:p>
    <w:p>
      <w:pPr>
        <w:pStyle w:val="84"/>
        <w:ind w:firstLine="0" w:firstLineChars="0"/>
        <w:outlineLvl w:val="1"/>
        <w:rPr>
          <w:rFonts w:ascii="黑体" w:hAnsi="黑体"/>
          <w:b w:val="0"/>
          <w:sz w:val="30"/>
          <w:szCs w:val="30"/>
        </w:rPr>
      </w:pPr>
      <w:bookmarkStart w:id="43" w:name="_Toc61100190"/>
      <w:r>
        <w:rPr>
          <w:rFonts w:hint="eastAsia" w:ascii="黑体" w:hAnsi="黑体"/>
          <w:b w:val="0"/>
          <w:sz w:val="30"/>
          <w:szCs w:val="30"/>
        </w:rPr>
        <w:t>2.3分级诊疗制度</w:t>
      </w:r>
      <w:bookmarkEnd w:id="43"/>
    </w:p>
    <w:p>
      <w:pPr>
        <w:ind w:firstLine="480"/>
        <w:rPr>
          <w:rFonts w:ascii="仿宋_GB2312"/>
          <w:sz w:val="24"/>
          <w:szCs w:val="24"/>
        </w:rPr>
      </w:pPr>
      <w:r>
        <w:rPr>
          <w:rFonts w:hint="eastAsia" w:ascii="仿宋_GB2312"/>
          <w:sz w:val="24"/>
          <w:szCs w:val="24"/>
        </w:rPr>
        <w:t>由于中国社会老龄化加剧，对医疗服务需求和健康需求都在增加；在当前的医疗资源和配置结构下，人们看病难问题十分突出。医疗资源本身就是稀缺资源，再加上配置不合理的问题，导致大型或三级医院人满为患，一号难求，而在一些基层医院则门可罗雀。因此，为平衡医疗资源不足和配置不合理的问题，国务院办公厅提出了分级诊疗政策方案，并于2015年开始实施。至2017年，分级诊疗政策体系已逐步完善，医疗卫生机构分工协作机制基本形成，优质医疗资源有序有效下沉，医疗资源利用效率和整体效益进一步提高。</w:t>
      </w:r>
    </w:p>
    <w:p>
      <w:pPr>
        <w:ind w:firstLine="480"/>
        <w:rPr>
          <w:rFonts w:ascii="仿宋_GB2312"/>
          <w:sz w:val="24"/>
          <w:szCs w:val="24"/>
        </w:rPr>
      </w:pPr>
      <w:r>
        <w:rPr>
          <w:rFonts w:hint="eastAsia" w:ascii="仿宋_GB2312"/>
          <w:sz w:val="24"/>
          <w:szCs w:val="24"/>
        </w:rPr>
        <w:t>除了以上提到的不同级别的医疗机构承担不同难度疾病的治疗之外，随着互联网+与医疗的深度融合，未来医疗也会出现体检、诊断和治疗环节的适度分离，也就是普通病常见病的检、诊和治的环节分离，而疑难病会实现上述环节的有限度分离。各个环节的分离有利于市场化和虚拟化。只要设置合理的监管规则和企业的内控机制，必然促进医疗资源的合理化，使服务的成本大大下降，价格也大大下降（如图2-2所示）。</w:t>
      </w:r>
    </w:p>
    <w:p>
      <w:pPr>
        <w:spacing w:line="240" w:lineRule="auto"/>
        <w:ind w:firstLine="480"/>
        <w:jc w:val="center"/>
        <w:rPr>
          <w:rFonts w:ascii="仿宋_GB2312"/>
          <w:sz w:val="24"/>
          <w:szCs w:val="24"/>
        </w:rPr>
      </w:pPr>
      <w:r>
        <w:rPr>
          <w:rFonts w:ascii="仿宋_GB2312"/>
          <w:sz w:val="24"/>
          <w:szCs w:val="24"/>
        </w:rPr>
        <w:drawing>
          <wp:inline distT="0" distB="0" distL="0" distR="0">
            <wp:extent cx="3486150" cy="2076450"/>
            <wp:effectExtent l="0" t="0" r="0" b="0"/>
            <wp:docPr id="60" name="图片 60" descr="C:\Users\鲁佳\AppData\Local\Temp\16100930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C:\Users\鲁佳\AppData\Local\Temp\1610093065(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487024" cy="2076971"/>
                    </a:xfrm>
                    <a:prstGeom prst="rect">
                      <a:avLst/>
                    </a:prstGeom>
                    <a:noFill/>
                    <a:ln>
                      <a:noFill/>
                    </a:ln>
                  </pic:spPr>
                </pic:pic>
              </a:graphicData>
            </a:graphic>
          </wp:inline>
        </w:drawing>
      </w:r>
    </w:p>
    <w:p>
      <w:pPr>
        <w:spacing w:line="240" w:lineRule="auto"/>
        <w:ind w:firstLine="420"/>
        <w:jc w:val="center"/>
        <w:rPr>
          <w:rFonts w:ascii="仿宋_GB2312"/>
          <w:sz w:val="21"/>
          <w:szCs w:val="24"/>
        </w:rPr>
      </w:pPr>
      <w:r>
        <w:rPr>
          <w:rFonts w:hint="eastAsia" w:ascii="仿宋_GB2312"/>
          <w:sz w:val="21"/>
          <w:szCs w:val="24"/>
        </w:rPr>
        <w:t>图2-2 体检、诊断和治疗的分离和社区化</w:t>
      </w:r>
    </w:p>
    <w:bookmarkEnd w:id="38"/>
    <w:bookmarkEnd w:id="39"/>
    <w:p>
      <w:pPr>
        <w:ind w:firstLine="480"/>
        <w:jc w:val="left"/>
        <w:rPr>
          <w:sz w:val="24"/>
          <w:szCs w:val="24"/>
        </w:rPr>
      </w:pPr>
      <w:bookmarkStart w:id="44" w:name="_Toc528265271"/>
      <w:r>
        <w:rPr>
          <w:rFonts w:hint="eastAsia"/>
          <w:sz w:val="24"/>
          <w:szCs w:val="24"/>
        </w:rPr>
        <w:t>本APP结合以上两点想法，推出了不同医疗机构和诊疗环节因不同病症而异的分级诊疗制度：</w:t>
      </w:r>
    </w:p>
    <w:p>
      <w:pPr>
        <w:ind w:firstLine="480"/>
        <w:jc w:val="left"/>
        <w:rPr>
          <w:sz w:val="24"/>
          <w:szCs w:val="24"/>
        </w:rPr>
      </w:pPr>
      <w:r>
        <w:rPr>
          <w:rFonts w:hint="eastAsia"/>
          <w:sz w:val="24"/>
          <w:szCs w:val="24"/>
        </w:rPr>
        <w:t>针对常见病患者，将其治病流程分散为三个步骤：一是在专门的体检机构或者医院体检；二是上传线下体检单，在线向APP内医生结合图文描述病情，进行网络诊断；三是凭网络医生的诊断结果，前往指定的社区医院治疗。</w:t>
      </w:r>
    </w:p>
    <w:p>
      <w:pPr>
        <w:ind w:firstLine="480"/>
        <w:jc w:val="left"/>
        <w:rPr>
          <w:sz w:val="24"/>
          <w:szCs w:val="24"/>
        </w:rPr>
      </w:pPr>
      <w:r>
        <w:rPr>
          <w:rFonts w:hint="eastAsia"/>
          <w:sz w:val="24"/>
          <w:szCs w:val="24"/>
        </w:rPr>
        <w:t>针对疑难杂症患者，为避免网络医生误诊，保障患者身体健康，建议患者们全程在专业化大医院进行体检、诊断、治疗。</w:t>
      </w:r>
    </w:p>
    <w:p>
      <w:pPr>
        <w:ind w:firstLine="480"/>
        <w:jc w:val="left"/>
        <w:rPr>
          <w:sz w:val="24"/>
          <w:szCs w:val="24"/>
        </w:rPr>
      </w:pPr>
    </w:p>
    <w:p>
      <w:pPr>
        <w:pStyle w:val="84"/>
        <w:ind w:firstLine="0" w:firstLineChars="0"/>
        <w:outlineLvl w:val="1"/>
        <w:rPr>
          <w:rFonts w:ascii="黑体" w:hAnsi="黑体"/>
          <w:b w:val="0"/>
          <w:sz w:val="30"/>
          <w:szCs w:val="30"/>
        </w:rPr>
      </w:pPr>
      <w:bookmarkStart w:id="45" w:name="_Toc61100191"/>
      <w:r>
        <w:rPr>
          <w:rFonts w:hint="eastAsia" w:ascii="黑体" w:hAnsi="黑体"/>
          <w:b w:val="0"/>
          <w:sz w:val="30"/>
          <w:szCs w:val="30"/>
        </w:rPr>
        <w:t>2.4竞争性分级免费策略</w:t>
      </w:r>
      <w:bookmarkEnd w:id="45"/>
    </w:p>
    <w:p>
      <w:pPr>
        <w:tabs>
          <w:tab w:val="center" w:pos="4434"/>
        </w:tabs>
        <w:spacing w:line="500" w:lineRule="exact"/>
        <w:ind w:firstLine="0" w:firstLineChars="0"/>
        <w:jc w:val="left"/>
        <w:outlineLvl w:val="2"/>
        <w:rPr>
          <w:rFonts w:ascii="黑体" w:hAnsi="黑体" w:eastAsia="黑体" w:cs="Times New Roman"/>
        </w:rPr>
      </w:pPr>
      <w:bookmarkStart w:id="46" w:name="_Toc61100192"/>
      <w:r>
        <w:rPr>
          <w:rFonts w:hint="eastAsia" w:ascii="黑体" w:hAnsi="黑体" w:eastAsia="黑体" w:cs="Times New Roman"/>
        </w:rPr>
        <w:t>2.4.1医生竞争性分级免费策略</w:t>
      </w:r>
      <w:bookmarkEnd w:id="46"/>
    </w:p>
    <w:p>
      <w:pPr>
        <w:ind w:firstLine="440"/>
        <w:jc w:val="left"/>
        <w:rPr>
          <w:sz w:val="24"/>
          <w:szCs w:val="24"/>
        </w:rPr>
      </w:pPr>
      <w:r>
        <w:rPr>
          <w:sz w:val="22"/>
          <w:szCs w:val="24"/>
        </w:rPr>
        <w:drawing>
          <wp:anchor distT="0" distB="0" distL="114300" distR="114300" simplePos="0" relativeHeight="251665408" behindDoc="0" locked="0" layoutInCell="1" allowOverlap="1">
            <wp:simplePos x="0" y="0"/>
            <wp:positionH relativeFrom="margin">
              <wp:align>center</wp:align>
            </wp:positionH>
            <wp:positionV relativeFrom="paragraph">
              <wp:posOffset>1290955</wp:posOffset>
            </wp:positionV>
            <wp:extent cx="4074160" cy="2476500"/>
            <wp:effectExtent l="0" t="0" r="2540" b="0"/>
            <wp:wrapSquare wrapText="bothSides"/>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79190" cy="2479349"/>
                    </a:xfrm>
                    <a:prstGeom prst="rect">
                      <a:avLst/>
                    </a:prstGeom>
                    <a:noFill/>
                  </pic:spPr>
                </pic:pic>
              </a:graphicData>
            </a:graphic>
          </wp:anchor>
        </w:drawing>
      </w:r>
      <w:r>
        <w:rPr>
          <w:rFonts w:hint="eastAsia"/>
          <w:sz w:val="24"/>
          <w:szCs w:val="24"/>
        </w:rPr>
        <w:t>医生首次入驻平台时，由医疗专家对其提供的成功治疗案例、高质量处方和治疗方案等材料做出评定，将医生分为青铜医生、白银医生、黄金医生和铂金医生四个等级。后期，医生的等级将根据具体考核得分情况进行动态变化（如图2-3所示）。</w:t>
      </w:r>
    </w:p>
    <w:p>
      <w:pPr>
        <w:spacing w:line="240" w:lineRule="auto"/>
        <w:ind w:firstLine="0" w:firstLineChars="0"/>
        <w:jc w:val="center"/>
        <w:rPr>
          <w:rFonts w:ascii="仿宋_GB2312"/>
          <w:sz w:val="21"/>
          <w:szCs w:val="24"/>
        </w:rPr>
      </w:pPr>
    </w:p>
    <w:p>
      <w:pPr>
        <w:spacing w:line="240" w:lineRule="auto"/>
        <w:ind w:firstLine="0" w:firstLineChars="0"/>
        <w:jc w:val="center"/>
        <w:rPr>
          <w:rFonts w:ascii="仿宋_GB2312"/>
          <w:sz w:val="21"/>
          <w:szCs w:val="24"/>
        </w:rPr>
      </w:pPr>
    </w:p>
    <w:p>
      <w:pPr>
        <w:spacing w:line="240" w:lineRule="auto"/>
        <w:ind w:firstLine="0" w:firstLineChars="0"/>
        <w:jc w:val="center"/>
        <w:rPr>
          <w:rFonts w:ascii="仿宋_GB2312"/>
          <w:sz w:val="21"/>
          <w:szCs w:val="24"/>
        </w:rPr>
      </w:pPr>
    </w:p>
    <w:p>
      <w:pPr>
        <w:spacing w:line="240" w:lineRule="auto"/>
        <w:ind w:firstLine="0" w:firstLineChars="0"/>
        <w:jc w:val="center"/>
        <w:rPr>
          <w:rFonts w:ascii="仿宋_GB2312"/>
          <w:sz w:val="21"/>
          <w:szCs w:val="24"/>
        </w:rPr>
      </w:pPr>
    </w:p>
    <w:p>
      <w:pPr>
        <w:spacing w:line="240" w:lineRule="auto"/>
        <w:ind w:firstLine="0" w:firstLineChars="0"/>
        <w:jc w:val="center"/>
        <w:rPr>
          <w:rFonts w:ascii="仿宋_GB2312"/>
          <w:sz w:val="21"/>
          <w:szCs w:val="24"/>
        </w:rPr>
      </w:pPr>
    </w:p>
    <w:p>
      <w:pPr>
        <w:spacing w:line="240" w:lineRule="auto"/>
        <w:ind w:firstLine="0" w:firstLineChars="0"/>
        <w:jc w:val="center"/>
        <w:rPr>
          <w:rFonts w:ascii="仿宋_GB2312"/>
          <w:sz w:val="21"/>
          <w:szCs w:val="24"/>
        </w:rPr>
      </w:pPr>
    </w:p>
    <w:p>
      <w:pPr>
        <w:spacing w:line="240" w:lineRule="auto"/>
        <w:ind w:firstLine="0" w:firstLineChars="0"/>
        <w:jc w:val="center"/>
        <w:rPr>
          <w:rFonts w:ascii="仿宋_GB2312"/>
          <w:sz w:val="21"/>
          <w:szCs w:val="24"/>
        </w:rPr>
      </w:pPr>
    </w:p>
    <w:p>
      <w:pPr>
        <w:spacing w:line="240" w:lineRule="auto"/>
        <w:ind w:firstLine="0" w:firstLineChars="0"/>
        <w:jc w:val="center"/>
        <w:rPr>
          <w:rFonts w:ascii="仿宋_GB2312"/>
          <w:sz w:val="21"/>
          <w:szCs w:val="24"/>
        </w:rPr>
      </w:pPr>
    </w:p>
    <w:p>
      <w:pPr>
        <w:spacing w:line="240" w:lineRule="auto"/>
        <w:ind w:firstLine="0" w:firstLineChars="0"/>
        <w:jc w:val="center"/>
        <w:rPr>
          <w:rFonts w:ascii="仿宋_GB2312"/>
          <w:sz w:val="21"/>
          <w:szCs w:val="24"/>
        </w:rPr>
      </w:pPr>
    </w:p>
    <w:p>
      <w:pPr>
        <w:spacing w:line="240" w:lineRule="auto"/>
        <w:ind w:firstLine="0" w:firstLineChars="0"/>
        <w:jc w:val="center"/>
        <w:rPr>
          <w:rFonts w:ascii="仿宋_GB2312"/>
          <w:sz w:val="21"/>
          <w:szCs w:val="24"/>
        </w:rPr>
      </w:pPr>
    </w:p>
    <w:p>
      <w:pPr>
        <w:spacing w:line="240" w:lineRule="auto"/>
        <w:ind w:firstLine="0" w:firstLineChars="0"/>
        <w:jc w:val="center"/>
        <w:rPr>
          <w:rFonts w:ascii="仿宋_GB2312"/>
          <w:sz w:val="21"/>
          <w:szCs w:val="24"/>
        </w:rPr>
      </w:pPr>
    </w:p>
    <w:p>
      <w:pPr>
        <w:spacing w:line="240" w:lineRule="auto"/>
        <w:ind w:firstLine="0" w:firstLineChars="0"/>
        <w:jc w:val="center"/>
        <w:rPr>
          <w:rFonts w:ascii="仿宋_GB2312"/>
          <w:sz w:val="21"/>
          <w:szCs w:val="24"/>
        </w:rPr>
      </w:pPr>
      <w:r>
        <w:rPr>
          <w:rFonts w:hint="eastAsia" w:ascii="仿宋_GB2312"/>
          <w:sz w:val="21"/>
          <w:szCs w:val="24"/>
        </w:rPr>
        <w:t>图2-3 医生竞争性分级免费策略</w:t>
      </w:r>
    </w:p>
    <w:p>
      <w:pPr>
        <w:spacing w:line="276" w:lineRule="auto"/>
        <w:ind w:firstLine="482"/>
        <w:rPr>
          <w:b/>
          <w:sz w:val="24"/>
          <w:szCs w:val="24"/>
        </w:rPr>
      </w:pPr>
      <w:r>
        <w:rPr>
          <w:rFonts w:hint="eastAsia"/>
          <w:b/>
          <w:sz w:val="24"/>
          <w:szCs w:val="24"/>
        </w:rPr>
        <w:t>1.考核内容</w:t>
      </w:r>
    </w:p>
    <w:p>
      <w:pPr>
        <w:spacing w:line="276" w:lineRule="auto"/>
        <w:ind w:firstLine="480"/>
        <w:rPr>
          <w:sz w:val="24"/>
          <w:szCs w:val="24"/>
        </w:rPr>
      </w:pPr>
      <w:r>
        <w:rPr>
          <w:rFonts w:hint="eastAsia"/>
          <w:sz w:val="24"/>
          <w:szCs w:val="24"/>
        </w:rPr>
        <w:t>根据医生在社区发表文章影响力和社区评论效果、患者对提供医疗服务的反馈情况（医生的服务态度和药物疗效）进行星级评价和参考医生12小时回复率、成功治愈案例数、服务人数等指标对医生进行绩效考核（如表2-2所示）。</w:t>
      </w:r>
    </w:p>
    <w:p>
      <w:pPr>
        <w:spacing w:line="240" w:lineRule="auto"/>
        <w:ind w:firstLine="0" w:firstLineChars="0"/>
        <w:jc w:val="center"/>
        <w:rPr>
          <w:rFonts w:ascii="仿宋_GB2312"/>
          <w:sz w:val="21"/>
          <w:szCs w:val="24"/>
        </w:rPr>
      </w:pPr>
      <w:r>
        <w:rPr>
          <w:rFonts w:hint="eastAsia" w:ascii="仿宋_GB2312"/>
          <w:sz w:val="21"/>
          <w:szCs w:val="24"/>
        </w:rPr>
        <w:t>表2-2医生等级评定标准</w:t>
      </w:r>
    </w:p>
    <w:tbl>
      <w:tblPr>
        <w:tblStyle w:val="24"/>
        <w:tblW w:w="9137" w:type="dxa"/>
        <w:tblInd w:w="0" w:type="dxa"/>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3515"/>
        <w:gridCol w:w="2787"/>
      </w:tblGrid>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top w:val="single" w:color="5B9BD5" w:themeColor="accent1" w:sz="8" w:space="0"/>
              <w:left w:val="nil"/>
              <w:bottom w:val="single" w:color="5B9BD5" w:themeColor="accent1" w:sz="8" w:space="0"/>
              <w:right w:val="nil"/>
              <w:insideH w:val="single" w:sz="8" w:space="0"/>
              <w:insideV w:val="nil"/>
            </w:tcBorders>
          </w:tcPr>
          <w:p>
            <w:pPr>
              <w:spacing w:before="0" w:after="0"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考核内容</w:t>
            </w:r>
          </w:p>
        </w:tc>
        <w:tc>
          <w:tcPr>
            <w:tcW w:w="3515"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考核指标</w:t>
            </w:r>
          </w:p>
        </w:tc>
        <w:tc>
          <w:tcPr>
            <w:tcW w:w="2787"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考核内容占比</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left w:val="nil"/>
              <w:right w:val="nil"/>
              <w:insideV w:val="nil"/>
            </w:tcBorders>
            <w:shd w:val="clear" w:color="auto" w:fill="D6E6F4" w:themeFill="accent1" w:themeFillTint="3F"/>
          </w:tcPr>
          <w:p>
            <w:pPr>
              <w:spacing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社区发表文章情况</w:t>
            </w:r>
          </w:p>
        </w:tc>
        <w:tc>
          <w:tcPr>
            <w:tcW w:w="3515" w:type="dxa"/>
            <w:tcBorders>
              <w:right w:val="nil"/>
              <w:insideV w:val="nil"/>
            </w:tcBorders>
            <w:shd w:val="clear" w:color="auto" w:fill="D6E6F4" w:themeFill="accent1" w:themeFillTint="3F"/>
          </w:tcPr>
          <w:p>
            <w:pPr>
              <w:spacing w:line="240" w:lineRule="auto"/>
              <w:ind w:firstLine="0" w:firstLineChars="0"/>
              <w:jc w:val="center"/>
              <w:rPr>
                <w:color w:val="2E75B6" w:themeColor="accent1" w:themeShade="BF"/>
                <w:sz w:val="21"/>
                <w:szCs w:val="21"/>
              </w:rPr>
            </w:pPr>
            <w:r>
              <w:rPr>
                <w:rFonts w:hint="eastAsia"/>
                <w:color w:val="2E75B6" w:themeColor="accent1" w:themeShade="BF"/>
                <w:sz w:val="21"/>
                <w:szCs w:val="21"/>
              </w:rPr>
              <w:t>Q1（发表文章浏览量/社区24小时内总浏览量）</w:t>
            </w:r>
          </w:p>
        </w:tc>
        <w:tc>
          <w:tcPr>
            <w:tcW w:w="2787" w:type="dxa"/>
            <w:tcBorders>
              <w:right w:val="nil"/>
              <w:insideV w:val="nil"/>
            </w:tcBorders>
            <w:shd w:val="clear" w:color="auto" w:fill="D6E6F4" w:themeFill="accent1" w:themeFillTint="3F"/>
          </w:tcPr>
          <w:p>
            <w:pPr>
              <w:spacing w:line="240" w:lineRule="auto"/>
              <w:ind w:firstLine="0" w:firstLineChars="0"/>
              <w:jc w:val="center"/>
              <w:rPr>
                <w:color w:val="2E75B6" w:themeColor="accent1" w:themeShade="BF"/>
                <w:sz w:val="21"/>
                <w:szCs w:val="21"/>
              </w:rPr>
            </w:pPr>
            <w:r>
              <w:rPr>
                <w:color w:val="2E75B6" w:themeColor="accent1" w:themeShade="BF"/>
                <w:sz w:val="21"/>
                <w:szCs w:val="21"/>
              </w:rPr>
              <w:t>30%</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Pr>
          <w:p>
            <w:pPr>
              <w:spacing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社区评论情况（提问、回答）</w:t>
            </w:r>
          </w:p>
        </w:tc>
        <w:tc>
          <w:tcPr>
            <w:tcW w:w="3515" w:type="dxa"/>
          </w:tcPr>
          <w:p>
            <w:pPr>
              <w:spacing w:line="240" w:lineRule="auto"/>
              <w:ind w:firstLine="0" w:firstLineChars="0"/>
              <w:jc w:val="center"/>
              <w:rPr>
                <w:color w:val="2E75B6" w:themeColor="accent1" w:themeShade="BF"/>
                <w:sz w:val="21"/>
                <w:szCs w:val="21"/>
              </w:rPr>
            </w:pPr>
            <w:r>
              <w:rPr>
                <w:rFonts w:hint="eastAsia"/>
                <w:color w:val="2E75B6" w:themeColor="accent1" w:themeShade="BF"/>
                <w:sz w:val="21"/>
                <w:szCs w:val="21"/>
              </w:rPr>
              <w:t>Q2（评论点赞量/评论的文章浏览量）</w:t>
            </w:r>
          </w:p>
        </w:tc>
        <w:tc>
          <w:tcPr>
            <w:tcW w:w="2787" w:type="dxa"/>
          </w:tcPr>
          <w:p>
            <w:pPr>
              <w:spacing w:line="240" w:lineRule="auto"/>
              <w:ind w:firstLine="0" w:firstLineChars="0"/>
              <w:jc w:val="center"/>
              <w:rPr>
                <w:color w:val="2E75B6" w:themeColor="accent1" w:themeShade="BF"/>
                <w:sz w:val="21"/>
                <w:szCs w:val="21"/>
              </w:rPr>
            </w:pPr>
            <w:r>
              <w:rPr>
                <w:color w:val="2E75B6" w:themeColor="accent1" w:themeShade="BF"/>
                <w:sz w:val="21"/>
                <w:szCs w:val="21"/>
              </w:rPr>
              <w:t>20%</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vMerge w:val="restart"/>
            <w:tcBorders>
              <w:left w:val="nil"/>
              <w:right w:val="nil"/>
              <w:insideV w:val="nil"/>
            </w:tcBorders>
            <w:shd w:val="clear" w:color="auto" w:fill="D6E6F4" w:themeFill="accent1" w:themeFillTint="3F"/>
          </w:tcPr>
          <w:p>
            <w:pPr>
              <w:spacing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用户反馈情况</w:t>
            </w:r>
          </w:p>
        </w:tc>
        <w:tc>
          <w:tcPr>
            <w:tcW w:w="3515" w:type="dxa"/>
            <w:tcBorders>
              <w:right w:val="nil"/>
              <w:insideV w:val="nil"/>
            </w:tcBorders>
            <w:shd w:val="clear" w:color="auto" w:fill="D6E6F4" w:themeFill="accent1" w:themeFillTint="3F"/>
          </w:tcPr>
          <w:p>
            <w:pPr>
              <w:spacing w:line="240" w:lineRule="auto"/>
              <w:ind w:firstLine="0" w:firstLineChars="0"/>
              <w:jc w:val="center"/>
              <w:rPr>
                <w:color w:val="2E75B6" w:themeColor="accent1" w:themeShade="BF"/>
                <w:sz w:val="21"/>
                <w:szCs w:val="21"/>
              </w:rPr>
            </w:pPr>
            <w:r>
              <w:rPr>
                <w:rFonts w:hint="eastAsia"/>
                <w:color w:val="2E75B6" w:themeColor="accent1" w:themeShade="BF"/>
                <w:sz w:val="21"/>
                <w:szCs w:val="21"/>
              </w:rPr>
              <w:t>服务态度星级数N1（星级数为1-5）</w:t>
            </w:r>
          </w:p>
        </w:tc>
        <w:tc>
          <w:tcPr>
            <w:tcW w:w="2787" w:type="dxa"/>
            <w:tcBorders>
              <w:right w:val="nil"/>
              <w:insideV w:val="nil"/>
            </w:tcBorders>
            <w:shd w:val="clear" w:color="auto" w:fill="D6E6F4" w:themeFill="accent1" w:themeFillTint="3F"/>
          </w:tcPr>
          <w:p>
            <w:pPr>
              <w:spacing w:line="240" w:lineRule="auto"/>
              <w:ind w:firstLine="0" w:firstLineChars="0"/>
              <w:jc w:val="center"/>
              <w:rPr>
                <w:color w:val="2E75B6" w:themeColor="accent1" w:themeShade="BF"/>
                <w:sz w:val="21"/>
                <w:szCs w:val="21"/>
              </w:rPr>
            </w:pPr>
            <w:r>
              <w:rPr>
                <w:color w:val="2E75B6" w:themeColor="accent1" w:themeShade="BF"/>
                <w:sz w:val="21"/>
                <w:szCs w:val="21"/>
              </w:rPr>
              <w:t>20%</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vMerge w:val="continue"/>
          </w:tcPr>
          <w:p>
            <w:pPr>
              <w:spacing w:line="240" w:lineRule="auto"/>
              <w:ind w:firstLine="0" w:firstLineChars="0"/>
              <w:jc w:val="center"/>
              <w:rPr>
                <w:b/>
                <w:bCs/>
                <w:color w:val="2E75B6" w:themeColor="accent1" w:themeShade="BF"/>
                <w:sz w:val="21"/>
                <w:szCs w:val="21"/>
              </w:rPr>
            </w:pPr>
          </w:p>
        </w:tc>
        <w:tc>
          <w:tcPr>
            <w:tcW w:w="3515" w:type="dxa"/>
          </w:tcPr>
          <w:p>
            <w:pPr>
              <w:spacing w:line="240" w:lineRule="auto"/>
              <w:ind w:firstLine="0" w:firstLineChars="0"/>
              <w:jc w:val="center"/>
              <w:rPr>
                <w:color w:val="2E75B6" w:themeColor="accent1" w:themeShade="BF"/>
                <w:sz w:val="21"/>
                <w:szCs w:val="21"/>
              </w:rPr>
            </w:pPr>
            <w:r>
              <w:rPr>
                <w:rFonts w:hint="eastAsia"/>
                <w:color w:val="2E75B6" w:themeColor="accent1" w:themeShade="BF"/>
                <w:sz w:val="21"/>
                <w:szCs w:val="21"/>
              </w:rPr>
              <w:t>药物疗效星级数N2（星级数为1-5）</w:t>
            </w:r>
          </w:p>
        </w:tc>
        <w:tc>
          <w:tcPr>
            <w:tcW w:w="2787" w:type="dxa"/>
          </w:tcPr>
          <w:p>
            <w:pPr>
              <w:spacing w:line="240" w:lineRule="auto"/>
              <w:ind w:firstLine="0" w:firstLineChars="0"/>
              <w:jc w:val="center"/>
              <w:rPr>
                <w:color w:val="2E75B6" w:themeColor="accent1" w:themeShade="BF"/>
                <w:sz w:val="21"/>
                <w:szCs w:val="21"/>
              </w:rPr>
            </w:pPr>
            <w:r>
              <w:rPr>
                <w:color w:val="2E75B6" w:themeColor="accent1" w:themeShade="BF"/>
                <w:sz w:val="21"/>
                <w:szCs w:val="21"/>
              </w:rPr>
              <w:t>30%</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left w:val="nil"/>
              <w:right w:val="nil"/>
              <w:insideV w:val="nil"/>
            </w:tcBorders>
            <w:shd w:val="clear" w:color="auto" w:fill="D6E6F4" w:themeFill="accent1" w:themeFillTint="3F"/>
          </w:tcPr>
          <w:p>
            <w:pPr>
              <w:spacing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12小时回复率</w:t>
            </w:r>
          </w:p>
        </w:tc>
        <w:tc>
          <w:tcPr>
            <w:tcW w:w="6302" w:type="dxa"/>
            <w:gridSpan w:val="2"/>
            <w:vMerge w:val="restart"/>
            <w:tcBorders>
              <w:right w:val="nil"/>
              <w:insideV w:val="nil"/>
            </w:tcBorders>
            <w:shd w:val="clear" w:color="auto" w:fill="D6E6F4" w:themeFill="accent1" w:themeFillTint="3F"/>
          </w:tcPr>
          <w:p>
            <w:pPr>
              <w:spacing w:line="240" w:lineRule="auto"/>
              <w:ind w:firstLine="0" w:firstLineChars="0"/>
              <w:jc w:val="center"/>
              <w:rPr>
                <w:color w:val="2E75B6" w:themeColor="accent1" w:themeShade="BF"/>
                <w:sz w:val="21"/>
                <w:szCs w:val="21"/>
              </w:rPr>
            </w:pPr>
            <w:r>
              <w:rPr>
                <w:color w:val="2E75B6" w:themeColor="accent1" w:themeShade="BF"/>
                <w:sz w:val="21"/>
                <w:szCs w:val="21"/>
              </w:rPr>
              <mc:AlternateContent>
                <mc:Choice Requires="wps">
                  <w:drawing>
                    <wp:anchor distT="0" distB="0" distL="114300" distR="114300" simplePos="0" relativeHeight="251666432" behindDoc="0" locked="0" layoutInCell="1" allowOverlap="1">
                      <wp:simplePos x="0" y="0"/>
                      <wp:positionH relativeFrom="column">
                        <wp:posOffset>-19050</wp:posOffset>
                      </wp:positionH>
                      <wp:positionV relativeFrom="paragraph">
                        <wp:posOffset>65405</wp:posOffset>
                      </wp:positionV>
                      <wp:extent cx="3905250" cy="371475"/>
                      <wp:effectExtent l="0" t="0" r="19050" b="28575"/>
                      <wp:wrapNone/>
                      <wp:docPr id="62" name="直接连接符 62"/>
                      <wp:cNvGraphicFramePr/>
                      <a:graphic xmlns:a="http://schemas.openxmlformats.org/drawingml/2006/main">
                        <a:graphicData uri="http://schemas.microsoft.com/office/word/2010/wordprocessingShape">
                          <wps:wsp>
                            <wps:cNvCnPr/>
                            <wps:spPr>
                              <a:xfrm>
                                <a:off x="0" y="0"/>
                                <a:ext cx="3905250" cy="371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5pt;margin-top:5.15pt;height:29.25pt;width:307.5pt;z-index:251666432;mso-width-relative:page;mso-height-relative:page;" filled="f" stroked="t" coordsize="21600,21600" o:gfxdata="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g2773YAAAACAEAAA8AAAAAAAAAAQAgAAAAIgAAAGRycy9kb3ducmV2LnhtbFBLAQIUABQAAAAI&#10;AIdO4kB3yZKz7QEAALgDAAAOAAAAAAAAAAEAIAAAACcBAABkcnMvZTJvRG9jLnhtbFBLBQYAAAAA&#10;BgAGAFkBAACGBQAAAAA=&#10;">
                      <v:fill on="f" focussize="0,0"/>
                      <v:stroke weight="0.5pt" color="#5B9BD5 [3204]" miterlimit="8" joinstyle="miter"/>
                      <v:imagedata o:title=""/>
                      <o:lock v:ext="edit" aspectratio="f"/>
                    </v:line>
                  </w:pict>
                </mc:Fallback>
              </mc:AlternateConten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Pr>
          <w:p>
            <w:pPr>
              <w:spacing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成功治愈案例数</w:t>
            </w:r>
          </w:p>
        </w:tc>
        <w:tc>
          <w:tcPr>
            <w:tcW w:w="6302" w:type="dxa"/>
            <w:gridSpan w:val="2"/>
            <w:vMerge w:val="continue"/>
          </w:tcPr>
          <w:p>
            <w:pPr>
              <w:spacing w:line="240" w:lineRule="auto"/>
              <w:ind w:firstLine="0" w:firstLineChars="0"/>
              <w:jc w:val="center"/>
              <w:rPr>
                <w:color w:val="2E75B6" w:themeColor="accent1" w:themeShade="BF"/>
                <w:sz w:val="21"/>
                <w:szCs w:val="21"/>
              </w:rPr>
            </w:pPr>
          </w:p>
        </w:tc>
      </w:tr>
    </w:tbl>
    <w:p>
      <w:pPr>
        <w:spacing w:line="276" w:lineRule="auto"/>
        <w:ind w:firstLine="482"/>
        <w:rPr>
          <w:b/>
          <w:sz w:val="24"/>
          <w:szCs w:val="24"/>
        </w:rPr>
      </w:pPr>
      <w:r>
        <w:rPr>
          <w:rFonts w:hint="eastAsia"/>
          <w:b/>
          <w:sz w:val="24"/>
          <w:szCs w:val="24"/>
        </w:rPr>
        <w:t>2.考核规则</w:t>
      </w:r>
    </w:p>
    <w:p>
      <w:pPr>
        <w:spacing w:line="276" w:lineRule="auto"/>
        <w:ind w:firstLine="480"/>
        <w:rPr>
          <w:sz w:val="24"/>
          <w:szCs w:val="24"/>
        </w:rPr>
      </w:pPr>
      <w:r>
        <w:rPr>
          <w:rFonts w:hint="eastAsia"/>
          <w:sz w:val="24"/>
          <w:szCs w:val="24"/>
        </w:rPr>
        <w:t>评分数=3.5+（N1x20%+N2x30%+5xQ1x30%+5xQ2x20%）x30%</w:t>
      </w:r>
    </w:p>
    <w:p>
      <w:pPr>
        <w:ind w:firstLine="420"/>
        <w:rPr>
          <w:rFonts w:ascii="仿宋_GB2312"/>
          <w:sz w:val="21"/>
          <w:szCs w:val="24"/>
        </w:rPr>
      </w:pPr>
      <w:r>
        <w:rPr>
          <w:rFonts w:hint="eastAsia" w:ascii="仿宋_GB2312"/>
          <w:sz w:val="21"/>
          <w:szCs w:val="24"/>
        </w:rPr>
        <w:t>注：最高评分数为5分，基础分数为3.5分。在评分数相同时，根据12小时回复率和成功治愈案例数进行排名。</w:t>
      </w:r>
    </w:p>
    <w:p>
      <w:pPr>
        <w:spacing w:line="276" w:lineRule="auto"/>
        <w:ind w:firstLine="482"/>
        <w:rPr>
          <w:b/>
          <w:sz w:val="24"/>
          <w:szCs w:val="24"/>
        </w:rPr>
      </w:pPr>
      <w:r>
        <w:rPr>
          <w:rFonts w:hint="eastAsia"/>
          <w:b/>
          <w:sz w:val="24"/>
          <w:szCs w:val="24"/>
        </w:rPr>
        <w:t>3.考核结果运用</w:t>
      </w:r>
    </w:p>
    <w:p>
      <w:pPr>
        <w:spacing w:line="276" w:lineRule="auto"/>
        <w:ind w:firstLine="480"/>
        <w:rPr>
          <w:sz w:val="24"/>
          <w:szCs w:val="24"/>
        </w:rPr>
      </w:pPr>
      <w:r>
        <w:rPr>
          <w:rFonts w:hint="eastAsia"/>
          <w:sz w:val="24"/>
          <w:szCs w:val="24"/>
        </w:rPr>
        <w:t>根据医生的最终考核得分，选取入驻APP平台医生总人数的5%为铂金医生、医生总人数的10%为黄金医生、医生总人数的60%为白银医生、医生总人数的25%为青铜医生。</w:t>
      </w:r>
    </w:p>
    <w:p>
      <w:pPr>
        <w:tabs>
          <w:tab w:val="center" w:pos="4434"/>
        </w:tabs>
        <w:spacing w:line="500" w:lineRule="exact"/>
        <w:ind w:firstLine="0" w:firstLineChars="0"/>
        <w:jc w:val="left"/>
        <w:outlineLvl w:val="2"/>
        <w:rPr>
          <w:rFonts w:ascii="黑体" w:hAnsi="黑体" w:eastAsia="黑体" w:cs="Times New Roman"/>
        </w:rPr>
      </w:pPr>
      <w:bookmarkStart w:id="47" w:name="_Toc61100193"/>
      <w:r>
        <w:rPr>
          <w:rFonts w:hint="eastAsia" w:ascii="黑体" w:hAnsi="黑体" w:eastAsia="黑体" w:cs="Times New Roman"/>
        </w:rPr>
        <w:t>2.4.2用户竞争性分级免费策略</w:t>
      </w:r>
      <w:bookmarkEnd w:id="47"/>
    </w:p>
    <w:p>
      <w:pPr>
        <w:spacing w:line="276" w:lineRule="auto"/>
        <w:ind w:firstLine="480"/>
        <w:rPr>
          <w:sz w:val="24"/>
          <w:szCs w:val="24"/>
        </w:rPr>
      </w:pPr>
      <w:r>
        <w:rPr>
          <w:rFonts w:hint="eastAsia"/>
          <w:sz w:val="24"/>
          <w:szCs w:val="24"/>
        </w:rPr>
        <w:t>根据用户的具体得分情况将用户分为青铜用户、白银用户、黄金用户和铂金用户四个等级，用户的等级也将随着具体得分数而动态变化（如图2-4所示）。</w:t>
      </w:r>
    </w:p>
    <w:p>
      <w:pPr>
        <w:spacing w:line="240" w:lineRule="auto"/>
        <w:ind w:firstLine="480"/>
        <w:rPr>
          <w:sz w:val="24"/>
          <w:szCs w:val="24"/>
        </w:rPr>
      </w:pPr>
      <w:r>
        <w:rPr>
          <w:sz w:val="24"/>
          <w:szCs w:val="24"/>
        </w:rPr>
        <w:drawing>
          <wp:anchor distT="0" distB="0" distL="114300" distR="114300" simplePos="0" relativeHeight="251667456" behindDoc="0" locked="0" layoutInCell="1" allowOverlap="1">
            <wp:simplePos x="0" y="0"/>
            <wp:positionH relativeFrom="margin">
              <wp:align>center</wp:align>
            </wp:positionH>
            <wp:positionV relativeFrom="paragraph">
              <wp:posOffset>57785</wp:posOffset>
            </wp:positionV>
            <wp:extent cx="3454400" cy="4223385"/>
            <wp:effectExtent l="0" t="0" r="0" b="5715"/>
            <wp:wrapSquare wrapText="bothSides"/>
            <wp:docPr id="63" name="图片 63" descr="C:\Users\鲁佳\AppData\Local\Temp\161009403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C:\Users\鲁佳\AppData\Local\Temp\1610094037(1).png"/>
                    <pic:cNvPicPr>
                      <a:picLocks noChangeAspect="1" noChangeArrowheads="1"/>
                    </pic:cNvPicPr>
                  </pic:nvPicPr>
                  <pic:blipFill>
                    <a:blip r:embed="rId25">
                      <a:extLst>
                        <a:ext uri="{28A0092B-C50C-407E-A947-70E740481C1C}">
                          <a14:useLocalDpi xmlns:a14="http://schemas.microsoft.com/office/drawing/2010/main" val="0"/>
                        </a:ext>
                      </a:extLst>
                    </a:blip>
                    <a:srcRect l="1542" t="1033" b="-29"/>
                    <a:stretch>
                      <a:fillRect/>
                    </a:stretch>
                  </pic:blipFill>
                  <pic:spPr>
                    <a:xfrm>
                      <a:off x="0" y="0"/>
                      <a:ext cx="3459761" cy="4229709"/>
                    </a:xfrm>
                    <a:prstGeom prst="rect">
                      <a:avLst/>
                    </a:prstGeom>
                    <a:noFill/>
                    <a:ln>
                      <a:noFill/>
                    </a:ln>
                  </pic:spPr>
                </pic:pic>
              </a:graphicData>
            </a:graphic>
          </wp:anchor>
        </w:drawing>
      </w:r>
    </w:p>
    <w:p>
      <w:pPr>
        <w:spacing w:line="240" w:lineRule="auto"/>
        <w:ind w:firstLine="480"/>
        <w:rPr>
          <w:sz w:val="24"/>
          <w:szCs w:val="24"/>
        </w:rPr>
      </w:pPr>
    </w:p>
    <w:bookmarkEnd w:id="44"/>
    <w:p>
      <w:pPr>
        <w:spacing w:line="240" w:lineRule="auto"/>
        <w:ind w:firstLine="0" w:firstLineChars="0"/>
        <w:jc w:val="center"/>
        <w:rPr>
          <w:rFonts w:ascii="黑体" w:hAnsi="黑体" w:eastAsia="黑体"/>
          <w:sz w:val="24"/>
          <w:szCs w:val="24"/>
        </w:rPr>
      </w:pPr>
      <w:bookmarkStart w:id="48" w:name="_Toc5364941"/>
      <w:bookmarkStart w:id="49" w:name="_Hlk5320592"/>
    </w:p>
    <w:p>
      <w:pPr>
        <w:spacing w:line="240" w:lineRule="auto"/>
        <w:ind w:firstLine="0" w:firstLineChars="0"/>
        <w:jc w:val="center"/>
        <w:rPr>
          <w:rFonts w:ascii="黑体" w:hAnsi="黑体" w:eastAsia="黑体"/>
          <w:sz w:val="24"/>
          <w:szCs w:val="24"/>
        </w:rPr>
      </w:pPr>
    </w:p>
    <w:p>
      <w:pPr>
        <w:spacing w:line="240" w:lineRule="auto"/>
        <w:ind w:firstLine="0" w:firstLineChars="0"/>
        <w:jc w:val="center"/>
        <w:rPr>
          <w:rFonts w:ascii="黑体" w:hAnsi="黑体" w:eastAsia="黑体"/>
          <w:sz w:val="24"/>
          <w:szCs w:val="24"/>
        </w:rPr>
      </w:pPr>
    </w:p>
    <w:p>
      <w:pPr>
        <w:spacing w:line="240" w:lineRule="auto"/>
        <w:ind w:firstLine="0" w:firstLineChars="0"/>
        <w:jc w:val="center"/>
        <w:rPr>
          <w:rFonts w:ascii="黑体" w:hAnsi="黑体" w:eastAsia="黑体"/>
          <w:sz w:val="24"/>
          <w:szCs w:val="24"/>
        </w:rPr>
      </w:pPr>
    </w:p>
    <w:p>
      <w:pPr>
        <w:spacing w:line="240" w:lineRule="auto"/>
        <w:ind w:firstLine="0" w:firstLineChars="0"/>
        <w:jc w:val="center"/>
        <w:rPr>
          <w:rFonts w:ascii="黑体" w:hAnsi="黑体" w:eastAsia="黑体"/>
          <w:sz w:val="24"/>
          <w:szCs w:val="24"/>
        </w:rPr>
      </w:pPr>
    </w:p>
    <w:p>
      <w:pPr>
        <w:spacing w:line="240" w:lineRule="auto"/>
        <w:ind w:firstLine="0" w:firstLineChars="0"/>
        <w:jc w:val="center"/>
        <w:rPr>
          <w:rFonts w:ascii="黑体" w:hAnsi="黑体" w:eastAsia="黑体"/>
          <w:sz w:val="24"/>
          <w:szCs w:val="24"/>
        </w:rPr>
      </w:pPr>
    </w:p>
    <w:p>
      <w:pPr>
        <w:spacing w:line="240" w:lineRule="auto"/>
        <w:ind w:firstLine="0" w:firstLineChars="0"/>
        <w:jc w:val="center"/>
        <w:rPr>
          <w:rFonts w:ascii="黑体" w:hAnsi="黑体" w:eastAsia="黑体"/>
          <w:sz w:val="24"/>
          <w:szCs w:val="24"/>
        </w:rPr>
      </w:pPr>
    </w:p>
    <w:p>
      <w:pPr>
        <w:spacing w:line="240" w:lineRule="auto"/>
        <w:ind w:firstLine="0" w:firstLineChars="0"/>
        <w:jc w:val="center"/>
        <w:rPr>
          <w:rFonts w:ascii="黑体" w:hAnsi="黑体" w:eastAsia="黑体"/>
          <w:sz w:val="24"/>
          <w:szCs w:val="24"/>
        </w:rPr>
      </w:pPr>
    </w:p>
    <w:p>
      <w:pPr>
        <w:ind w:firstLine="0" w:firstLineChars="0"/>
        <w:jc w:val="center"/>
        <w:rPr>
          <w:rFonts w:ascii="黑体" w:hAnsi="黑体" w:eastAsia="黑体"/>
          <w:sz w:val="24"/>
          <w:szCs w:val="24"/>
        </w:rPr>
      </w:pPr>
    </w:p>
    <w:p>
      <w:pPr>
        <w:ind w:firstLine="0" w:firstLineChars="0"/>
        <w:jc w:val="center"/>
        <w:rPr>
          <w:rFonts w:ascii="黑体" w:hAnsi="黑体" w:eastAsia="黑体"/>
          <w:sz w:val="24"/>
          <w:szCs w:val="24"/>
        </w:rPr>
      </w:pPr>
    </w:p>
    <w:p>
      <w:pPr>
        <w:ind w:firstLine="0" w:firstLineChars="0"/>
        <w:jc w:val="center"/>
        <w:rPr>
          <w:rFonts w:ascii="黑体" w:hAnsi="黑体" w:eastAsia="黑体"/>
          <w:sz w:val="24"/>
          <w:szCs w:val="24"/>
        </w:rPr>
      </w:pPr>
    </w:p>
    <w:p>
      <w:pPr>
        <w:ind w:firstLine="0" w:firstLineChars="0"/>
        <w:jc w:val="center"/>
        <w:rPr>
          <w:rFonts w:ascii="黑体" w:hAnsi="黑体" w:eastAsia="黑体"/>
          <w:sz w:val="24"/>
          <w:szCs w:val="24"/>
        </w:rPr>
      </w:pPr>
    </w:p>
    <w:p>
      <w:pPr>
        <w:ind w:firstLine="0" w:firstLineChars="0"/>
        <w:jc w:val="center"/>
        <w:rPr>
          <w:rFonts w:ascii="黑体" w:hAnsi="黑体" w:eastAsia="黑体"/>
          <w:sz w:val="24"/>
          <w:szCs w:val="24"/>
        </w:rPr>
      </w:pPr>
    </w:p>
    <w:p>
      <w:pPr>
        <w:ind w:firstLine="0" w:firstLineChars="0"/>
        <w:jc w:val="center"/>
        <w:rPr>
          <w:rFonts w:ascii="黑体" w:hAnsi="黑体" w:eastAsia="黑体"/>
          <w:sz w:val="24"/>
          <w:szCs w:val="24"/>
        </w:rPr>
      </w:pPr>
    </w:p>
    <w:p>
      <w:pPr>
        <w:ind w:firstLine="420"/>
        <w:jc w:val="center"/>
        <w:rPr>
          <w:rFonts w:ascii="仿宋_GB2312"/>
          <w:sz w:val="21"/>
          <w:szCs w:val="24"/>
        </w:rPr>
      </w:pPr>
    </w:p>
    <w:p>
      <w:pPr>
        <w:ind w:firstLine="420"/>
        <w:jc w:val="center"/>
        <w:rPr>
          <w:rFonts w:ascii="仿宋_GB2312"/>
          <w:sz w:val="21"/>
          <w:szCs w:val="24"/>
        </w:rPr>
      </w:pPr>
      <w:r>
        <w:rPr>
          <w:rFonts w:hint="eastAsia" w:ascii="仿宋_GB2312"/>
          <w:sz w:val="21"/>
          <w:szCs w:val="24"/>
        </w:rPr>
        <w:t>图2-4 用户竞争性分级免费策略</w:t>
      </w:r>
    </w:p>
    <w:p>
      <w:pPr>
        <w:spacing w:line="276" w:lineRule="auto"/>
        <w:ind w:firstLine="482"/>
        <w:rPr>
          <w:b/>
          <w:sz w:val="24"/>
          <w:szCs w:val="24"/>
        </w:rPr>
      </w:pPr>
      <w:r>
        <w:rPr>
          <w:rFonts w:hint="eastAsia"/>
          <w:b/>
          <w:sz w:val="24"/>
          <w:szCs w:val="24"/>
        </w:rPr>
        <w:t>1.考核内容</w:t>
      </w:r>
    </w:p>
    <w:p>
      <w:pPr>
        <w:ind w:firstLine="440"/>
        <w:jc w:val="left"/>
        <w:rPr>
          <w:rFonts w:ascii="仿宋_GB2312"/>
          <w:sz w:val="22"/>
          <w:szCs w:val="24"/>
        </w:rPr>
      </w:pPr>
      <w:r>
        <w:rPr>
          <w:rFonts w:hint="eastAsia" w:ascii="仿宋_GB2312"/>
          <w:sz w:val="22"/>
          <w:szCs w:val="24"/>
        </w:rPr>
        <w:t>根据用户在社区分享治疗经历的影响力和社区评论效果、用户对曾提供医疗服务的医生的反馈情况（对医生的服务态度和药物疗效反馈）进行星级评价和参考用户病友数量、分享治疗经历的次数、推荐好友注册APP的人数等指标对用户进行绩效考核（如表2-3所示）。</w:t>
      </w:r>
    </w:p>
    <w:p>
      <w:pPr>
        <w:spacing w:line="240" w:lineRule="auto"/>
        <w:ind w:firstLine="0" w:firstLineChars="0"/>
        <w:jc w:val="center"/>
        <w:rPr>
          <w:rFonts w:ascii="仿宋_GB2312"/>
          <w:sz w:val="22"/>
          <w:szCs w:val="24"/>
        </w:rPr>
      </w:pPr>
    </w:p>
    <w:p>
      <w:pPr>
        <w:spacing w:line="240" w:lineRule="auto"/>
        <w:ind w:firstLine="0" w:firstLineChars="0"/>
        <w:jc w:val="center"/>
        <w:rPr>
          <w:rFonts w:ascii="仿宋_GB2312"/>
          <w:sz w:val="21"/>
          <w:szCs w:val="24"/>
        </w:rPr>
      </w:pPr>
      <w:r>
        <w:rPr>
          <w:rFonts w:hint="eastAsia" w:ascii="仿宋_GB2312"/>
          <w:sz w:val="21"/>
          <w:szCs w:val="24"/>
        </w:rPr>
        <w:t>表2-3医生等级评定标准</w:t>
      </w:r>
    </w:p>
    <w:tbl>
      <w:tblPr>
        <w:tblStyle w:val="24"/>
        <w:tblW w:w="9137" w:type="dxa"/>
        <w:tblInd w:w="0" w:type="dxa"/>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3515"/>
        <w:gridCol w:w="2787"/>
      </w:tblGrid>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top w:val="single" w:color="5B9BD5" w:themeColor="accent1" w:sz="8" w:space="0"/>
              <w:left w:val="nil"/>
              <w:bottom w:val="single" w:color="5B9BD5" w:themeColor="accent1" w:sz="8" w:space="0"/>
              <w:right w:val="nil"/>
              <w:insideH w:val="single" w:sz="8" w:space="0"/>
              <w:insideV w:val="nil"/>
            </w:tcBorders>
          </w:tcPr>
          <w:p>
            <w:pPr>
              <w:spacing w:before="0" w:after="0"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考核内容</w:t>
            </w:r>
          </w:p>
        </w:tc>
        <w:tc>
          <w:tcPr>
            <w:tcW w:w="3515"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考核指标</w:t>
            </w:r>
          </w:p>
        </w:tc>
        <w:tc>
          <w:tcPr>
            <w:tcW w:w="2787"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考核内容占比</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left w:val="nil"/>
              <w:right w:val="nil"/>
              <w:insideV w:val="nil"/>
            </w:tcBorders>
            <w:shd w:val="clear" w:color="auto" w:fill="D6E6F4" w:themeFill="accent1" w:themeFillTint="3F"/>
          </w:tcPr>
          <w:p>
            <w:pPr>
              <w:spacing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社区发表文章情况</w:t>
            </w:r>
          </w:p>
        </w:tc>
        <w:tc>
          <w:tcPr>
            <w:tcW w:w="3515" w:type="dxa"/>
            <w:tcBorders>
              <w:right w:val="nil"/>
              <w:insideV w:val="nil"/>
            </w:tcBorders>
            <w:shd w:val="clear" w:color="auto" w:fill="D6E6F4" w:themeFill="accent1" w:themeFillTint="3F"/>
          </w:tcPr>
          <w:p>
            <w:pPr>
              <w:spacing w:line="240" w:lineRule="auto"/>
              <w:ind w:firstLine="0" w:firstLineChars="0"/>
              <w:jc w:val="center"/>
              <w:rPr>
                <w:color w:val="2E75B6" w:themeColor="accent1" w:themeShade="BF"/>
                <w:sz w:val="21"/>
                <w:szCs w:val="21"/>
              </w:rPr>
            </w:pPr>
            <w:r>
              <w:rPr>
                <w:rFonts w:hint="eastAsia"/>
                <w:color w:val="2E75B6" w:themeColor="accent1" w:themeShade="BF"/>
                <w:sz w:val="21"/>
                <w:szCs w:val="21"/>
              </w:rPr>
              <w:t>Q1（发表文章浏览量/社区24小时内总浏览量）</w:t>
            </w:r>
          </w:p>
        </w:tc>
        <w:tc>
          <w:tcPr>
            <w:tcW w:w="2787" w:type="dxa"/>
            <w:tcBorders>
              <w:right w:val="nil"/>
              <w:insideV w:val="nil"/>
            </w:tcBorders>
            <w:shd w:val="clear" w:color="auto" w:fill="D6E6F4" w:themeFill="accent1" w:themeFillTint="3F"/>
          </w:tcPr>
          <w:p>
            <w:pPr>
              <w:spacing w:line="240" w:lineRule="auto"/>
              <w:ind w:firstLine="0" w:firstLineChars="0"/>
              <w:jc w:val="center"/>
              <w:rPr>
                <w:color w:val="2E75B6" w:themeColor="accent1" w:themeShade="BF"/>
                <w:sz w:val="21"/>
                <w:szCs w:val="21"/>
              </w:rPr>
            </w:pPr>
            <w:r>
              <w:rPr>
                <w:rFonts w:hint="eastAsia"/>
                <w:color w:val="2E75B6" w:themeColor="accent1" w:themeShade="BF"/>
                <w:sz w:val="21"/>
                <w:szCs w:val="21"/>
              </w:rPr>
              <w:t>5</w:t>
            </w:r>
            <w:r>
              <w:rPr>
                <w:color w:val="2E75B6" w:themeColor="accent1" w:themeShade="BF"/>
                <w:sz w:val="21"/>
                <w:szCs w:val="21"/>
              </w:rPr>
              <w:t>0%</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Pr>
          <w:p>
            <w:pPr>
              <w:spacing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社区评论情况（提问、回答）</w:t>
            </w:r>
          </w:p>
        </w:tc>
        <w:tc>
          <w:tcPr>
            <w:tcW w:w="3515" w:type="dxa"/>
          </w:tcPr>
          <w:p>
            <w:pPr>
              <w:spacing w:line="240" w:lineRule="auto"/>
              <w:ind w:firstLine="0" w:firstLineChars="0"/>
              <w:jc w:val="center"/>
              <w:rPr>
                <w:color w:val="2E75B6" w:themeColor="accent1" w:themeShade="BF"/>
                <w:sz w:val="21"/>
                <w:szCs w:val="21"/>
              </w:rPr>
            </w:pPr>
            <w:r>
              <w:rPr>
                <w:rFonts w:hint="eastAsia"/>
                <w:color w:val="2E75B6" w:themeColor="accent1" w:themeShade="BF"/>
                <w:sz w:val="21"/>
                <w:szCs w:val="21"/>
              </w:rPr>
              <w:t>Q2（评论点赞量/评论的文章浏览量）</w:t>
            </w:r>
          </w:p>
        </w:tc>
        <w:tc>
          <w:tcPr>
            <w:tcW w:w="2787" w:type="dxa"/>
          </w:tcPr>
          <w:p>
            <w:pPr>
              <w:spacing w:line="240" w:lineRule="auto"/>
              <w:ind w:firstLine="0" w:firstLineChars="0"/>
              <w:jc w:val="center"/>
              <w:rPr>
                <w:color w:val="2E75B6" w:themeColor="accent1" w:themeShade="BF"/>
                <w:sz w:val="21"/>
                <w:szCs w:val="21"/>
              </w:rPr>
            </w:pPr>
            <w:r>
              <w:rPr>
                <w:color w:val="2E75B6" w:themeColor="accent1" w:themeShade="BF"/>
                <w:sz w:val="21"/>
                <w:szCs w:val="21"/>
              </w:rPr>
              <w:t>20%</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vMerge w:val="restart"/>
            <w:tcBorders>
              <w:left w:val="nil"/>
              <w:right w:val="nil"/>
              <w:insideV w:val="nil"/>
            </w:tcBorders>
            <w:shd w:val="clear" w:color="auto" w:fill="D6E6F4" w:themeFill="accent1" w:themeFillTint="3F"/>
          </w:tcPr>
          <w:p>
            <w:pPr>
              <w:spacing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用户对医生治疗服务反馈情况</w:t>
            </w:r>
          </w:p>
        </w:tc>
        <w:tc>
          <w:tcPr>
            <w:tcW w:w="3515" w:type="dxa"/>
            <w:tcBorders>
              <w:right w:val="nil"/>
              <w:insideV w:val="nil"/>
            </w:tcBorders>
            <w:shd w:val="clear" w:color="auto" w:fill="D6E6F4" w:themeFill="accent1" w:themeFillTint="3F"/>
          </w:tcPr>
          <w:p>
            <w:pPr>
              <w:spacing w:line="240" w:lineRule="auto"/>
              <w:ind w:firstLine="0" w:firstLineChars="0"/>
              <w:jc w:val="center"/>
              <w:rPr>
                <w:color w:val="2E75B6" w:themeColor="accent1" w:themeShade="BF"/>
                <w:sz w:val="21"/>
                <w:szCs w:val="21"/>
              </w:rPr>
            </w:pPr>
            <w:r>
              <w:rPr>
                <w:rFonts w:hint="eastAsia"/>
                <w:color w:val="2E75B6" w:themeColor="accent1" w:themeShade="BF"/>
                <w:sz w:val="21"/>
                <w:szCs w:val="21"/>
              </w:rPr>
              <w:t>其他用户对服务评价的认可星级度N（星级数为1-5）</w:t>
            </w:r>
          </w:p>
        </w:tc>
        <w:tc>
          <w:tcPr>
            <w:tcW w:w="2787" w:type="dxa"/>
            <w:tcBorders>
              <w:right w:val="nil"/>
              <w:insideV w:val="nil"/>
            </w:tcBorders>
            <w:shd w:val="clear" w:color="auto" w:fill="D6E6F4" w:themeFill="accent1" w:themeFillTint="3F"/>
          </w:tcPr>
          <w:p>
            <w:pPr>
              <w:spacing w:line="240" w:lineRule="auto"/>
              <w:ind w:firstLine="0" w:firstLineChars="0"/>
              <w:jc w:val="center"/>
              <w:rPr>
                <w:color w:val="2E75B6" w:themeColor="accent1" w:themeShade="BF"/>
                <w:sz w:val="21"/>
                <w:szCs w:val="21"/>
              </w:rPr>
            </w:pPr>
            <w:r>
              <w:rPr>
                <w:rFonts w:hint="eastAsia"/>
                <w:color w:val="2E75B6" w:themeColor="accent1" w:themeShade="BF"/>
                <w:sz w:val="21"/>
                <w:szCs w:val="21"/>
              </w:rPr>
              <w:t>1</w:t>
            </w:r>
            <w:r>
              <w:rPr>
                <w:color w:val="2E75B6" w:themeColor="accent1" w:themeShade="BF"/>
                <w:sz w:val="21"/>
                <w:szCs w:val="21"/>
              </w:rPr>
              <w:t>0%</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vMerge w:val="continue"/>
          </w:tcPr>
          <w:p>
            <w:pPr>
              <w:spacing w:line="240" w:lineRule="auto"/>
              <w:ind w:firstLine="0" w:firstLineChars="0"/>
              <w:jc w:val="center"/>
              <w:rPr>
                <w:b/>
                <w:bCs/>
                <w:color w:val="2E75B6" w:themeColor="accent1" w:themeShade="BF"/>
                <w:sz w:val="21"/>
                <w:szCs w:val="21"/>
              </w:rPr>
            </w:pPr>
          </w:p>
        </w:tc>
        <w:tc>
          <w:tcPr>
            <w:tcW w:w="3515" w:type="dxa"/>
          </w:tcPr>
          <w:p>
            <w:pPr>
              <w:spacing w:line="240" w:lineRule="auto"/>
              <w:ind w:firstLine="0" w:firstLineChars="0"/>
              <w:jc w:val="center"/>
              <w:rPr>
                <w:color w:val="2E75B6" w:themeColor="accent1" w:themeShade="BF"/>
                <w:sz w:val="21"/>
                <w:szCs w:val="21"/>
              </w:rPr>
            </w:pPr>
            <w:r>
              <w:rPr>
                <w:rFonts w:hint="eastAsia"/>
                <w:color w:val="2E75B6" w:themeColor="accent1" w:themeShade="BF"/>
                <w:sz w:val="21"/>
                <w:szCs w:val="21"/>
              </w:rPr>
              <w:t>其他用户对药物疗效评价的星级数N（星级数为1-5）</w:t>
            </w:r>
          </w:p>
        </w:tc>
        <w:tc>
          <w:tcPr>
            <w:tcW w:w="2787" w:type="dxa"/>
          </w:tcPr>
          <w:p>
            <w:pPr>
              <w:spacing w:line="240" w:lineRule="auto"/>
              <w:ind w:firstLine="0" w:firstLineChars="0"/>
              <w:jc w:val="center"/>
              <w:rPr>
                <w:color w:val="2E75B6" w:themeColor="accent1" w:themeShade="BF"/>
                <w:sz w:val="21"/>
                <w:szCs w:val="21"/>
              </w:rPr>
            </w:pPr>
            <w:r>
              <w:rPr>
                <w:rFonts w:hint="eastAsia"/>
                <w:color w:val="2E75B6" w:themeColor="accent1" w:themeShade="BF"/>
                <w:sz w:val="21"/>
                <w:szCs w:val="21"/>
              </w:rPr>
              <w:t>2</w:t>
            </w:r>
            <w:r>
              <w:rPr>
                <w:color w:val="2E75B6" w:themeColor="accent1" w:themeShade="BF"/>
                <w:sz w:val="21"/>
                <w:szCs w:val="21"/>
              </w:rPr>
              <w:t>0%</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left w:val="nil"/>
              <w:right w:val="nil"/>
              <w:insideV w:val="nil"/>
            </w:tcBorders>
            <w:shd w:val="clear" w:color="auto" w:fill="D6E6F4" w:themeFill="accent1" w:themeFillTint="3F"/>
          </w:tcPr>
          <w:p>
            <w:pPr>
              <w:ind w:firstLine="442"/>
              <w:jc w:val="left"/>
              <w:rPr>
                <w:rFonts w:ascii="仿宋_GB2312"/>
                <w:b/>
                <w:bCs/>
                <w:color w:val="2E75B6" w:themeColor="accent1" w:themeShade="BF"/>
                <w:sz w:val="22"/>
                <w:szCs w:val="24"/>
              </w:rPr>
            </w:pPr>
            <w:r>
              <w:rPr>
                <w:rFonts w:hint="eastAsia" w:ascii="仿宋_GB2312"/>
                <w:b/>
                <w:bCs/>
                <w:color w:val="2E75B6" w:themeColor="accent1" w:themeShade="BF"/>
                <w:sz w:val="22"/>
                <w:szCs w:val="24"/>
              </w:rPr>
              <w:t>分享治疗经历的次数</w:t>
            </w:r>
          </w:p>
          <w:p>
            <w:pPr>
              <w:spacing w:line="240" w:lineRule="auto"/>
              <w:ind w:firstLine="0" w:firstLineChars="0"/>
              <w:jc w:val="center"/>
              <w:rPr>
                <w:b/>
                <w:bCs/>
                <w:color w:val="2E75B6" w:themeColor="accent1" w:themeShade="BF"/>
                <w:sz w:val="21"/>
                <w:szCs w:val="21"/>
              </w:rPr>
            </w:pPr>
            <w:r>
              <w:rPr>
                <w:rFonts w:hint="eastAsia"/>
                <w:b/>
                <w:bCs/>
                <w:color w:val="2E75B6" w:themeColor="accent1" w:themeShade="BF"/>
                <w:sz w:val="21"/>
                <w:szCs w:val="21"/>
              </w:rPr>
              <w:t>推荐好友注册APP的人数</w:t>
            </w:r>
          </w:p>
        </w:tc>
        <w:tc>
          <w:tcPr>
            <w:tcW w:w="6302" w:type="dxa"/>
            <w:gridSpan w:val="2"/>
            <w:tcBorders>
              <w:right w:val="nil"/>
              <w:insideV w:val="nil"/>
            </w:tcBorders>
            <w:shd w:val="clear" w:color="auto" w:fill="D6E6F4" w:themeFill="accent1" w:themeFillTint="3F"/>
            <w:vAlign w:val="center"/>
          </w:tcPr>
          <w:p>
            <w:pPr>
              <w:spacing w:line="240" w:lineRule="auto"/>
              <w:ind w:firstLine="0" w:firstLineChars="0"/>
              <w:jc w:val="center"/>
              <w:rPr>
                <w:color w:val="2E75B6" w:themeColor="accent1" w:themeShade="BF"/>
                <w:sz w:val="21"/>
                <w:szCs w:val="21"/>
              </w:rPr>
            </w:pPr>
            <w:r>
              <w:rPr>
                <w:color w:val="2E75B6" w:themeColor="accent1" w:themeShade="BF"/>
                <w:sz w:val="21"/>
                <w:szCs w:val="21"/>
              </w:rPr>
              <mc:AlternateContent>
                <mc:Choice Requires="wps">
                  <w:drawing>
                    <wp:anchor distT="0" distB="0" distL="114300" distR="114300" simplePos="0" relativeHeight="251668480" behindDoc="0" locked="0" layoutInCell="1" allowOverlap="1">
                      <wp:simplePos x="0" y="0"/>
                      <wp:positionH relativeFrom="column">
                        <wp:posOffset>18415</wp:posOffset>
                      </wp:positionH>
                      <wp:positionV relativeFrom="paragraph">
                        <wp:posOffset>40005</wp:posOffset>
                      </wp:positionV>
                      <wp:extent cx="3857625" cy="438150"/>
                      <wp:effectExtent l="0" t="0" r="28575" b="19050"/>
                      <wp:wrapNone/>
                      <wp:docPr id="66" name="直接连接符 66"/>
                      <wp:cNvGraphicFramePr/>
                      <a:graphic xmlns:a="http://schemas.openxmlformats.org/drawingml/2006/main">
                        <a:graphicData uri="http://schemas.microsoft.com/office/word/2010/wordprocessingShape">
                          <wps:wsp>
                            <wps:cNvCnPr/>
                            <wps:spPr>
                              <a:xfrm>
                                <a:off x="0" y="0"/>
                                <a:ext cx="3857625" cy="438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5pt;margin-top:3.15pt;height:34.5pt;width:303.75pt;z-index:251668480;mso-width-relative:page;mso-height-relative:page;" filled="f" stroked="t" coordsize="21600,21600" o:gfxdata="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vQyy71gAAAAYBAAAPAAAAAAAAAAEAIAAAACIAAABkcnMvZG93bnJldi54bWxQSwECFAAUAAAA&#10;CACHTuJAXSjk7fABAAC4AwAADgAAAAAAAAABACAAAAAlAQAAZHJzL2Uyb0RvYy54bWxQSwUGAAAA&#10;AAYABgBZAQAAhwUAAAAA&#10;">
                      <v:fill on="f" focussize="0,0"/>
                      <v:stroke weight="0.5pt" color="#5B9BD5 [3204]" miterlimit="8" joinstyle="miter"/>
                      <v:imagedata o:title=""/>
                      <o:lock v:ext="edit" aspectratio="f"/>
                    </v:line>
                  </w:pict>
                </mc:Fallback>
              </mc:AlternateContent>
            </w:r>
          </w:p>
        </w:tc>
      </w:tr>
    </w:tbl>
    <w:p>
      <w:pPr>
        <w:spacing w:line="276" w:lineRule="auto"/>
        <w:ind w:firstLine="482"/>
        <w:rPr>
          <w:b/>
          <w:sz w:val="24"/>
          <w:szCs w:val="24"/>
        </w:rPr>
      </w:pPr>
      <w:r>
        <w:rPr>
          <w:rFonts w:hint="eastAsia"/>
          <w:b/>
          <w:sz w:val="24"/>
          <w:szCs w:val="24"/>
        </w:rPr>
        <w:t>2.考核规则</w:t>
      </w:r>
    </w:p>
    <w:p>
      <w:pPr>
        <w:ind w:firstLine="440"/>
        <w:jc w:val="left"/>
        <w:rPr>
          <w:rFonts w:ascii="仿宋_GB2312"/>
          <w:sz w:val="22"/>
          <w:szCs w:val="24"/>
        </w:rPr>
      </w:pPr>
      <w:r>
        <w:rPr>
          <w:rFonts w:hint="eastAsia" w:ascii="仿宋_GB2312"/>
          <w:sz w:val="22"/>
          <w:szCs w:val="24"/>
        </w:rPr>
        <w:t>评分数=3.5+（N1x10%+N2x20%+5xQ1x50%+5xQ2x20%）x30%</w:t>
      </w:r>
    </w:p>
    <w:p>
      <w:pPr>
        <w:ind w:firstLine="420"/>
        <w:rPr>
          <w:rFonts w:ascii="仿宋_GB2312"/>
          <w:sz w:val="21"/>
          <w:szCs w:val="24"/>
        </w:rPr>
      </w:pPr>
      <w:r>
        <w:rPr>
          <w:rFonts w:hint="eastAsia" w:ascii="仿宋_GB2312"/>
          <w:sz w:val="21"/>
          <w:szCs w:val="24"/>
        </w:rPr>
        <w:t>注：最高评分数为5分，基础分数为3.5分。在评分数相同时，根据分享治疗经历的次数和推荐好友注册APP的人数进行排名。</w:t>
      </w:r>
    </w:p>
    <w:p>
      <w:pPr>
        <w:spacing w:line="276" w:lineRule="auto"/>
        <w:ind w:firstLine="482"/>
        <w:rPr>
          <w:b/>
          <w:sz w:val="24"/>
          <w:szCs w:val="24"/>
        </w:rPr>
      </w:pPr>
      <w:r>
        <w:rPr>
          <w:rFonts w:hint="eastAsia"/>
          <w:b/>
          <w:sz w:val="24"/>
          <w:szCs w:val="24"/>
        </w:rPr>
        <w:t>3.考核结果运用</w:t>
      </w:r>
    </w:p>
    <w:p>
      <w:pPr>
        <w:ind w:firstLine="440"/>
        <w:jc w:val="left"/>
        <w:rPr>
          <w:rFonts w:ascii="仿宋_GB2312"/>
          <w:sz w:val="22"/>
          <w:szCs w:val="24"/>
        </w:rPr>
      </w:pPr>
      <w:r>
        <w:rPr>
          <w:rFonts w:hint="eastAsia" w:ascii="仿宋_GB2312"/>
          <w:sz w:val="22"/>
          <w:szCs w:val="24"/>
        </w:rPr>
        <w:t>根据用户的最终考核得分，选取入驻APP平台用户总人数的5%为铂金用户、用户总人数的10%为黄金用户、用户总人数的60%为白银用户、用户总人数的25%为青铜用户。</w:t>
      </w:r>
    </w:p>
    <w:p>
      <w:pPr>
        <w:ind w:firstLine="440"/>
        <w:jc w:val="left"/>
        <w:rPr>
          <w:rFonts w:ascii="仿宋_GB2312"/>
          <w:sz w:val="22"/>
          <w:szCs w:val="24"/>
        </w:rPr>
      </w:pPr>
    </w:p>
    <w:p>
      <w:pPr>
        <w:pStyle w:val="84"/>
        <w:ind w:firstLine="0" w:firstLineChars="0"/>
        <w:outlineLvl w:val="1"/>
        <w:rPr>
          <w:rFonts w:ascii="黑体" w:hAnsi="黑体"/>
          <w:b w:val="0"/>
          <w:sz w:val="30"/>
          <w:szCs w:val="30"/>
        </w:rPr>
      </w:pPr>
      <w:bookmarkStart w:id="50" w:name="_Toc61100194"/>
      <w:r>
        <w:rPr>
          <w:rFonts w:hint="eastAsia" w:ascii="黑体" w:hAnsi="黑体"/>
          <w:b w:val="0"/>
          <w:sz w:val="30"/>
          <w:szCs w:val="30"/>
        </w:rPr>
        <w:t>2.5项目价值链</w:t>
      </w:r>
      <w:bookmarkEnd w:id="50"/>
    </w:p>
    <w:p>
      <w:pPr>
        <w:tabs>
          <w:tab w:val="center" w:pos="4434"/>
        </w:tabs>
        <w:spacing w:line="500" w:lineRule="exact"/>
        <w:ind w:firstLine="0" w:firstLineChars="0"/>
        <w:jc w:val="left"/>
        <w:outlineLvl w:val="2"/>
        <w:rPr>
          <w:rFonts w:ascii="黑体" w:hAnsi="黑体" w:eastAsia="黑体" w:cs="Times New Roman"/>
        </w:rPr>
      </w:pPr>
      <w:bookmarkStart w:id="51" w:name="_Toc61100195"/>
      <w:r>
        <w:rPr>
          <w:rFonts w:hint="eastAsia" w:ascii="黑体" w:hAnsi="黑体" w:eastAsia="黑体" w:cs="Times New Roman"/>
        </w:rPr>
        <w:t>2.5.1注册用户价值</w:t>
      </w:r>
      <w:bookmarkEnd w:id="51"/>
    </w:p>
    <w:p>
      <w:pPr>
        <w:ind w:firstLine="482"/>
        <w:rPr>
          <w:b/>
          <w:sz w:val="24"/>
          <w:szCs w:val="24"/>
        </w:rPr>
      </w:pPr>
      <w:r>
        <w:rPr>
          <w:rFonts w:hint="eastAsia"/>
          <w:b/>
          <w:sz w:val="24"/>
          <w:szCs w:val="24"/>
        </w:rPr>
        <w:t>1.专业治疗方案服务</w:t>
      </w:r>
    </w:p>
    <w:p>
      <w:pPr>
        <w:tabs>
          <w:tab w:val="center" w:pos="4434"/>
        </w:tabs>
        <w:ind w:firstLine="440"/>
        <w:jc w:val="left"/>
        <w:rPr>
          <w:rFonts w:ascii="仿宋_GB2312"/>
          <w:sz w:val="22"/>
          <w:szCs w:val="24"/>
        </w:rPr>
      </w:pPr>
      <w:r>
        <w:rPr>
          <w:rFonts w:hint="eastAsia" w:ascii="仿宋_GB2312"/>
          <w:sz w:val="22"/>
          <w:szCs w:val="24"/>
        </w:rPr>
        <w:t>用户可以在会诊室与相关医生进行病情会诊，通过支付一定费用获得更高等级的名医专业治疗指导和医生的治疗方案。用户佩戴智能设备监测身体各项数据，并传输到平台数据库。平台对用户身体各项数据做出专业性的大数据分析报告，预测患病几率，以实际数据提醒用户预防相关疾病。</w:t>
      </w:r>
    </w:p>
    <w:p>
      <w:pPr>
        <w:ind w:firstLine="482"/>
        <w:rPr>
          <w:b/>
          <w:sz w:val="24"/>
          <w:szCs w:val="24"/>
        </w:rPr>
      </w:pPr>
      <w:r>
        <w:rPr>
          <w:rFonts w:hint="eastAsia"/>
          <w:b/>
          <w:sz w:val="24"/>
          <w:szCs w:val="24"/>
        </w:rPr>
        <w:t>2.处方服务</w:t>
      </w:r>
    </w:p>
    <w:p>
      <w:pPr>
        <w:tabs>
          <w:tab w:val="center" w:pos="4434"/>
        </w:tabs>
        <w:ind w:firstLine="440"/>
        <w:jc w:val="left"/>
        <w:rPr>
          <w:rFonts w:ascii="仿宋_GB2312"/>
          <w:sz w:val="22"/>
          <w:szCs w:val="24"/>
        </w:rPr>
      </w:pPr>
      <w:r>
        <w:rPr>
          <w:rFonts w:hint="eastAsia" w:ascii="仿宋_GB2312"/>
          <w:sz w:val="22"/>
          <w:szCs w:val="24"/>
        </w:rPr>
        <w:t>用户在社区详细描述其病情并发起处方求助，有过类似患病经历并且愿意帮助该用户的病友可给予其相关处方援助。各等级用户可免费查看同等级医生的处方，但须付费才能查看更高等级医生处方。医生等级不同，用户所支付的费用也不同。</w:t>
      </w:r>
    </w:p>
    <w:p>
      <w:pPr>
        <w:ind w:firstLine="482"/>
        <w:rPr>
          <w:b/>
          <w:sz w:val="24"/>
          <w:szCs w:val="24"/>
        </w:rPr>
      </w:pPr>
      <w:r>
        <w:rPr>
          <w:rFonts w:hint="eastAsia"/>
          <w:b/>
          <w:sz w:val="24"/>
          <w:szCs w:val="24"/>
        </w:rPr>
        <w:t>3.寻医问药</w:t>
      </w:r>
    </w:p>
    <w:p>
      <w:pPr>
        <w:tabs>
          <w:tab w:val="center" w:pos="4434"/>
        </w:tabs>
        <w:ind w:firstLine="440"/>
        <w:jc w:val="left"/>
        <w:rPr>
          <w:rFonts w:ascii="仿宋_GB2312"/>
          <w:sz w:val="22"/>
          <w:szCs w:val="24"/>
        </w:rPr>
      </w:pPr>
      <w:r>
        <w:rPr>
          <w:rFonts w:hint="eastAsia" w:ascii="仿宋_GB2312"/>
          <w:sz w:val="22"/>
          <w:szCs w:val="24"/>
        </w:rPr>
        <w:t>用户可在社区发布公告，详细描述其患病情况及求医需求，符合其要求且有治疗意愿的医生可主动与其联系。治疗费用可以由系统根据用户和医生的级别来定价，也可以由用户和医生自由定价。用户可以通过支付指定费用直接获得名医达人的医疗服务，不受自身级别限制。</w:t>
      </w:r>
    </w:p>
    <w:p>
      <w:pPr>
        <w:ind w:firstLine="482"/>
        <w:rPr>
          <w:b/>
          <w:sz w:val="24"/>
          <w:szCs w:val="24"/>
        </w:rPr>
      </w:pPr>
      <w:r>
        <w:rPr>
          <w:rFonts w:hint="eastAsia"/>
          <w:b/>
          <w:sz w:val="24"/>
          <w:szCs w:val="24"/>
        </w:rPr>
        <w:t>4.病友交流</w:t>
      </w:r>
    </w:p>
    <w:p>
      <w:pPr>
        <w:tabs>
          <w:tab w:val="center" w:pos="4434"/>
        </w:tabs>
        <w:ind w:firstLine="440"/>
        <w:jc w:val="left"/>
        <w:rPr>
          <w:rFonts w:ascii="仿宋_GB2312"/>
          <w:sz w:val="22"/>
          <w:szCs w:val="24"/>
        </w:rPr>
      </w:pPr>
      <w:r>
        <w:rPr>
          <w:rFonts w:hint="eastAsia" w:ascii="仿宋_GB2312"/>
          <w:sz w:val="22"/>
          <w:szCs w:val="24"/>
        </w:rPr>
        <w:t>用户可以通过在线聊天功能与病友在线交流，互相分享成功治疗经历，学习健康知识，互相推荐优秀医生。同时在社区分享查看其它病友发布的文章自身慢性病治疗经历的文章，学习治疗经验和健康知识。也可在文章中推荐医生，对曾治疗过该用户的优秀医生进行详细反馈，帮助优秀医生提高人气。</w:t>
      </w:r>
    </w:p>
    <w:p>
      <w:pPr>
        <w:tabs>
          <w:tab w:val="center" w:pos="4434"/>
        </w:tabs>
        <w:spacing w:line="240" w:lineRule="auto"/>
        <w:ind w:firstLine="0" w:firstLineChars="0"/>
        <w:jc w:val="center"/>
        <w:rPr>
          <w:rFonts w:ascii="仿宋_GB2312"/>
          <w:sz w:val="22"/>
          <w:szCs w:val="24"/>
        </w:rPr>
      </w:pPr>
      <w:r>
        <w:rPr>
          <w:rFonts w:ascii="仿宋_GB2312"/>
          <w:sz w:val="22"/>
          <w:szCs w:val="24"/>
        </w:rPr>
        <w:drawing>
          <wp:inline distT="0" distB="0" distL="0" distR="0">
            <wp:extent cx="3495675" cy="2524125"/>
            <wp:effectExtent l="0" t="0" r="0" b="9525"/>
            <wp:docPr id="70" name="图片 70" descr="C:\Users\鲁佳\AppData\Local\Temp\161009477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C:\Users\鲁佳\AppData\Local\Temp\1610094777(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500750" cy="2528318"/>
                    </a:xfrm>
                    <a:prstGeom prst="rect">
                      <a:avLst/>
                    </a:prstGeom>
                    <a:noFill/>
                    <a:ln>
                      <a:noFill/>
                    </a:ln>
                  </pic:spPr>
                </pic:pic>
              </a:graphicData>
            </a:graphic>
          </wp:inline>
        </w:drawing>
      </w:r>
    </w:p>
    <w:p>
      <w:pPr>
        <w:ind w:firstLine="420"/>
        <w:jc w:val="center"/>
        <w:rPr>
          <w:rFonts w:ascii="仿宋_GB2312"/>
          <w:sz w:val="21"/>
          <w:szCs w:val="24"/>
        </w:rPr>
      </w:pPr>
      <w:r>
        <w:rPr>
          <w:rFonts w:hint="eastAsia" w:ascii="仿宋_GB2312"/>
          <w:sz w:val="21"/>
          <w:szCs w:val="24"/>
        </w:rPr>
        <w:t>图2-5 注册用户价值</w:t>
      </w:r>
    </w:p>
    <w:p>
      <w:pPr>
        <w:tabs>
          <w:tab w:val="center" w:pos="4434"/>
        </w:tabs>
        <w:spacing w:line="500" w:lineRule="exact"/>
        <w:ind w:firstLine="0" w:firstLineChars="0"/>
        <w:jc w:val="left"/>
        <w:outlineLvl w:val="2"/>
        <w:rPr>
          <w:rFonts w:ascii="黑体" w:hAnsi="黑体" w:eastAsia="黑体" w:cs="Times New Roman"/>
        </w:rPr>
      </w:pPr>
      <w:bookmarkStart w:id="52" w:name="_Toc61100196"/>
      <w:r>
        <w:rPr>
          <w:rFonts w:hint="eastAsia" w:ascii="黑体" w:hAnsi="黑体" w:eastAsia="黑体" w:cs="Times New Roman"/>
        </w:rPr>
        <w:t>2.5.2医生价值</w:t>
      </w:r>
      <w:bookmarkEnd w:id="52"/>
    </w:p>
    <w:p>
      <w:pPr>
        <w:ind w:firstLine="482"/>
        <w:rPr>
          <w:b/>
          <w:sz w:val="24"/>
          <w:szCs w:val="24"/>
        </w:rPr>
      </w:pPr>
      <w:r>
        <w:rPr>
          <w:rFonts w:hint="eastAsia"/>
          <w:b/>
          <w:sz w:val="24"/>
          <w:szCs w:val="24"/>
        </w:rPr>
        <w:t>1.获得稳定收入</w:t>
      </w:r>
    </w:p>
    <w:p>
      <w:pPr>
        <w:ind w:firstLine="440"/>
        <w:rPr>
          <w:rFonts w:ascii="仿宋_GB2312"/>
          <w:sz w:val="22"/>
          <w:szCs w:val="24"/>
        </w:rPr>
      </w:pPr>
      <w:r>
        <w:rPr>
          <w:rFonts w:hint="eastAsia" w:ascii="仿宋_GB2312"/>
          <w:sz w:val="22"/>
          <w:szCs w:val="24"/>
        </w:rPr>
        <w:t>医生通过为用户开处方、医疗方案并进行展示，参加会诊室诊疗以及吸引其他医生和用户学习个人成功治疗案例，获得一定的经济收入。</w:t>
      </w:r>
    </w:p>
    <w:p>
      <w:pPr>
        <w:ind w:firstLine="482"/>
        <w:rPr>
          <w:b/>
          <w:sz w:val="24"/>
          <w:szCs w:val="24"/>
        </w:rPr>
      </w:pPr>
      <w:r>
        <w:rPr>
          <w:rFonts w:hint="eastAsia"/>
          <w:b/>
          <w:sz w:val="24"/>
          <w:szCs w:val="24"/>
        </w:rPr>
        <w:t>2.充分展示自己能力</w:t>
      </w:r>
    </w:p>
    <w:p>
      <w:pPr>
        <w:ind w:firstLine="440"/>
        <w:rPr>
          <w:rFonts w:ascii="仿宋_GB2312"/>
          <w:sz w:val="22"/>
          <w:szCs w:val="24"/>
        </w:rPr>
      </w:pPr>
      <w:r>
        <w:rPr>
          <w:rFonts w:hint="eastAsia" w:ascii="仿宋_GB2312"/>
          <w:sz w:val="22"/>
          <w:szCs w:val="24"/>
        </w:rPr>
        <w:t>各等级医生可在社区栏和个人信息栏发布个人的成功医疗案例供医生和患者用户进行阅读，同时在会诊室功能开放后，参加疑难杂症的会诊，与各行业疑难病的专家进行会诊交流。通过邀请专家对医生医疗处方和方案疗效进行评定，将治疗效果显著，治疗方案科学合理，治疗疗效属于同类病治疗的典范的医生有机会评为名医达人。</w:t>
      </w:r>
    </w:p>
    <w:p>
      <w:pPr>
        <w:ind w:firstLine="482"/>
        <w:rPr>
          <w:b/>
          <w:sz w:val="24"/>
          <w:szCs w:val="24"/>
        </w:rPr>
      </w:pPr>
      <w:r>
        <w:rPr>
          <w:rFonts w:hint="eastAsia"/>
          <w:b/>
          <w:sz w:val="24"/>
          <w:szCs w:val="24"/>
        </w:rPr>
        <w:t>3.获得更多经验</w:t>
      </w:r>
    </w:p>
    <w:p>
      <w:pPr>
        <w:ind w:firstLine="440"/>
        <w:rPr>
          <w:rFonts w:ascii="仿宋_GB2312"/>
          <w:sz w:val="22"/>
          <w:szCs w:val="24"/>
        </w:rPr>
      </w:pPr>
      <w:r>
        <w:rPr>
          <w:rFonts w:hint="eastAsia" w:ascii="仿宋_GB2312"/>
          <w:sz w:val="22"/>
          <w:szCs w:val="24"/>
        </w:rPr>
        <w:t>医生可以阶段性的对自己某一阶段的医疗方案进行总结，总结内容可包括处方总结、治疗方案总结、会诊总结和治疗案例总结，可选择性的发布到个人界面或者是社区，供其他等级医生进行研究学习，交流经验。其中的处方分享机制和会诊室为在线医生提供了许多实践机会，医生也可以从患者治疗经历和反馈评价描述中获取经验教训。</w:t>
      </w:r>
    </w:p>
    <w:p>
      <w:pPr>
        <w:ind w:firstLine="482"/>
        <w:rPr>
          <w:b/>
          <w:sz w:val="24"/>
          <w:szCs w:val="24"/>
        </w:rPr>
      </w:pPr>
      <w:r>
        <w:rPr>
          <w:rFonts w:hint="eastAsia"/>
          <w:b/>
          <w:sz w:val="24"/>
          <w:szCs w:val="24"/>
        </w:rPr>
        <w:t>4.学习进阶</w:t>
      </w:r>
    </w:p>
    <w:p>
      <w:pPr>
        <w:tabs>
          <w:tab w:val="center" w:pos="4434"/>
        </w:tabs>
        <w:ind w:firstLine="440"/>
        <w:jc w:val="left"/>
        <w:rPr>
          <w:rFonts w:ascii="仿宋_GB2312"/>
          <w:sz w:val="22"/>
          <w:szCs w:val="24"/>
        </w:rPr>
      </w:pPr>
      <w:r>
        <w:rPr>
          <w:rFonts w:hint="eastAsia" w:ascii="仿宋_GB2312"/>
          <w:sz w:val="22"/>
          <w:szCs w:val="24"/>
        </w:rPr>
        <w:t>医生为获取更多优质医学信息资源，可通过付费查看更高等级医生的处方、医疗方案，及患者与医生撰写的优质文章；也可免费查看同等级或低等级医生的治疗方案。与其他医生相互学习交流有利于医生们共同进步、提高自身医疗水平，进而提高服务水平。</w:t>
      </w:r>
    </w:p>
    <w:p>
      <w:pPr>
        <w:tabs>
          <w:tab w:val="center" w:pos="4434"/>
        </w:tabs>
        <w:ind w:firstLine="0" w:firstLineChars="0"/>
        <w:jc w:val="center"/>
        <w:rPr>
          <w:rFonts w:ascii="仿宋_GB2312"/>
          <w:sz w:val="22"/>
          <w:szCs w:val="24"/>
        </w:rPr>
      </w:pPr>
      <w:r>
        <w:rPr>
          <w:rFonts w:ascii="仿宋_GB2312"/>
          <w:sz w:val="22"/>
          <w:szCs w:val="24"/>
        </w:rPr>
        <w:drawing>
          <wp:inline distT="0" distB="0" distL="0" distR="0">
            <wp:extent cx="3409950" cy="2585085"/>
            <wp:effectExtent l="0" t="0" r="0" b="5715"/>
            <wp:docPr id="71" name="图片 71" descr="C:\Users\鲁佳\AppData\Local\Temp\161009508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鲁佳\AppData\Local\Temp\1610095088(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409950" cy="2585261"/>
                    </a:xfrm>
                    <a:prstGeom prst="rect">
                      <a:avLst/>
                    </a:prstGeom>
                    <a:noFill/>
                    <a:ln>
                      <a:noFill/>
                    </a:ln>
                  </pic:spPr>
                </pic:pic>
              </a:graphicData>
            </a:graphic>
          </wp:inline>
        </w:drawing>
      </w:r>
    </w:p>
    <w:p>
      <w:pPr>
        <w:ind w:firstLine="420"/>
        <w:jc w:val="center"/>
        <w:rPr>
          <w:rFonts w:ascii="仿宋_GB2312"/>
          <w:sz w:val="21"/>
          <w:szCs w:val="24"/>
        </w:rPr>
      </w:pPr>
      <w:r>
        <w:rPr>
          <w:rFonts w:hint="eastAsia" w:ascii="仿宋_GB2312"/>
          <w:sz w:val="21"/>
          <w:szCs w:val="24"/>
        </w:rPr>
        <w:t>图2-6 医生价值</w:t>
      </w:r>
    </w:p>
    <w:p>
      <w:pPr>
        <w:tabs>
          <w:tab w:val="center" w:pos="4434"/>
        </w:tabs>
        <w:spacing w:line="500" w:lineRule="exact"/>
        <w:ind w:firstLine="0" w:firstLineChars="0"/>
        <w:jc w:val="left"/>
        <w:outlineLvl w:val="2"/>
        <w:rPr>
          <w:rFonts w:ascii="黑体" w:hAnsi="黑体" w:eastAsia="黑体" w:cs="Times New Roman"/>
        </w:rPr>
      </w:pPr>
      <w:bookmarkStart w:id="53" w:name="_Toc61100197"/>
      <w:r>
        <w:rPr>
          <w:rFonts w:hint="eastAsia" w:ascii="黑体" w:hAnsi="黑体" w:eastAsia="黑体" w:cs="Times New Roman"/>
        </w:rPr>
        <w:t>2.5.3社会价值</w:t>
      </w:r>
      <w:bookmarkEnd w:id="53"/>
    </w:p>
    <w:p>
      <w:pPr>
        <w:ind w:firstLine="482"/>
        <w:rPr>
          <w:b/>
          <w:sz w:val="24"/>
          <w:szCs w:val="24"/>
        </w:rPr>
      </w:pPr>
      <w:r>
        <w:rPr>
          <w:rFonts w:hint="eastAsia"/>
          <w:b/>
          <w:sz w:val="24"/>
          <w:szCs w:val="24"/>
        </w:rPr>
        <w:t>1.整合医疗资源</w:t>
      </w:r>
    </w:p>
    <w:p>
      <w:pPr>
        <w:tabs>
          <w:tab w:val="center" w:pos="4434"/>
        </w:tabs>
        <w:ind w:firstLine="480"/>
        <w:jc w:val="left"/>
        <w:rPr>
          <w:rFonts w:ascii="仿宋_GB2312"/>
          <w:sz w:val="24"/>
          <w:szCs w:val="24"/>
        </w:rPr>
      </w:pPr>
      <w:r>
        <w:rPr>
          <w:rFonts w:hint="eastAsia" w:ascii="仿宋_GB2312"/>
          <w:sz w:val="24"/>
          <w:szCs w:val="24"/>
        </w:rPr>
        <w:t>我国医疗资源分配不均。人们偏好在大型公立医院就诊，因此有很大一部分农村和社区医生被闲置。通过设计竞争性分级免费策略，对医生开出的处方再次利用，并刺激医生分享成功案例，刺激用户分享治疗经历。医生和用户可以从中获得指导和启示，实现医疗知识和信息的充分利用。“e+医”通过线上整合医生资源，让每一位医生都可以充分利用时间，发挥自身价值。</w:t>
      </w:r>
    </w:p>
    <w:p>
      <w:pPr>
        <w:ind w:firstLine="482"/>
        <w:rPr>
          <w:b/>
          <w:sz w:val="24"/>
          <w:szCs w:val="24"/>
        </w:rPr>
      </w:pPr>
      <w:r>
        <w:rPr>
          <w:rFonts w:hint="eastAsia"/>
          <w:b/>
          <w:sz w:val="24"/>
          <w:szCs w:val="24"/>
        </w:rPr>
        <w:t>2.大数据分析</w:t>
      </w:r>
    </w:p>
    <w:p>
      <w:pPr>
        <w:tabs>
          <w:tab w:val="center" w:pos="4434"/>
        </w:tabs>
        <w:ind w:firstLine="480"/>
        <w:jc w:val="left"/>
        <w:rPr>
          <w:rFonts w:ascii="仿宋_GB2312"/>
          <w:sz w:val="24"/>
          <w:szCs w:val="24"/>
        </w:rPr>
      </w:pPr>
      <w:r>
        <w:rPr>
          <w:rFonts w:hint="eastAsia" w:ascii="仿宋_GB2312"/>
          <w:sz w:val="24"/>
          <w:szCs w:val="24"/>
        </w:rPr>
        <w:t>用户所上传的治疗信息，健康数据和饮食记录，将被用于大数据分析。平台可通过一系列分析结果，为用户制定个人精准医疗计划，提高疾病的预防与治疗效果。大数据分析的结果可为医疗科研提供方向，激励医疗机构和企业改进药物、开发新设备等。还可用于病情预测，精准定位用户需求，提高疾病诊治与预防的效益。</w:t>
      </w:r>
    </w:p>
    <w:p>
      <w:pPr>
        <w:ind w:firstLine="482"/>
        <w:rPr>
          <w:b/>
          <w:sz w:val="24"/>
          <w:szCs w:val="24"/>
        </w:rPr>
      </w:pPr>
      <w:r>
        <w:rPr>
          <w:rFonts w:hint="eastAsia"/>
          <w:b/>
          <w:sz w:val="24"/>
          <w:szCs w:val="24"/>
        </w:rPr>
        <w:t>3.经济效益</w:t>
      </w:r>
    </w:p>
    <w:p>
      <w:pPr>
        <w:tabs>
          <w:tab w:val="center" w:pos="4434"/>
        </w:tabs>
        <w:ind w:firstLine="480"/>
        <w:jc w:val="left"/>
        <w:rPr>
          <w:rFonts w:ascii="仿宋_GB2312"/>
          <w:sz w:val="24"/>
          <w:szCs w:val="24"/>
        </w:rPr>
      </w:pPr>
      <w:r>
        <w:rPr>
          <w:rFonts w:hint="eastAsia" w:ascii="仿宋_GB2312"/>
          <w:sz w:val="24"/>
          <w:szCs w:val="24"/>
        </w:rPr>
        <w:t>平台为用户提供优质服务，达到提高预防和治疗慢性病效益的结果，降低国民在慢性病方面的支出，减轻治疗负担。在中后期，平台还将开通商城服务，用户可通过APP线上购买医疗器械或药品，以此带动医疗电商的发展。同时，平台通过购买文献库、医疗事故强制责任险和第三方担保分别增加了文献库供应商、保险公司、担保银行的收益。</w:t>
      </w:r>
    </w:p>
    <w:p>
      <w:pPr>
        <w:ind w:firstLine="482"/>
        <w:rPr>
          <w:b/>
          <w:sz w:val="24"/>
          <w:szCs w:val="24"/>
        </w:rPr>
      </w:pPr>
      <w:r>
        <w:rPr>
          <w:rFonts w:hint="eastAsia"/>
          <w:b/>
          <w:sz w:val="24"/>
          <w:szCs w:val="24"/>
        </w:rPr>
        <w:t>4.宏观社会效益</w:t>
      </w:r>
    </w:p>
    <w:p>
      <w:pPr>
        <w:tabs>
          <w:tab w:val="center" w:pos="4434"/>
        </w:tabs>
        <w:ind w:firstLine="480"/>
        <w:jc w:val="left"/>
        <w:rPr>
          <w:rFonts w:ascii="仿宋_GB2312"/>
          <w:sz w:val="24"/>
          <w:szCs w:val="24"/>
        </w:rPr>
      </w:pPr>
      <w:r>
        <w:rPr>
          <w:rFonts w:hint="eastAsia" w:ascii="仿宋_GB2312"/>
          <w:sz w:val="24"/>
          <w:szCs w:val="24"/>
        </w:rPr>
        <w:t>“e+医”通过竞争性分级免费策略，促使医生间相互学习，增加知识储备，提升医疗水平，为用户提供更加优质的服务。以平台内医生水平、质量的提高逐步带动行业内医生的提高。用户可通过“e+医”监测身体状况，预防疾病，降低患病几率，改善治疗效果。随着医疗健康市场规模不断扩大，流量规模增长迅速，掀起互联网医疗新浪潮，推动互联网医疗更好更快地发展。</w:t>
      </w:r>
    </w:p>
    <w:p>
      <w:pPr>
        <w:tabs>
          <w:tab w:val="center" w:pos="4434"/>
        </w:tabs>
        <w:spacing w:line="240" w:lineRule="auto"/>
        <w:ind w:firstLine="0" w:firstLineChars="0"/>
        <w:jc w:val="center"/>
        <w:rPr>
          <w:rFonts w:ascii="仿宋_GB2312"/>
          <w:sz w:val="22"/>
          <w:szCs w:val="24"/>
        </w:rPr>
      </w:pPr>
      <w:r>
        <w:rPr>
          <w:rFonts w:ascii="仿宋_GB2312"/>
          <w:sz w:val="22"/>
          <w:szCs w:val="24"/>
        </w:rPr>
        <w:drawing>
          <wp:anchor distT="0" distB="0" distL="114300" distR="114300" simplePos="0" relativeHeight="251669504" behindDoc="0" locked="0" layoutInCell="1" allowOverlap="1">
            <wp:simplePos x="0" y="0"/>
            <wp:positionH relativeFrom="column">
              <wp:posOffset>1362075</wp:posOffset>
            </wp:positionH>
            <wp:positionV relativeFrom="paragraph">
              <wp:posOffset>635</wp:posOffset>
            </wp:positionV>
            <wp:extent cx="3105150" cy="2484120"/>
            <wp:effectExtent l="0" t="0" r="0" b="0"/>
            <wp:wrapSquare wrapText="bothSides"/>
            <wp:docPr id="72" name="图片 72" descr="C:\Users\鲁佳\AppData\Local\Temp\16100954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C:\Users\鲁佳\AppData\Local\Temp\1610095405(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105150" cy="2484120"/>
                    </a:xfrm>
                    <a:prstGeom prst="rect">
                      <a:avLst/>
                    </a:prstGeom>
                    <a:noFill/>
                    <a:ln>
                      <a:noFill/>
                    </a:ln>
                  </pic:spPr>
                </pic:pic>
              </a:graphicData>
            </a:graphic>
          </wp:anchor>
        </w:drawing>
      </w:r>
      <w:r>
        <w:rPr>
          <w:rFonts w:ascii="仿宋_GB2312"/>
          <w:sz w:val="22"/>
          <w:szCs w:val="24"/>
        </w:rPr>
        <w:t xml:space="preserve"> </w:t>
      </w:r>
    </w:p>
    <w:p>
      <w:pPr>
        <w:tabs>
          <w:tab w:val="center" w:pos="4434"/>
        </w:tabs>
        <w:spacing w:line="240" w:lineRule="auto"/>
        <w:ind w:firstLine="0" w:firstLineChars="0"/>
        <w:jc w:val="center"/>
        <w:rPr>
          <w:rFonts w:ascii="仿宋_GB2312"/>
          <w:sz w:val="22"/>
          <w:szCs w:val="24"/>
        </w:rPr>
      </w:pPr>
    </w:p>
    <w:p>
      <w:pPr>
        <w:tabs>
          <w:tab w:val="center" w:pos="4434"/>
        </w:tabs>
        <w:spacing w:line="240" w:lineRule="auto"/>
        <w:ind w:firstLine="0" w:firstLineChars="0"/>
        <w:jc w:val="center"/>
        <w:rPr>
          <w:rFonts w:ascii="仿宋_GB2312"/>
          <w:sz w:val="22"/>
          <w:szCs w:val="24"/>
        </w:rPr>
      </w:pPr>
    </w:p>
    <w:p>
      <w:pPr>
        <w:tabs>
          <w:tab w:val="center" w:pos="4434"/>
        </w:tabs>
        <w:spacing w:line="240" w:lineRule="auto"/>
        <w:ind w:firstLine="0" w:firstLineChars="0"/>
        <w:jc w:val="center"/>
        <w:rPr>
          <w:rFonts w:ascii="仿宋_GB2312"/>
          <w:sz w:val="22"/>
          <w:szCs w:val="24"/>
        </w:rPr>
      </w:pPr>
    </w:p>
    <w:p>
      <w:pPr>
        <w:tabs>
          <w:tab w:val="center" w:pos="4434"/>
        </w:tabs>
        <w:spacing w:line="240" w:lineRule="auto"/>
        <w:ind w:firstLine="0" w:firstLineChars="0"/>
        <w:jc w:val="center"/>
        <w:rPr>
          <w:rFonts w:ascii="仿宋_GB2312"/>
          <w:sz w:val="22"/>
          <w:szCs w:val="24"/>
        </w:rPr>
      </w:pPr>
    </w:p>
    <w:p>
      <w:pPr>
        <w:tabs>
          <w:tab w:val="center" w:pos="4434"/>
        </w:tabs>
        <w:spacing w:line="240" w:lineRule="auto"/>
        <w:ind w:firstLine="0" w:firstLineChars="0"/>
        <w:jc w:val="center"/>
        <w:rPr>
          <w:rFonts w:ascii="仿宋_GB2312"/>
          <w:sz w:val="22"/>
          <w:szCs w:val="24"/>
        </w:rPr>
      </w:pPr>
    </w:p>
    <w:p>
      <w:pPr>
        <w:tabs>
          <w:tab w:val="center" w:pos="4434"/>
        </w:tabs>
        <w:spacing w:line="240" w:lineRule="auto"/>
        <w:ind w:firstLine="0" w:firstLineChars="0"/>
        <w:jc w:val="center"/>
        <w:rPr>
          <w:rFonts w:ascii="仿宋_GB2312"/>
          <w:sz w:val="22"/>
          <w:szCs w:val="24"/>
        </w:rPr>
      </w:pPr>
    </w:p>
    <w:p>
      <w:pPr>
        <w:tabs>
          <w:tab w:val="center" w:pos="4434"/>
        </w:tabs>
        <w:spacing w:line="240" w:lineRule="auto"/>
        <w:ind w:firstLine="0" w:firstLineChars="0"/>
        <w:jc w:val="center"/>
        <w:rPr>
          <w:rFonts w:ascii="仿宋_GB2312"/>
          <w:sz w:val="22"/>
          <w:szCs w:val="24"/>
        </w:rPr>
      </w:pPr>
    </w:p>
    <w:p>
      <w:pPr>
        <w:tabs>
          <w:tab w:val="center" w:pos="4434"/>
        </w:tabs>
        <w:spacing w:line="240" w:lineRule="auto"/>
        <w:ind w:firstLine="0" w:firstLineChars="0"/>
        <w:jc w:val="center"/>
        <w:rPr>
          <w:rFonts w:ascii="仿宋_GB2312"/>
          <w:sz w:val="22"/>
          <w:szCs w:val="24"/>
        </w:rPr>
      </w:pPr>
      <w:r>
        <w:rPr>
          <w:rFonts w:ascii="仿宋_GB2312"/>
          <w:sz w:val="22"/>
          <w:szCs w:val="24"/>
        </w:rPr>
        <w:t xml:space="preserve"> </w:t>
      </w:r>
    </w:p>
    <w:p>
      <w:pPr>
        <w:tabs>
          <w:tab w:val="center" w:pos="4434"/>
        </w:tabs>
        <w:spacing w:line="240" w:lineRule="auto"/>
        <w:ind w:firstLine="0" w:firstLineChars="0"/>
        <w:jc w:val="center"/>
        <w:rPr>
          <w:rFonts w:ascii="仿宋_GB2312"/>
          <w:sz w:val="22"/>
          <w:szCs w:val="24"/>
        </w:rPr>
      </w:pPr>
    </w:p>
    <w:p>
      <w:pPr>
        <w:tabs>
          <w:tab w:val="center" w:pos="4434"/>
        </w:tabs>
        <w:spacing w:line="240" w:lineRule="auto"/>
        <w:ind w:firstLine="0" w:firstLineChars="0"/>
        <w:jc w:val="center"/>
        <w:rPr>
          <w:rFonts w:ascii="仿宋_GB2312"/>
          <w:sz w:val="22"/>
          <w:szCs w:val="24"/>
        </w:rPr>
      </w:pPr>
    </w:p>
    <w:p>
      <w:pPr>
        <w:spacing w:line="240" w:lineRule="auto"/>
        <w:ind w:firstLine="0" w:firstLineChars="0"/>
        <w:jc w:val="center"/>
        <w:rPr>
          <w:rFonts w:ascii="仿宋_GB2312"/>
          <w:sz w:val="21"/>
          <w:szCs w:val="24"/>
        </w:rPr>
      </w:pPr>
      <w:r>
        <w:rPr>
          <w:rFonts w:hint="eastAsia" w:ascii="仿宋_GB2312"/>
          <w:sz w:val="21"/>
          <w:szCs w:val="24"/>
        </w:rPr>
        <w:t>图2-7 社会价值</w:t>
      </w:r>
    </w:p>
    <w:p>
      <w:pPr>
        <w:ind w:firstLine="0" w:firstLineChars="0"/>
        <w:jc w:val="center"/>
        <w:rPr>
          <w:rFonts w:ascii="仿宋_GB2312"/>
          <w:sz w:val="21"/>
          <w:szCs w:val="24"/>
        </w:rPr>
      </w:pPr>
    </w:p>
    <w:p>
      <w:pPr>
        <w:pStyle w:val="84"/>
        <w:ind w:firstLine="0" w:firstLineChars="0"/>
        <w:outlineLvl w:val="1"/>
        <w:rPr>
          <w:rFonts w:ascii="黑体" w:hAnsi="黑体"/>
          <w:b w:val="0"/>
          <w:sz w:val="30"/>
          <w:szCs w:val="30"/>
        </w:rPr>
      </w:pPr>
      <w:bookmarkStart w:id="54" w:name="_Toc61100198"/>
      <w:r>
        <w:rPr>
          <w:rFonts w:hint="eastAsia" w:ascii="黑体" w:hAnsi="黑体"/>
          <w:b w:val="0"/>
          <w:sz w:val="30"/>
          <w:szCs w:val="30"/>
        </w:rPr>
        <w:t>2.6项目可行性分析</w:t>
      </w:r>
      <w:bookmarkEnd w:id="54"/>
    </w:p>
    <w:p>
      <w:pPr>
        <w:tabs>
          <w:tab w:val="center" w:pos="4434"/>
        </w:tabs>
        <w:spacing w:line="500" w:lineRule="exact"/>
        <w:ind w:firstLine="0" w:firstLineChars="0"/>
        <w:jc w:val="left"/>
        <w:outlineLvl w:val="2"/>
        <w:rPr>
          <w:rFonts w:ascii="黑体" w:hAnsi="黑体" w:eastAsia="黑体" w:cs="Times New Roman"/>
        </w:rPr>
      </w:pPr>
      <w:bookmarkStart w:id="55" w:name="_Toc61100199"/>
      <w:r>
        <w:rPr>
          <w:rFonts w:hint="eastAsia" w:ascii="黑体" w:hAnsi="黑体" w:eastAsia="黑体" w:cs="Times New Roman"/>
        </w:rPr>
        <w:t>2.6.1投资必要性分析</w:t>
      </w:r>
      <w:bookmarkEnd w:id="55"/>
    </w:p>
    <w:p>
      <w:pPr>
        <w:ind w:firstLine="482"/>
        <w:rPr>
          <w:b/>
          <w:sz w:val="24"/>
          <w:szCs w:val="24"/>
        </w:rPr>
      </w:pPr>
      <w:r>
        <w:rPr>
          <w:rFonts w:hint="eastAsia"/>
          <w:b/>
          <w:sz w:val="24"/>
          <w:szCs w:val="24"/>
        </w:rPr>
        <w:t>1.市场前景广阔</w:t>
      </w:r>
    </w:p>
    <w:p>
      <w:pPr>
        <w:tabs>
          <w:tab w:val="center" w:pos="4434"/>
        </w:tabs>
        <w:ind w:firstLine="480"/>
        <w:jc w:val="left"/>
        <w:rPr>
          <w:rFonts w:ascii="仿宋_GB2312"/>
          <w:sz w:val="24"/>
          <w:szCs w:val="24"/>
        </w:rPr>
      </w:pPr>
      <w:r>
        <w:rPr>
          <w:rFonts w:hint="eastAsia" w:ascii="仿宋_GB2312"/>
          <w:sz w:val="24"/>
          <w:szCs w:val="24"/>
        </w:rPr>
        <w:t>随着我国老龄化程度的不断加深，我国60岁以上老龄人口数量不断增大。目前，中国已经成为世界上老年人口最多的国家,也是人口老龄化发展速度最快的国家之一。据中国统计年鉴相关数据资料显示，截至2016年年底我国60岁以上老龄人口达到24949万人，占总人口的17.9%。我国60岁以上人口数量不断增加的同时，我国慢性病患病率也在高速的上升。《中国居民饮食与慢性病现状报告》显示：截止到2018年底，我国60岁以上慢性病患者人数超过1.8亿，也就是说平均四个老年人就有三个患有一种及以上的慢性病，而且呈现出“年轻化”趋势。据预测，2050年我国60岁以上人口将达到5亿，几乎占全球老龄人口的四分之一。由此可见，定位于中老年慢性病的移动医疗领域市场前景之广阔（如图2-8所示）。</w:t>
      </w:r>
    </w:p>
    <w:p>
      <w:pPr>
        <w:tabs>
          <w:tab w:val="center" w:pos="4434"/>
        </w:tabs>
        <w:ind w:firstLine="0" w:firstLineChars="0"/>
        <w:jc w:val="center"/>
        <w:rPr>
          <w:rFonts w:ascii="仿宋_GB2312"/>
          <w:sz w:val="22"/>
          <w:szCs w:val="24"/>
        </w:rPr>
      </w:pPr>
      <w:r>
        <w:rPr>
          <w:rFonts w:ascii="仿宋_GB2312"/>
          <w:sz w:val="22"/>
          <w:szCs w:val="24"/>
        </w:rPr>
        <w:drawing>
          <wp:inline distT="0" distB="0" distL="0" distR="0">
            <wp:extent cx="4125595" cy="1847850"/>
            <wp:effectExtent l="0" t="0" r="8255" b="0"/>
            <wp:docPr id="15" name="图片 15" descr="C:\Users\鲁佳\AppData\Local\Temp\16101747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鲁佳\AppData\Local\Temp\1610174724(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129045" cy="1849302"/>
                    </a:xfrm>
                    <a:prstGeom prst="rect">
                      <a:avLst/>
                    </a:prstGeom>
                    <a:noFill/>
                    <a:ln>
                      <a:noFill/>
                    </a:ln>
                  </pic:spPr>
                </pic:pic>
              </a:graphicData>
            </a:graphic>
          </wp:inline>
        </w:drawing>
      </w:r>
    </w:p>
    <w:p>
      <w:pPr>
        <w:spacing w:line="240" w:lineRule="auto"/>
        <w:ind w:firstLine="420"/>
        <w:jc w:val="center"/>
        <w:rPr>
          <w:rFonts w:ascii="仿宋_GB2312"/>
          <w:sz w:val="21"/>
          <w:szCs w:val="24"/>
        </w:rPr>
      </w:pPr>
      <w:r>
        <w:rPr>
          <w:rFonts w:hint="eastAsia" w:ascii="仿宋_GB2312"/>
          <w:sz w:val="21"/>
          <w:szCs w:val="24"/>
        </w:rPr>
        <w:t>图2-8我国60岁以上老龄人口数量和老龄慢性病患者占比情况</w:t>
      </w:r>
    </w:p>
    <w:p>
      <w:pPr>
        <w:ind w:firstLine="482"/>
        <w:rPr>
          <w:b/>
          <w:sz w:val="24"/>
          <w:szCs w:val="24"/>
        </w:rPr>
      </w:pPr>
      <w:r>
        <w:rPr>
          <w:rFonts w:hint="eastAsia"/>
          <w:b/>
          <w:sz w:val="24"/>
          <w:szCs w:val="24"/>
        </w:rPr>
        <w:t>2.传统医疗行业的诸多痛点催生移动医疗行业</w:t>
      </w:r>
    </w:p>
    <w:p>
      <w:pPr>
        <w:ind w:firstLine="480"/>
        <w:jc w:val="left"/>
        <w:rPr>
          <w:rFonts w:ascii="仿宋_GB2312"/>
          <w:sz w:val="24"/>
          <w:szCs w:val="24"/>
        </w:rPr>
      </w:pPr>
      <w:r>
        <w:rPr>
          <w:rFonts w:hint="eastAsia" w:ascii="仿宋_GB2312"/>
          <w:sz w:val="24"/>
          <w:szCs w:val="24"/>
        </w:rPr>
        <w:t>我国传统医疗行业一直存在优质医疗资源过度集中、分级诊疗推行效率低、以药养医积重难返等五大痛点。伴随着“互联网+”概念的兴起，不少传统行业在和互联网的结合中再次焕发了生机。由于互联网在资源配置的优化和集成上具备天然优势，人们纷纷寄望“互联网+医疗”可以为看病贵和看病难的痼疾提供一剂良方。在2011-2018年中国移动医疗健康市场规模不断扩大，自2014年起中国移动健康市场引来了其前流量时期的成长期（如图2-9所示）。</w:t>
      </w:r>
    </w:p>
    <w:p>
      <w:pPr>
        <w:ind w:firstLine="480"/>
        <w:jc w:val="center"/>
        <w:rPr>
          <w:rFonts w:ascii="仿宋_GB2312"/>
          <w:sz w:val="24"/>
          <w:szCs w:val="24"/>
        </w:rPr>
      </w:pPr>
      <w:r>
        <w:rPr>
          <w:rFonts w:ascii="仿宋_GB2312"/>
          <w:sz w:val="24"/>
          <w:szCs w:val="24"/>
        </w:rPr>
        <w:drawing>
          <wp:inline distT="0" distB="0" distL="0" distR="0">
            <wp:extent cx="4362450" cy="2114550"/>
            <wp:effectExtent l="0" t="0" r="0" b="0"/>
            <wp:docPr id="16"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pPr>
        <w:spacing w:line="240" w:lineRule="auto"/>
        <w:ind w:firstLine="0" w:firstLineChars="0"/>
        <w:jc w:val="center"/>
        <w:rPr>
          <w:rFonts w:ascii="仿宋_GB2312"/>
          <w:sz w:val="21"/>
          <w:szCs w:val="24"/>
        </w:rPr>
      </w:pPr>
      <w:r>
        <w:rPr>
          <w:rFonts w:hint="eastAsia" w:ascii="仿宋_GB2312"/>
          <w:sz w:val="21"/>
          <w:szCs w:val="24"/>
        </w:rPr>
        <w:t>图2-9 2011-2018年我国移动医疗市场规模</w:t>
      </w:r>
    </w:p>
    <w:p>
      <w:pPr>
        <w:tabs>
          <w:tab w:val="center" w:pos="4434"/>
        </w:tabs>
        <w:spacing w:line="500" w:lineRule="exact"/>
        <w:ind w:firstLine="0" w:firstLineChars="0"/>
        <w:jc w:val="left"/>
        <w:outlineLvl w:val="2"/>
        <w:rPr>
          <w:rFonts w:ascii="黑体" w:hAnsi="黑体" w:eastAsia="黑体" w:cs="Times New Roman"/>
        </w:rPr>
      </w:pPr>
      <w:bookmarkStart w:id="56" w:name="_Toc61100200"/>
      <w:r>
        <w:rPr>
          <w:rFonts w:hint="eastAsia" w:ascii="黑体" w:hAnsi="黑体" w:eastAsia="黑体" w:cs="Times New Roman"/>
        </w:rPr>
        <w:t>2.6.2经济可行性</w:t>
      </w:r>
      <w:bookmarkEnd w:id="56"/>
    </w:p>
    <w:p>
      <w:pPr>
        <w:ind w:firstLine="480"/>
        <w:jc w:val="left"/>
        <w:rPr>
          <w:rFonts w:ascii="仿宋_GB2312"/>
          <w:sz w:val="24"/>
          <w:szCs w:val="24"/>
        </w:rPr>
      </w:pPr>
      <w:r>
        <w:rPr>
          <w:rFonts w:hint="eastAsia" w:ascii="仿宋_GB2312"/>
          <w:sz w:val="24"/>
          <w:szCs w:val="24"/>
        </w:rPr>
        <w:t>通过对公司盈利模式和未来成长性分析，评估公司未来业务盈利能力，从而对经济可行性进行评价。</w:t>
      </w:r>
    </w:p>
    <w:p>
      <w:pPr>
        <w:ind w:firstLine="480"/>
        <w:jc w:val="left"/>
        <w:rPr>
          <w:rFonts w:ascii="仿宋_GB2312"/>
          <w:sz w:val="24"/>
          <w:szCs w:val="24"/>
        </w:rPr>
      </w:pPr>
      <w:r>
        <w:rPr>
          <w:rFonts w:hint="eastAsia" w:ascii="仿宋_GB2312"/>
          <w:sz w:val="24"/>
          <w:szCs w:val="24"/>
        </w:rPr>
        <w:t>根据目前市面上十款提供同类医疗服务APP的价格进行加权平均和对市场需求调研和分析的基础上，对“e+医”APP提供的各项医疗服务进行科学合理的定价，然后根据公司的各项医疗服务数量，估算出公司未来十年的收入情况。公司盈利模式表如表2-4所示：</w:t>
      </w:r>
    </w:p>
    <w:p>
      <w:pPr>
        <w:spacing w:line="240" w:lineRule="auto"/>
        <w:ind w:firstLine="0" w:firstLineChars="0"/>
        <w:jc w:val="center"/>
        <w:rPr>
          <w:rFonts w:ascii="仿宋_GB2312"/>
          <w:sz w:val="21"/>
          <w:szCs w:val="24"/>
        </w:rPr>
      </w:pPr>
      <w:r>
        <w:rPr>
          <w:rFonts w:hint="eastAsia" w:ascii="仿宋_GB2312"/>
          <w:sz w:val="21"/>
          <w:szCs w:val="24"/>
        </w:rPr>
        <w:t>表2-4盈利模式表</w:t>
      </w:r>
    </w:p>
    <w:p>
      <w:pPr>
        <w:spacing w:line="240" w:lineRule="auto"/>
        <w:ind w:firstLine="0" w:firstLineChars="0"/>
        <w:jc w:val="right"/>
        <w:rPr>
          <w:rFonts w:ascii="仿宋_GB2312"/>
          <w:sz w:val="21"/>
          <w:szCs w:val="24"/>
        </w:rPr>
      </w:pPr>
      <w:r>
        <w:rPr>
          <w:rFonts w:hint="eastAsia" w:ascii="仿宋_GB2312"/>
          <w:sz w:val="21"/>
          <w:szCs w:val="24"/>
        </w:rPr>
        <w:t>（单位:元）</w:t>
      </w:r>
    </w:p>
    <w:tbl>
      <w:tblPr>
        <w:tblStyle w:val="41"/>
        <w:tblW w:w="9015" w:type="dxa"/>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autofit"/>
        <w:tblCellMar>
          <w:top w:w="0" w:type="dxa"/>
          <w:left w:w="108" w:type="dxa"/>
          <w:bottom w:w="0" w:type="dxa"/>
          <w:right w:w="108" w:type="dxa"/>
        </w:tblCellMar>
      </w:tblPr>
      <w:tblGrid>
        <w:gridCol w:w="680"/>
        <w:gridCol w:w="1531"/>
        <w:gridCol w:w="2665"/>
        <w:gridCol w:w="2268"/>
        <w:gridCol w:w="1871"/>
      </w:tblGrid>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r>
              <w:rPr>
                <w:rFonts w:hint="eastAsia" w:ascii="仿宋_GB2312"/>
                <w:b/>
                <w:bCs/>
                <w:i w:val="0"/>
                <w:iCs w:val="0"/>
                <w:color w:val="FFFFFF" w:themeColor="background1"/>
                <w:sz w:val="18"/>
                <w:szCs w:val="18"/>
                <w14:textFill>
                  <w14:solidFill>
                    <w14:schemeClr w14:val="bg1"/>
                  </w14:solidFill>
                </w14:textFill>
              </w:rPr>
              <w:t>时期</w:t>
            </w:r>
          </w:p>
        </w:tc>
        <w:tc>
          <w:tcPr>
            <w:tcW w:w="1531"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r>
              <w:rPr>
                <w:rFonts w:hint="eastAsia" w:ascii="仿宋_GB2312"/>
                <w:b/>
                <w:bCs/>
                <w:i w:val="0"/>
                <w:iCs w:val="0"/>
                <w:color w:val="FFFFFF" w:themeColor="background1"/>
                <w:sz w:val="18"/>
                <w:szCs w:val="18"/>
                <w14:textFill>
                  <w14:solidFill>
                    <w14:schemeClr w14:val="bg1"/>
                  </w14:solidFill>
                </w14:textFill>
              </w:rPr>
              <w:t>项目</w:t>
            </w:r>
          </w:p>
        </w:tc>
        <w:tc>
          <w:tcPr>
            <w:tcW w:w="2665"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r>
              <w:rPr>
                <w:rFonts w:hint="eastAsia" w:ascii="仿宋_GB2312"/>
                <w:b/>
                <w:bCs/>
                <w:i w:val="0"/>
                <w:iCs w:val="0"/>
                <w:color w:val="FFFFFF" w:themeColor="background1"/>
                <w:sz w:val="18"/>
                <w:szCs w:val="18"/>
                <w14:textFill>
                  <w14:solidFill>
                    <w14:schemeClr w14:val="bg1"/>
                  </w14:solidFill>
                </w14:textFill>
              </w:rPr>
              <w:t>类别</w:t>
            </w:r>
          </w:p>
        </w:tc>
        <w:tc>
          <w:tcPr>
            <w:tcW w:w="2268"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r>
              <w:rPr>
                <w:rFonts w:hint="eastAsia" w:ascii="仿宋_GB2312"/>
                <w:b/>
                <w:bCs/>
                <w:i w:val="0"/>
                <w:iCs w:val="0"/>
                <w:color w:val="FFFFFF" w:themeColor="background1"/>
                <w:sz w:val="18"/>
                <w:szCs w:val="18"/>
                <w14:textFill>
                  <w14:solidFill>
                    <w14:schemeClr w14:val="bg1"/>
                  </w14:solidFill>
                </w14:textFill>
              </w:rPr>
              <w:t>价格</w:t>
            </w:r>
          </w:p>
        </w:tc>
        <w:tc>
          <w:tcPr>
            <w:tcW w:w="1871"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r>
              <w:rPr>
                <w:rFonts w:hint="eastAsia" w:ascii="仿宋_GB2312"/>
                <w:b/>
                <w:bCs/>
                <w:i w:val="0"/>
                <w:iCs w:val="0"/>
                <w:color w:val="FFFFFF" w:themeColor="background1"/>
                <w:sz w:val="18"/>
                <w:szCs w:val="18"/>
                <w14:textFill>
                  <w14:solidFill>
                    <w14:schemeClr w14:val="bg1"/>
                  </w14:solidFill>
                </w14:textFill>
              </w:rPr>
              <w:t>收费标准</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restart"/>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r>
              <w:rPr>
                <w:rFonts w:hint="eastAsia" w:ascii="仿宋_GB2312"/>
                <w:b/>
                <w:bCs/>
                <w:i w:val="0"/>
                <w:iCs w:val="0"/>
                <w:color w:val="FFFFFF" w:themeColor="background1"/>
                <w:sz w:val="18"/>
                <w:szCs w:val="18"/>
                <w14:textFill>
                  <w14:solidFill>
                    <w14:schemeClr w14:val="bg1"/>
                  </w14:solidFill>
                </w14:textFill>
              </w:rPr>
              <w:t>前期</w:t>
            </w:r>
          </w:p>
        </w:tc>
        <w:tc>
          <w:tcPr>
            <w:tcW w:w="1531" w:type="dxa"/>
            <w:vMerge w:val="restart"/>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医疗服务提成</w:t>
            </w:r>
          </w:p>
        </w:tc>
        <w:tc>
          <w:tcPr>
            <w:tcW w:w="266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处方提成</w:t>
            </w:r>
          </w:p>
        </w:tc>
        <w:tc>
          <w:tcPr>
            <w:tcW w:w="22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ascii="仿宋_GB2312"/>
                <w:sz w:val="18"/>
                <w:szCs w:val="18"/>
              </w:rPr>
              <w:t>129</w:t>
            </w:r>
          </w:p>
        </w:tc>
        <w:tc>
          <w:tcPr>
            <w:tcW w:w="1871"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处方价格的30%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c>
          <w:tcPr>
            <w:tcW w:w="2665"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医疗方案提成</w:t>
            </w:r>
          </w:p>
        </w:tc>
        <w:tc>
          <w:tcPr>
            <w:tcW w:w="2268"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239</w:t>
            </w:r>
          </w:p>
        </w:tc>
        <w:tc>
          <w:tcPr>
            <w:tcW w:w="1871"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医疗方案价格40%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c>
          <w:tcPr>
            <w:tcW w:w="2665" w:type="dxa"/>
            <w:vMerge w:val="restart"/>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私人医生包月费提成</w:t>
            </w:r>
          </w:p>
        </w:tc>
        <w:tc>
          <w:tcPr>
            <w:tcW w:w="22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银卡（3个月）/399</w:t>
            </w:r>
          </w:p>
        </w:tc>
        <w:tc>
          <w:tcPr>
            <w:tcW w:w="1871" w:type="dxa"/>
            <w:vMerge w:val="restart"/>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包月服务费的40%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c>
          <w:tcPr>
            <w:tcW w:w="2665"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c>
          <w:tcPr>
            <w:tcW w:w="2268"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金卡（6个月）/699</w:t>
            </w:r>
          </w:p>
        </w:tc>
        <w:tc>
          <w:tcPr>
            <w:tcW w:w="1871"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c>
          <w:tcPr>
            <w:tcW w:w="2665" w:type="dxa"/>
            <w:vMerge w:val="continue"/>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c>
          <w:tcPr>
            <w:tcW w:w="22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钻石卡（12个月）</w:t>
            </w:r>
            <w:r>
              <w:rPr>
                <w:rFonts w:ascii="仿宋_GB2312"/>
                <w:sz w:val="18"/>
                <w:szCs w:val="18"/>
              </w:rPr>
              <w:t>/1199</w:t>
            </w:r>
          </w:p>
        </w:tc>
        <w:tc>
          <w:tcPr>
            <w:tcW w:w="1871" w:type="dxa"/>
            <w:vMerge w:val="continue"/>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医疗知识收入</w:t>
            </w:r>
          </w:p>
        </w:tc>
        <w:tc>
          <w:tcPr>
            <w:tcW w:w="2665"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文献查询收入</w:t>
            </w:r>
          </w:p>
        </w:tc>
        <w:tc>
          <w:tcPr>
            <w:tcW w:w="2268"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无</w:t>
            </w:r>
          </w:p>
        </w:tc>
        <w:tc>
          <w:tcPr>
            <w:tcW w:w="1871"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免费</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restart"/>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r>
              <w:rPr>
                <w:rFonts w:hint="eastAsia" w:ascii="仿宋_GB2312"/>
                <w:b/>
                <w:bCs/>
                <w:i w:val="0"/>
                <w:iCs w:val="0"/>
                <w:color w:val="FFFFFF" w:themeColor="background1"/>
                <w:sz w:val="18"/>
                <w:szCs w:val="18"/>
                <w14:textFill>
                  <w14:solidFill>
                    <w14:schemeClr w14:val="bg1"/>
                  </w14:solidFill>
                </w14:textFill>
              </w:rPr>
              <w:t>中期</w:t>
            </w:r>
          </w:p>
        </w:tc>
        <w:tc>
          <w:tcPr>
            <w:tcW w:w="1531" w:type="dxa"/>
            <w:vMerge w:val="restart"/>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医疗服务提成</w:t>
            </w:r>
          </w:p>
        </w:tc>
        <w:tc>
          <w:tcPr>
            <w:tcW w:w="266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处方提成</w:t>
            </w:r>
          </w:p>
        </w:tc>
        <w:tc>
          <w:tcPr>
            <w:tcW w:w="22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149</w:t>
            </w:r>
          </w:p>
        </w:tc>
        <w:tc>
          <w:tcPr>
            <w:tcW w:w="1871"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处方价格的30%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c>
          <w:tcPr>
            <w:tcW w:w="2665"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医疗方案提成</w:t>
            </w:r>
          </w:p>
        </w:tc>
        <w:tc>
          <w:tcPr>
            <w:tcW w:w="2268"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299</w:t>
            </w:r>
          </w:p>
        </w:tc>
        <w:tc>
          <w:tcPr>
            <w:tcW w:w="1871"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会诊价格40%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c>
          <w:tcPr>
            <w:tcW w:w="266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会诊室提成</w:t>
            </w:r>
          </w:p>
        </w:tc>
        <w:tc>
          <w:tcPr>
            <w:tcW w:w="22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599</w:t>
            </w:r>
          </w:p>
        </w:tc>
        <w:tc>
          <w:tcPr>
            <w:tcW w:w="1871"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医疗方案价格40%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c>
          <w:tcPr>
            <w:tcW w:w="2665" w:type="dxa"/>
            <w:vMerge w:val="restart"/>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私人医生包月费提成</w:t>
            </w:r>
          </w:p>
        </w:tc>
        <w:tc>
          <w:tcPr>
            <w:tcW w:w="2268"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银卡（3个月）/399</w:t>
            </w:r>
          </w:p>
        </w:tc>
        <w:tc>
          <w:tcPr>
            <w:tcW w:w="1871" w:type="dxa"/>
            <w:vMerge w:val="restart"/>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包月服务费的40%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c>
          <w:tcPr>
            <w:tcW w:w="2665" w:type="dxa"/>
            <w:vMerge w:val="continue"/>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c>
          <w:tcPr>
            <w:tcW w:w="22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金卡（6个月）/699</w:t>
            </w:r>
          </w:p>
        </w:tc>
        <w:tc>
          <w:tcPr>
            <w:tcW w:w="1871" w:type="dxa"/>
            <w:vMerge w:val="continue"/>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c>
          <w:tcPr>
            <w:tcW w:w="2665"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c>
          <w:tcPr>
            <w:tcW w:w="2268"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钻石卡（12个月）/1199</w:t>
            </w:r>
          </w:p>
        </w:tc>
        <w:tc>
          <w:tcPr>
            <w:tcW w:w="1871"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在线药房收入</w:t>
            </w:r>
          </w:p>
        </w:tc>
        <w:tc>
          <w:tcPr>
            <w:tcW w:w="266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广告和销售收入</w:t>
            </w:r>
          </w:p>
        </w:tc>
        <w:tc>
          <w:tcPr>
            <w:tcW w:w="22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c>
          <w:tcPr>
            <w:tcW w:w="1871"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收入的100%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医疗知识收入</w:t>
            </w:r>
          </w:p>
        </w:tc>
        <w:tc>
          <w:tcPr>
            <w:tcW w:w="2665"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文献查询收入</w:t>
            </w:r>
          </w:p>
        </w:tc>
        <w:tc>
          <w:tcPr>
            <w:tcW w:w="2268" w:type="dxa"/>
            <w:shd w:val="clear" w:color="auto" w:fill="D0DCF0" w:themeFill="accent5" w:themeFillTint="3F"/>
            <w:vAlign w:val="center"/>
          </w:tcPr>
          <w:p>
            <w:pPr>
              <w:spacing w:line="180" w:lineRule="auto"/>
              <w:ind w:firstLine="0" w:firstLineChars="0"/>
              <w:jc w:val="center"/>
              <w:rPr>
                <w:rFonts w:ascii="仿宋_GB2312"/>
                <w:sz w:val="18"/>
                <w:szCs w:val="18"/>
              </w:rPr>
            </w:pPr>
          </w:p>
        </w:tc>
        <w:tc>
          <w:tcPr>
            <w:tcW w:w="1871"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收入的100%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restart"/>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r>
              <w:rPr>
                <w:rFonts w:hint="eastAsia" w:ascii="仿宋_GB2312"/>
                <w:b/>
                <w:bCs/>
                <w:i w:val="0"/>
                <w:iCs w:val="0"/>
                <w:color w:val="FFFFFF" w:themeColor="background1"/>
                <w:sz w:val="18"/>
                <w:szCs w:val="18"/>
                <w14:textFill>
                  <w14:solidFill>
                    <w14:schemeClr w14:val="bg1"/>
                  </w14:solidFill>
                </w14:textFill>
              </w:rPr>
              <w:t>后期</w:t>
            </w:r>
          </w:p>
        </w:tc>
        <w:tc>
          <w:tcPr>
            <w:tcW w:w="1531" w:type="dxa"/>
            <w:vMerge w:val="restart"/>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医疗服务提成</w:t>
            </w:r>
          </w:p>
        </w:tc>
        <w:tc>
          <w:tcPr>
            <w:tcW w:w="266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处方提成</w:t>
            </w:r>
          </w:p>
        </w:tc>
        <w:tc>
          <w:tcPr>
            <w:tcW w:w="22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169</w:t>
            </w:r>
          </w:p>
        </w:tc>
        <w:tc>
          <w:tcPr>
            <w:tcW w:w="1871"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处方价格的30%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c>
          <w:tcPr>
            <w:tcW w:w="2665"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医疗方案提成</w:t>
            </w:r>
          </w:p>
        </w:tc>
        <w:tc>
          <w:tcPr>
            <w:tcW w:w="2268"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329</w:t>
            </w:r>
          </w:p>
        </w:tc>
        <w:tc>
          <w:tcPr>
            <w:tcW w:w="1871"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医疗方案价格40%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c>
          <w:tcPr>
            <w:tcW w:w="266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会诊室提成</w:t>
            </w:r>
          </w:p>
        </w:tc>
        <w:tc>
          <w:tcPr>
            <w:tcW w:w="22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639</w:t>
            </w:r>
          </w:p>
        </w:tc>
        <w:tc>
          <w:tcPr>
            <w:tcW w:w="1871"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会诊价格40%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c>
          <w:tcPr>
            <w:tcW w:w="2665" w:type="dxa"/>
            <w:vMerge w:val="restart"/>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私人医生包月费提成</w:t>
            </w:r>
          </w:p>
        </w:tc>
        <w:tc>
          <w:tcPr>
            <w:tcW w:w="2268"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银卡（3个月）/499</w:t>
            </w:r>
          </w:p>
        </w:tc>
        <w:tc>
          <w:tcPr>
            <w:tcW w:w="1871" w:type="dxa"/>
            <w:vMerge w:val="restart"/>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包月费价格的40%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c>
          <w:tcPr>
            <w:tcW w:w="2665" w:type="dxa"/>
            <w:vMerge w:val="continue"/>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c>
          <w:tcPr>
            <w:tcW w:w="22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金卡（6个月）/799</w:t>
            </w:r>
          </w:p>
        </w:tc>
        <w:tc>
          <w:tcPr>
            <w:tcW w:w="1871" w:type="dxa"/>
            <w:vMerge w:val="continue"/>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c>
          <w:tcPr>
            <w:tcW w:w="2665"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c>
          <w:tcPr>
            <w:tcW w:w="2268"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钻石卡（12个月）/1299</w:t>
            </w:r>
          </w:p>
        </w:tc>
        <w:tc>
          <w:tcPr>
            <w:tcW w:w="1871" w:type="dxa"/>
            <w:vMerge w:val="continue"/>
            <w:shd w:val="clear" w:color="auto" w:fill="D0DCF0" w:themeFill="accent5" w:themeFillTint="3F"/>
            <w:vAlign w:val="center"/>
          </w:tcPr>
          <w:p>
            <w:pPr>
              <w:spacing w:line="180" w:lineRule="auto"/>
              <w:ind w:firstLine="0" w:firstLineChars="0"/>
              <w:jc w:val="center"/>
              <w:rPr>
                <w:rFonts w:ascii="仿宋_GB2312"/>
                <w:sz w:val="18"/>
                <w:szCs w:val="18"/>
              </w:rPr>
            </w:pP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在线药房收入</w:t>
            </w:r>
          </w:p>
        </w:tc>
        <w:tc>
          <w:tcPr>
            <w:tcW w:w="266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广告和销售收入</w:t>
            </w:r>
          </w:p>
        </w:tc>
        <w:tc>
          <w:tcPr>
            <w:tcW w:w="22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c>
          <w:tcPr>
            <w:tcW w:w="1871"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收入的100%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left w:val="single" w:color="FFFFFF" w:themeColor="background1" w:sz="8" w:space="0"/>
              <w:bottom w:val="nil"/>
              <w:right w:val="single" w:color="FFFFFF" w:themeColor="background1" w:sz="24" w:space="0"/>
              <w:insideH w:val="nil"/>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restart"/>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医疗知识收入</w:t>
            </w:r>
          </w:p>
        </w:tc>
        <w:tc>
          <w:tcPr>
            <w:tcW w:w="2665"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文献查询</w:t>
            </w:r>
          </w:p>
        </w:tc>
        <w:tc>
          <w:tcPr>
            <w:tcW w:w="2268" w:type="dxa"/>
            <w:shd w:val="clear" w:color="auto" w:fill="D0DCF0" w:themeFill="accent5" w:themeFillTint="3F"/>
            <w:vAlign w:val="center"/>
          </w:tcPr>
          <w:p>
            <w:pPr>
              <w:spacing w:line="180" w:lineRule="auto"/>
              <w:ind w:firstLine="0" w:firstLineChars="0"/>
              <w:jc w:val="center"/>
              <w:rPr>
                <w:rFonts w:ascii="仿宋_GB2312"/>
                <w:sz w:val="18"/>
                <w:szCs w:val="18"/>
              </w:rPr>
            </w:pPr>
          </w:p>
        </w:tc>
        <w:tc>
          <w:tcPr>
            <w:tcW w:w="1871" w:type="dxa"/>
            <w:shd w:val="clear" w:color="auto" w:fill="D0DCF0" w:themeFill="accent5" w:themeFillTint="3F"/>
            <w:vAlign w:val="center"/>
          </w:tcPr>
          <w:p>
            <w:pPr>
              <w:spacing w:line="180" w:lineRule="auto"/>
              <w:ind w:firstLine="0" w:firstLineChars="0"/>
              <w:jc w:val="center"/>
              <w:rPr>
                <w:rFonts w:ascii="仿宋_GB2312"/>
                <w:sz w:val="18"/>
                <w:szCs w:val="18"/>
              </w:rPr>
            </w:pPr>
            <w:r>
              <w:rPr>
                <w:rFonts w:hint="eastAsia" w:ascii="仿宋_GB2312"/>
                <w:sz w:val="18"/>
                <w:szCs w:val="18"/>
              </w:rPr>
              <w:t>收入的100%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283" w:hRule="atLeast"/>
        </w:trPr>
        <w:tc>
          <w:tcPr>
            <w:tcW w:w="680" w:type="dxa"/>
            <w:vMerge w:val="continue"/>
            <w:tcBorders>
              <w:top w:val="single" w:color="FFFFFF" w:themeColor="background1" w:sz="8" w:space="0"/>
              <w:left w:val="single" w:color="FFFFFF" w:themeColor="background1" w:sz="8" w:space="0"/>
              <w:bottom w:val="single" w:color="FFFFFF" w:themeColor="background1" w:sz="8" w:space="0"/>
              <w:right w:val="single" w:color="FFFFFF" w:themeColor="background1" w:sz="24" w:space="0"/>
              <w:insideH w:val="single" w:sz="8" w:space="0"/>
              <w:insideV w:val="single" w:sz="24" w:space="0"/>
            </w:tcBorders>
            <w:shd w:val="clear" w:color="auto" w:fill="4472C4" w:themeFill="accent5"/>
            <w:vAlign w:val="center"/>
          </w:tcPr>
          <w:p>
            <w:pPr>
              <w:spacing w:line="180" w:lineRule="auto"/>
              <w:ind w:firstLine="0" w:firstLineChars="0"/>
              <w:jc w:val="center"/>
              <w:rPr>
                <w:rFonts w:ascii="仿宋_GB2312"/>
                <w:b/>
                <w:bCs/>
                <w:i w:val="0"/>
                <w:iCs w:val="0"/>
                <w:color w:val="FFFFFF" w:themeColor="background1"/>
                <w:sz w:val="18"/>
                <w:szCs w:val="18"/>
                <w14:textFill>
                  <w14:solidFill>
                    <w14:schemeClr w14:val="bg1"/>
                  </w14:solidFill>
                </w14:textFill>
              </w:rPr>
            </w:pPr>
          </w:p>
        </w:tc>
        <w:tc>
          <w:tcPr>
            <w:tcW w:w="1531" w:type="dxa"/>
            <w:vMerge w:val="continue"/>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c>
          <w:tcPr>
            <w:tcW w:w="266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大数据使用费（科研机构、卫计委、医院、用户病情预测预防）</w:t>
            </w:r>
          </w:p>
        </w:tc>
        <w:tc>
          <w:tcPr>
            <w:tcW w:w="22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p>
        </w:tc>
        <w:tc>
          <w:tcPr>
            <w:tcW w:w="1871"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vAlign w:val="center"/>
          </w:tcPr>
          <w:p>
            <w:pPr>
              <w:spacing w:line="180" w:lineRule="auto"/>
              <w:ind w:firstLine="0" w:firstLineChars="0"/>
              <w:jc w:val="center"/>
              <w:rPr>
                <w:rFonts w:ascii="仿宋_GB2312"/>
                <w:sz w:val="18"/>
                <w:szCs w:val="18"/>
              </w:rPr>
            </w:pPr>
            <w:r>
              <w:rPr>
                <w:rFonts w:hint="eastAsia" w:ascii="仿宋_GB2312"/>
                <w:sz w:val="18"/>
                <w:szCs w:val="18"/>
              </w:rPr>
              <w:t>收入的100%</w:t>
            </w:r>
          </w:p>
        </w:tc>
      </w:tr>
    </w:tbl>
    <w:p>
      <w:pPr>
        <w:ind w:firstLine="480"/>
        <w:jc w:val="left"/>
        <w:rPr>
          <w:rFonts w:ascii="仿宋_GB2312"/>
          <w:sz w:val="24"/>
          <w:szCs w:val="24"/>
        </w:rPr>
      </w:pPr>
      <w:r>
        <w:rPr>
          <w:rFonts w:hint="eastAsia" w:ascii="仿宋_GB2312"/>
          <w:sz w:val="24"/>
          <w:szCs w:val="24"/>
        </w:rPr>
        <w:t>在对市场需求调研和分析的基础上，结合本公司现有的规模和资金情况做出未来十年的新增稳定注册用户数量预测表、提供各项医疗服务数量预测表、收入情况预测表（如图2-10、表2-5、表2-6所示）。</w:t>
      </w:r>
    </w:p>
    <w:p>
      <w:pPr>
        <w:spacing w:line="240" w:lineRule="auto"/>
        <w:ind w:firstLine="480"/>
        <w:jc w:val="center"/>
        <w:rPr>
          <w:rFonts w:ascii="仿宋_GB2312"/>
          <w:sz w:val="24"/>
          <w:szCs w:val="24"/>
        </w:rPr>
      </w:pPr>
      <w:r>
        <w:rPr>
          <w:rFonts w:hint="eastAsia" w:ascii="仿宋_GB2312"/>
          <w:sz w:val="24"/>
          <w:szCs w:val="24"/>
        </w:rPr>
        <w:drawing>
          <wp:inline distT="0" distB="0" distL="0" distR="0">
            <wp:extent cx="4819650" cy="2324100"/>
            <wp:effectExtent l="0" t="0" r="0" b="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pPr>
        <w:spacing w:line="240" w:lineRule="auto"/>
        <w:ind w:firstLine="0" w:firstLineChars="0"/>
        <w:jc w:val="center"/>
        <w:rPr>
          <w:rFonts w:ascii="仿宋_GB2312"/>
          <w:sz w:val="21"/>
          <w:szCs w:val="24"/>
        </w:rPr>
      </w:pPr>
      <w:r>
        <w:rPr>
          <w:rFonts w:hint="eastAsia" w:ascii="仿宋_GB2312"/>
          <w:sz w:val="21"/>
          <w:szCs w:val="24"/>
        </w:rPr>
        <w:t>图2-10 近十年稳定新增注册用户数量预测（单位：万人）</w:t>
      </w:r>
    </w:p>
    <w:p>
      <w:pPr>
        <w:spacing w:before="190" w:beforeLines="50" w:after="190" w:afterLines="50" w:line="240" w:lineRule="auto"/>
        <w:ind w:firstLine="0" w:firstLineChars="0"/>
        <w:jc w:val="center"/>
        <w:rPr>
          <w:rFonts w:ascii="仿宋_GB2312"/>
          <w:sz w:val="21"/>
          <w:szCs w:val="24"/>
        </w:rPr>
      </w:pPr>
      <w:r>
        <w:rPr>
          <w:rFonts w:hint="eastAsia" w:ascii="仿宋_GB2312"/>
          <w:sz w:val="21"/>
          <w:szCs w:val="24"/>
        </w:rPr>
        <w:t>表2-5各项服务数量预测表</w:t>
      </w:r>
    </w:p>
    <w:tbl>
      <w:tblPr>
        <w:tblStyle w:val="39"/>
        <w:tblW w:w="9684" w:type="dxa"/>
        <w:tblInd w:w="0" w:type="dxa"/>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Layout w:type="autofit"/>
        <w:tblCellMar>
          <w:top w:w="0" w:type="dxa"/>
          <w:left w:w="108" w:type="dxa"/>
          <w:bottom w:w="0" w:type="dxa"/>
          <w:right w:w="108" w:type="dxa"/>
        </w:tblCellMar>
      </w:tblPr>
      <w:tblGrid>
        <w:gridCol w:w="680"/>
        <w:gridCol w:w="1191"/>
        <w:gridCol w:w="1304"/>
        <w:gridCol w:w="1304"/>
        <w:gridCol w:w="1531"/>
        <w:gridCol w:w="1304"/>
        <w:gridCol w:w="1304"/>
        <w:gridCol w:w="1066"/>
      </w:tblGrid>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397" w:hRule="atLeast"/>
        </w:trPr>
        <w:tc>
          <w:tcPr>
            <w:tcW w:w="680" w:type="dxa"/>
            <w:vMerge w:val="restart"/>
            <w:shd w:val="clear" w:color="auto" w:fill="D0DCF0" w:themeFill="accent5" w:themeFillTint="3F"/>
            <w:vAlign w:val="center"/>
          </w:tcPr>
          <w:p>
            <w:pPr>
              <w:spacing w:line="180" w:lineRule="auto"/>
              <w:ind w:firstLine="0" w:firstLineChars="0"/>
              <w:jc w:val="center"/>
              <w:rPr>
                <w:rFonts w:ascii="仿宋_GB2312"/>
                <w:b/>
                <w:bCs/>
                <w:sz w:val="21"/>
                <w:szCs w:val="21"/>
              </w:rPr>
            </w:pPr>
            <w:r>
              <w:rPr>
                <w:rFonts w:ascii="仿宋_GB2312"/>
                <w:b/>
                <w:bCs/>
                <w:sz w:val="21"/>
                <w:szCs w:val="21"/>
              </w:rPr>
              <w:t>时期</w:t>
            </w:r>
          </w:p>
        </w:tc>
        <w:tc>
          <w:tcPr>
            <w:tcW w:w="1191" w:type="dxa"/>
            <w:vMerge w:val="restart"/>
            <w:shd w:val="clear" w:color="auto" w:fill="D0DCF0" w:themeFill="accent5" w:themeFillTint="3F"/>
            <w:vAlign w:val="center"/>
          </w:tcPr>
          <w:p>
            <w:pPr>
              <w:spacing w:line="180" w:lineRule="auto"/>
              <w:ind w:firstLine="0" w:firstLineChars="0"/>
              <w:jc w:val="center"/>
              <w:rPr>
                <w:rFonts w:ascii="仿宋_GB2312"/>
                <w:b/>
                <w:bCs/>
                <w:sz w:val="21"/>
                <w:szCs w:val="21"/>
              </w:rPr>
            </w:pPr>
            <w:r>
              <w:rPr>
                <w:rFonts w:ascii="仿宋_GB2312"/>
                <w:b/>
                <w:bCs/>
                <w:sz w:val="21"/>
                <w:szCs w:val="21"/>
              </w:rPr>
              <w:t>年份</w:t>
            </w:r>
            <w:r>
              <w:rPr>
                <w:rFonts w:hint="eastAsia" w:ascii="仿宋_GB2312"/>
                <w:b/>
                <w:bCs/>
                <w:sz w:val="21"/>
                <w:szCs w:val="21"/>
              </w:rPr>
              <w:t>/项目</w:t>
            </w:r>
          </w:p>
        </w:tc>
        <w:tc>
          <w:tcPr>
            <w:tcW w:w="1304" w:type="dxa"/>
            <w:vMerge w:val="restart"/>
            <w:shd w:val="clear" w:color="auto" w:fill="D0DCF0" w:themeFill="accent5" w:themeFillTint="3F"/>
            <w:vAlign w:val="center"/>
          </w:tcPr>
          <w:p>
            <w:pPr>
              <w:spacing w:line="180" w:lineRule="auto"/>
              <w:ind w:firstLine="0" w:firstLineChars="0"/>
              <w:jc w:val="center"/>
              <w:rPr>
                <w:rFonts w:ascii="仿宋_GB2312"/>
                <w:b/>
                <w:bCs/>
                <w:sz w:val="21"/>
                <w:szCs w:val="21"/>
              </w:rPr>
            </w:pPr>
            <w:r>
              <w:rPr>
                <w:rFonts w:ascii="仿宋_GB2312"/>
                <w:b/>
                <w:bCs/>
                <w:sz w:val="21"/>
                <w:szCs w:val="21"/>
              </w:rPr>
              <w:t>开具处方数</w:t>
            </w:r>
          </w:p>
        </w:tc>
        <w:tc>
          <w:tcPr>
            <w:tcW w:w="1304" w:type="dxa"/>
            <w:vMerge w:val="restart"/>
            <w:shd w:val="clear" w:color="auto" w:fill="D0DCF0" w:themeFill="accent5" w:themeFillTint="3F"/>
            <w:vAlign w:val="center"/>
          </w:tcPr>
          <w:p>
            <w:pPr>
              <w:spacing w:line="180" w:lineRule="auto"/>
              <w:ind w:firstLine="0" w:firstLineChars="0"/>
              <w:jc w:val="center"/>
              <w:rPr>
                <w:rFonts w:ascii="仿宋_GB2312"/>
                <w:b/>
                <w:bCs/>
                <w:sz w:val="21"/>
                <w:szCs w:val="21"/>
              </w:rPr>
            </w:pPr>
            <w:r>
              <w:rPr>
                <w:rFonts w:ascii="仿宋_GB2312"/>
                <w:b/>
                <w:bCs/>
                <w:sz w:val="21"/>
                <w:szCs w:val="21"/>
              </w:rPr>
              <w:t>治疗方案数</w:t>
            </w:r>
          </w:p>
        </w:tc>
        <w:tc>
          <w:tcPr>
            <w:tcW w:w="4139" w:type="dxa"/>
            <w:gridSpan w:val="3"/>
            <w:shd w:val="clear" w:color="auto" w:fill="D0DCF0" w:themeFill="accent5" w:themeFillTint="3F"/>
            <w:vAlign w:val="center"/>
          </w:tcPr>
          <w:p>
            <w:pPr>
              <w:spacing w:line="180" w:lineRule="auto"/>
              <w:ind w:firstLine="0" w:firstLineChars="0"/>
              <w:jc w:val="center"/>
              <w:rPr>
                <w:rFonts w:ascii="仿宋_GB2312"/>
                <w:b/>
                <w:bCs/>
                <w:sz w:val="21"/>
                <w:szCs w:val="21"/>
              </w:rPr>
            </w:pPr>
            <w:r>
              <w:rPr>
                <w:rFonts w:ascii="仿宋_GB2312"/>
                <w:b/>
                <w:bCs/>
                <w:sz w:val="21"/>
                <w:szCs w:val="21"/>
              </w:rPr>
              <w:t>私人医生包月服务数</w:t>
            </w:r>
          </w:p>
        </w:tc>
        <w:tc>
          <w:tcPr>
            <w:tcW w:w="1066" w:type="dxa"/>
            <w:vMerge w:val="restart"/>
            <w:shd w:val="clear" w:color="auto" w:fill="D0DCF0" w:themeFill="accent5" w:themeFillTint="3F"/>
            <w:vAlign w:val="center"/>
          </w:tcPr>
          <w:p>
            <w:pPr>
              <w:spacing w:line="180" w:lineRule="auto"/>
              <w:ind w:firstLine="0" w:firstLineChars="0"/>
              <w:jc w:val="center"/>
              <w:rPr>
                <w:rFonts w:ascii="仿宋_GB2312"/>
                <w:b/>
                <w:bCs/>
                <w:sz w:val="21"/>
                <w:szCs w:val="21"/>
              </w:rPr>
            </w:pPr>
            <w:r>
              <w:rPr>
                <w:rFonts w:ascii="仿宋_GB2312"/>
                <w:b/>
                <w:bCs/>
                <w:sz w:val="21"/>
                <w:szCs w:val="21"/>
              </w:rPr>
              <w:t>会诊室会诊数</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397" w:hRule="atLeast"/>
        </w:trPr>
        <w:tc>
          <w:tcPr>
            <w:tcW w:w="680" w:type="dxa"/>
            <w:vMerge w:val="continue"/>
            <w:shd w:val="clear" w:color="auto" w:fill="A1B8E1" w:themeFill="accent5" w:themeFillTint="7F"/>
            <w:vAlign w:val="center"/>
          </w:tcPr>
          <w:p>
            <w:pPr>
              <w:spacing w:line="180" w:lineRule="auto"/>
              <w:ind w:firstLine="0" w:firstLineChars="0"/>
              <w:jc w:val="center"/>
              <w:rPr>
                <w:rFonts w:ascii="仿宋_GB2312"/>
                <w:b/>
                <w:bCs/>
                <w:sz w:val="21"/>
                <w:szCs w:val="21"/>
              </w:rPr>
            </w:pPr>
          </w:p>
        </w:tc>
        <w:tc>
          <w:tcPr>
            <w:tcW w:w="1191" w:type="dxa"/>
            <w:vMerge w:val="continue"/>
            <w:shd w:val="clear" w:color="auto" w:fill="A1B8E1" w:themeFill="accent5" w:themeFillTint="7F"/>
            <w:vAlign w:val="center"/>
          </w:tcPr>
          <w:p>
            <w:pPr>
              <w:spacing w:line="180" w:lineRule="auto"/>
              <w:ind w:firstLine="0" w:firstLineChars="0"/>
              <w:jc w:val="center"/>
              <w:rPr>
                <w:rFonts w:ascii="仿宋_GB2312"/>
                <w:sz w:val="21"/>
                <w:szCs w:val="21"/>
              </w:rPr>
            </w:pPr>
          </w:p>
        </w:tc>
        <w:tc>
          <w:tcPr>
            <w:tcW w:w="1304" w:type="dxa"/>
            <w:vMerge w:val="continue"/>
            <w:shd w:val="clear" w:color="auto" w:fill="A1B8E1" w:themeFill="accent5" w:themeFillTint="7F"/>
            <w:vAlign w:val="center"/>
          </w:tcPr>
          <w:p>
            <w:pPr>
              <w:spacing w:line="180" w:lineRule="auto"/>
              <w:ind w:firstLine="0" w:firstLineChars="0"/>
              <w:jc w:val="center"/>
              <w:rPr>
                <w:rFonts w:ascii="仿宋_GB2312"/>
                <w:sz w:val="21"/>
                <w:szCs w:val="21"/>
              </w:rPr>
            </w:pPr>
          </w:p>
        </w:tc>
        <w:tc>
          <w:tcPr>
            <w:tcW w:w="1304" w:type="dxa"/>
            <w:vMerge w:val="continue"/>
            <w:shd w:val="clear" w:color="auto" w:fill="A1B8E1" w:themeFill="accent5" w:themeFillTint="7F"/>
            <w:vAlign w:val="center"/>
          </w:tcPr>
          <w:p>
            <w:pPr>
              <w:spacing w:line="180" w:lineRule="auto"/>
              <w:ind w:firstLine="0" w:firstLineChars="0"/>
              <w:jc w:val="center"/>
              <w:rPr>
                <w:rFonts w:ascii="仿宋_GB2312"/>
                <w:sz w:val="21"/>
                <w:szCs w:val="21"/>
              </w:rPr>
            </w:pPr>
          </w:p>
        </w:tc>
        <w:tc>
          <w:tcPr>
            <w:tcW w:w="1531"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ascii="仿宋_GB2312"/>
                <w:sz w:val="21"/>
                <w:szCs w:val="21"/>
              </w:rPr>
              <w:t>银行卡服务数</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ascii="仿宋_GB2312"/>
                <w:sz w:val="21"/>
                <w:szCs w:val="21"/>
              </w:rPr>
              <w:t>金卡服务数</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ascii="仿宋_GB2312"/>
                <w:sz w:val="21"/>
                <w:szCs w:val="21"/>
              </w:rPr>
              <w:t>钻石服务数</w:t>
            </w:r>
          </w:p>
        </w:tc>
        <w:tc>
          <w:tcPr>
            <w:tcW w:w="1066" w:type="dxa"/>
            <w:vMerge w:val="continue"/>
            <w:shd w:val="clear" w:color="auto" w:fill="A1B8E1" w:themeFill="accent5" w:themeFillTint="7F"/>
            <w:vAlign w:val="center"/>
          </w:tcPr>
          <w:p>
            <w:pPr>
              <w:spacing w:line="180" w:lineRule="auto"/>
              <w:ind w:firstLine="0" w:firstLineChars="0"/>
              <w:jc w:val="center"/>
              <w:rPr>
                <w:rFonts w:ascii="仿宋_GB2312"/>
                <w:sz w:val="21"/>
                <w:szCs w:val="21"/>
              </w:rPr>
            </w:pP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680" w:type="dxa"/>
            <w:vMerge w:val="restart"/>
            <w:shd w:val="clear" w:color="auto" w:fill="D0DCF0" w:themeFill="accent5" w:themeFillTint="3F"/>
            <w:vAlign w:val="center"/>
          </w:tcPr>
          <w:p>
            <w:pPr>
              <w:spacing w:line="180" w:lineRule="auto"/>
              <w:ind w:firstLine="0" w:firstLineChars="0"/>
              <w:jc w:val="center"/>
              <w:rPr>
                <w:rFonts w:ascii="仿宋_GB2312"/>
                <w:b/>
                <w:bCs/>
                <w:sz w:val="21"/>
                <w:szCs w:val="21"/>
              </w:rPr>
            </w:pPr>
            <w:r>
              <w:rPr>
                <w:rFonts w:ascii="仿宋_GB2312"/>
                <w:b/>
                <w:bCs/>
                <w:sz w:val="21"/>
                <w:szCs w:val="21"/>
              </w:rPr>
              <w:t>前期</w:t>
            </w:r>
          </w:p>
        </w:tc>
        <w:tc>
          <w:tcPr>
            <w:tcW w:w="1191"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2019</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300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50</w:t>
            </w:r>
          </w:p>
        </w:tc>
        <w:tc>
          <w:tcPr>
            <w:tcW w:w="1531"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10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5</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2</w:t>
            </w:r>
          </w:p>
        </w:tc>
        <w:tc>
          <w:tcPr>
            <w:tcW w:w="1066"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340" w:hRule="atLeast"/>
        </w:trPr>
        <w:tc>
          <w:tcPr>
            <w:tcW w:w="680" w:type="dxa"/>
            <w:vMerge w:val="continue"/>
            <w:shd w:val="clear" w:color="auto" w:fill="A1B8E1" w:themeFill="accent5" w:themeFillTint="7F"/>
            <w:vAlign w:val="center"/>
          </w:tcPr>
          <w:p>
            <w:pPr>
              <w:spacing w:line="180" w:lineRule="auto"/>
              <w:ind w:firstLine="0" w:firstLineChars="0"/>
              <w:jc w:val="center"/>
              <w:rPr>
                <w:rFonts w:ascii="仿宋_GB2312"/>
                <w:b/>
                <w:bCs/>
                <w:sz w:val="21"/>
                <w:szCs w:val="21"/>
              </w:rPr>
            </w:pPr>
          </w:p>
        </w:tc>
        <w:tc>
          <w:tcPr>
            <w:tcW w:w="1191"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2020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500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100</w:t>
            </w:r>
          </w:p>
        </w:tc>
        <w:tc>
          <w:tcPr>
            <w:tcW w:w="1531"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30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20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10</w:t>
            </w:r>
          </w:p>
        </w:tc>
        <w:tc>
          <w:tcPr>
            <w:tcW w:w="1066"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340" w:hRule="atLeast"/>
        </w:trPr>
        <w:tc>
          <w:tcPr>
            <w:tcW w:w="680" w:type="dxa"/>
            <w:vMerge w:val="continue"/>
            <w:shd w:val="clear" w:color="auto" w:fill="D0DCF0" w:themeFill="accent5" w:themeFillTint="3F"/>
            <w:vAlign w:val="center"/>
          </w:tcPr>
          <w:p>
            <w:pPr>
              <w:spacing w:line="180" w:lineRule="auto"/>
              <w:ind w:firstLine="0" w:firstLineChars="0"/>
              <w:jc w:val="center"/>
              <w:rPr>
                <w:rFonts w:ascii="仿宋_GB2312"/>
                <w:b/>
                <w:bCs/>
                <w:sz w:val="21"/>
                <w:szCs w:val="21"/>
              </w:rPr>
            </w:pPr>
          </w:p>
        </w:tc>
        <w:tc>
          <w:tcPr>
            <w:tcW w:w="1191"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2021</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1000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400</w:t>
            </w:r>
          </w:p>
        </w:tc>
        <w:tc>
          <w:tcPr>
            <w:tcW w:w="1531"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80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50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20</w:t>
            </w:r>
          </w:p>
        </w:tc>
        <w:tc>
          <w:tcPr>
            <w:tcW w:w="1066"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340" w:hRule="atLeast"/>
        </w:trPr>
        <w:tc>
          <w:tcPr>
            <w:tcW w:w="680" w:type="dxa"/>
            <w:vMerge w:val="restart"/>
            <w:shd w:val="clear" w:color="auto" w:fill="A1B8E1" w:themeFill="accent5" w:themeFillTint="7F"/>
            <w:vAlign w:val="center"/>
          </w:tcPr>
          <w:p>
            <w:pPr>
              <w:spacing w:line="180" w:lineRule="auto"/>
              <w:ind w:firstLine="0" w:firstLineChars="0"/>
              <w:jc w:val="center"/>
              <w:rPr>
                <w:rFonts w:ascii="仿宋_GB2312"/>
                <w:b/>
                <w:bCs/>
                <w:sz w:val="21"/>
                <w:szCs w:val="21"/>
              </w:rPr>
            </w:pPr>
            <w:r>
              <w:rPr>
                <w:rFonts w:ascii="仿宋_GB2312"/>
                <w:b/>
                <w:bCs/>
                <w:sz w:val="21"/>
                <w:szCs w:val="21"/>
              </w:rPr>
              <w:t>中期</w:t>
            </w:r>
          </w:p>
        </w:tc>
        <w:tc>
          <w:tcPr>
            <w:tcW w:w="1191"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2022</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6000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1500</w:t>
            </w:r>
          </w:p>
        </w:tc>
        <w:tc>
          <w:tcPr>
            <w:tcW w:w="1531"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300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200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100</w:t>
            </w:r>
          </w:p>
        </w:tc>
        <w:tc>
          <w:tcPr>
            <w:tcW w:w="1066"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1000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340" w:hRule="atLeast"/>
        </w:trPr>
        <w:tc>
          <w:tcPr>
            <w:tcW w:w="680" w:type="dxa"/>
            <w:vMerge w:val="continue"/>
            <w:shd w:val="clear" w:color="auto" w:fill="D0DCF0" w:themeFill="accent5" w:themeFillTint="3F"/>
            <w:vAlign w:val="center"/>
          </w:tcPr>
          <w:p>
            <w:pPr>
              <w:spacing w:line="180" w:lineRule="auto"/>
              <w:ind w:firstLine="0" w:firstLineChars="0"/>
              <w:jc w:val="center"/>
              <w:rPr>
                <w:rFonts w:ascii="仿宋_GB2312"/>
                <w:b/>
                <w:bCs/>
                <w:sz w:val="21"/>
                <w:szCs w:val="21"/>
              </w:rPr>
            </w:pPr>
          </w:p>
        </w:tc>
        <w:tc>
          <w:tcPr>
            <w:tcW w:w="1191"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2023</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8000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3000</w:t>
            </w:r>
          </w:p>
        </w:tc>
        <w:tc>
          <w:tcPr>
            <w:tcW w:w="1531"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500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300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200</w:t>
            </w:r>
          </w:p>
        </w:tc>
        <w:tc>
          <w:tcPr>
            <w:tcW w:w="1066"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2000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340" w:hRule="atLeast"/>
        </w:trPr>
        <w:tc>
          <w:tcPr>
            <w:tcW w:w="680" w:type="dxa"/>
            <w:vMerge w:val="continue"/>
            <w:shd w:val="clear" w:color="auto" w:fill="A1B8E1" w:themeFill="accent5" w:themeFillTint="7F"/>
            <w:vAlign w:val="center"/>
          </w:tcPr>
          <w:p>
            <w:pPr>
              <w:spacing w:line="180" w:lineRule="auto"/>
              <w:ind w:firstLine="0" w:firstLineChars="0"/>
              <w:jc w:val="center"/>
              <w:rPr>
                <w:rFonts w:ascii="仿宋_GB2312"/>
                <w:b/>
                <w:bCs/>
                <w:sz w:val="21"/>
                <w:szCs w:val="21"/>
              </w:rPr>
            </w:pPr>
          </w:p>
        </w:tc>
        <w:tc>
          <w:tcPr>
            <w:tcW w:w="1191"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2024</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10000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5000</w:t>
            </w:r>
          </w:p>
        </w:tc>
        <w:tc>
          <w:tcPr>
            <w:tcW w:w="1531"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800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500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300</w:t>
            </w:r>
          </w:p>
        </w:tc>
        <w:tc>
          <w:tcPr>
            <w:tcW w:w="1066"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5000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340" w:hRule="atLeast"/>
        </w:trPr>
        <w:tc>
          <w:tcPr>
            <w:tcW w:w="680" w:type="dxa"/>
            <w:vMerge w:val="restart"/>
            <w:shd w:val="clear" w:color="auto" w:fill="D0DCF0" w:themeFill="accent5" w:themeFillTint="3F"/>
            <w:vAlign w:val="center"/>
          </w:tcPr>
          <w:p>
            <w:pPr>
              <w:spacing w:line="180" w:lineRule="auto"/>
              <w:ind w:firstLine="0" w:firstLineChars="0"/>
              <w:jc w:val="center"/>
              <w:rPr>
                <w:rFonts w:ascii="仿宋_GB2312"/>
                <w:b/>
                <w:bCs/>
                <w:sz w:val="21"/>
                <w:szCs w:val="21"/>
              </w:rPr>
            </w:pPr>
            <w:r>
              <w:rPr>
                <w:rFonts w:ascii="仿宋_GB2312"/>
                <w:b/>
                <w:bCs/>
                <w:sz w:val="21"/>
                <w:szCs w:val="21"/>
              </w:rPr>
              <w:t>后期</w:t>
            </w:r>
          </w:p>
        </w:tc>
        <w:tc>
          <w:tcPr>
            <w:tcW w:w="1191"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2025</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20000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10000</w:t>
            </w:r>
          </w:p>
        </w:tc>
        <w:tc>
          <w:tcPr>
            <w:tcW w:w="1531"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2000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1000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500</w:t>
            </w:r>
          </w:p>
        </w:tc>
        <w:tc>
          <w:tcPr>
            <w:tcW w:w="1066"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10000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340" w:hRule="atLeast"/>
        </w:trPr>
        <w:tc>
          <w:tcPr>
            <w:tcW w:w="680" w:type="dxa"/>
            <w:vMerge w:val="continue"/>
            <w:shd w:val="clear" w:color="auto" w:fill="A1B8E1" w:themeFill="accent5" w:themeFillTint="7F"/>
            <w:vAlign w:val="center"/>
          </w:tcPr>
          <w:p>
            <w:pPr>
              <w:spacing w:line="180" w:lineRule="auto"/>
              <w:ind w:firstLine="0" w:firstLineChars="0"/>
              <w:jc w:val="center"/>
              <w:rPr>
                <w:rFonts w:ascii="仿宋_GB2312"/>
                <w:b/>
                <w:bCs/>
                <w:sz w:val="21"/>
                <w:szCs w:val="21"/>
              </w:rPr>
            </w:pPr>
          </w:p>
        </w:tc>
        <w:tc>
          <w:tcPr>
            <w:tcW w:w="1191"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2026</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40000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15000</w:t>
            </w:r>
          </w:p>
        </w:tc>
        <w:tc>
          <w:tcPr>
            <w:tcW w:w="1531"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2500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1500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1000</w:t>
            </w:r>
          </w:p>
        </w:tc>
        <w:tc>
          <w:tcPr>
            <w:tcW w:w="1066"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20000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340" w:hRule="atLeast"/>
        </w:trPr>
        <w:tc>
          <w:tcPr>
            <w:tcW w:w="680" w:type="dxa"/>
            <w:vMerge w:val="continue"/>
            <w:shd w:val="clear" w:color="auto" w:fill="D0DCF0" w:themeFill="accent5" w:themeFillTint="3F"/>
            <w:vAlign w:val="center"/>
          </w:tcPr>
          <w:p>
            <w:pPr>
              <w:spacing w:line="180" w:lineRule="auto"/>
              <w:ind w:firstLine="0" w:firstLineChars="0"/>
              <w:jc w:val="center"/>
              <w:rPr>
                <w:rFonts w:ascii="仿宋_GB2312"/>
                <w:b/>
                <w:bCs/>
                <w:sz w:val="21"/>
                <w:szCs w:val="21"/>
              </w:rPr>
            </w:pPr>
          </w:p>
        </w:tc>
        <w:tc>
          <w:tcPr>
            <w:tcW w:w="1191"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2027</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50000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25000</w:t>
            </w:r>
          </w:p>
        </w:tc>
        <w:tc>
          <w:tcPr>
            <w:tcW w:w="1531"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3000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1800</w:t>
            </w:r>
          </w:p>
        </w:tc>
        <w:tc>
          <w:tcPr>
            <w:tcW w:w="1304"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1200</w:t>
            </w:r>
          </w:p>
        </w:tc>
        <w:tc>
          <w:tcPr>
            <w:tcW w:w="1066" w:type="dxa"/>
            <w:shd w:val="clear" w:color="auto" w:fill="D0DCF0" w:themeFill="accent5" w:themeFillTint="3F"/>
            <w:vAlign w:val="center"/>
          </w:tcPr>
          <w:p>
            <w:pPr>
              <w:spacing w:line="180" w:lineRule="auto"/>
              <w:ind w:firstLine="0" w:firstLineChars="0"/>
              <w:jc w:val="center"/>
              <w:rPr>
                <w:rFonts w:ascii="仿宋_GB2312"/>
                <w:sz w:val="21"/>
                <w:szCs w:val="21"/>
              </w:rPr>
            </w:pPr>
            <w:r>
              <w:rPr>
                <w:rFonts w:hint="eastAsia" w:ascii="仿宋_GB2312"/>
                <w:sz w:val="21"/>
                <w:szCs w:val="21"/>
              </w:rPr>
              <w:t>35000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680" w:type="dxa"/>
            <w:vMerge w:val="continue"/>
            <w:shd w:val="clear" w:color="auto" w:fill="A1B8E1" w:themeFill="accent5" w:themeFillTint="7F"/>
            <w:vAlign w:val="center"/>
          </w:tcPr>
          <w:p>
            <w:pPr>
              <w:spacing w:line="180" w:lineRule="auto"/>
              <w:ind w:firstLine="0" w:firstLineChars="0"/>
              <w:jc w:val="center"/>
              <w:rPr>
                <w:rFonts w:ascii="仿宋_GB2312"/>
                <w:b/>
                <w:bCs/>
                <w:sz w:val="21"/>
                <w:szCs w:val="21"/>
              </w:rPr>
            </w:pPr>
          </w:p>
        </w:tc>
        <w:tc>
          <w:tcPr>
            <w:tcW w:w="1191"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2028</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80000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50000</w:t>
            </w:r>
          </w:p>
        </w:tc>
        <w:tc>
          <w:tcPr>
            <w:tcW w:w="1531"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4000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2500</w:t>
            </w:r>
          </w:p>
        </w:tc>
        <w:tc>
          <w:tcPr>
            <w:tcW w:w="1304"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1500</w:t>
            </w:r>
          </w:p>
        </w:tc>
        <w:tc>
          <w:tcPr>
            <w:tcW w:w="1066" w:type="dxa"/>
            <w:shd w:val="clear" w:color="auto" w:fill="A1B8E1" w:themeFill="accent5" w:themeFillTint="7F"/>
            <w:vAlign w:val="center"/>
          </w:tcPr>
          <w:p>
            <w:pPr>
              <w:spacing w:line="180" w:lineRule="auto"/>
              <w:ind w:firstLine="0" w:firstLineChars="0"/>
              <w:jc w:val="center"/>
              <w:rPr>
                <w:rFonts w:ascii="仿宋_GB2312"/>
                <w:sz w:val="21"/>
                <w:szCs w:val="21"/>
              </w:rPr>
            </w:pPr>
            <w:r>
              <w:rPr>
                <w:rFonts w:hint="eastAsia" w:ascii="仿宋_GB2312"/>
                <w:sz w:val="21"/>
                <w:szCs w:val="21"/>
              </w:rPr>
              <w:t>50000</w:t>
            </w:r>
          </w:p>
        </w:tc>
      </w:tr>
    </w:tbl>
    <w:p>
      <w:pPr>
        <w:spacing w:line="240" w:lineRule="auto"/>
        <w:ind w:firstLine="0" w:firstLineChars="0"/>
        <w:jc w:val="left"/>
        <w:rPr>
          <w:rFonts w:ascii="仿宋_GB2312"/>
          <w:sz w:val="21"/>
          <w:szCs w:val="24"/>
        </w:rPr>
      </w:pPr>
      <w:r>
        <w:rPr>
          <w:rFonts w:hint="eastAsia" w:ascii="仿宋_GB2312"/>
          <w:sz w:val="21"/>
          <w:szCs w:val="24"/>
        </w:rPr>
        <w:t>注：前期每年开具处方数为每年新增稳定注册用户数量的0.1%，中期每年开具处方数为每年新增稳定注册用户数量的0.5%，后期每年开具处方数为每年新增稳定注册用户数量的1%。</w:t>
      </w:r>
    </w:p>
    <w:p>
      <w:pPr>
        <w:spacing w:before="190" w:beforeLines="50" w:line="240" w:lineRule="auto"/>
        <w:ind w:firstLine="0" w:firstLineChars="0"/>
        <w:jc w:val="center"/>
        <w:rPr>
          <w:rFonts w:ascii="仿宋_GB2312"/>
          <w:sz w:val="21"/>
          <w:szCs w:val="24"/>
        </w:rPr>
      </w:pPr>
      <w:r>
        <w:rPr>
          <w:rFonts w:hint="eastAsia" w:ascii="仿宋_GB2312"/>
          <w:sz w:val="21"/>
          <w:szCs w:val="24"/>
        </w:rPr>
        <w:t>表2-6十年预算收入表</w:t>
      </w:r>
    </w:p>
    <w:p>
      <w:pPr>
        <w:tabs>
          <w:tab w:val="left" w:pos="2445"/>
          <w:tab w:val="right" w:pos="8306"/>
        </w:tabs>
        <w:spacing w:line="240" w:lineRule="auto"/>
        <w:ind w:firstLine="0" w:firstLineChars="0"/>
        <w:jc w:val="left"/>
        <w:rPr>
          <w:rFonts w:ascii="仿宋_GB2312"/>
          <w:sz w:val="21"/>
          <w:szCs w:val="24"/>
        </w:rPr>
      </w:pPr>
      <w:r>
        <w:rPr>
          <w:rFonts w:ascii="仿宋_GB2312"/>
          <w:sz w:val="21"/>
          <w:szCs w:val="24"/>
        </w:rPr>
        <w:tab/>
      </w:r>
      <w:r>
        <w:rPr>
          <w:rFonts w:ascii="仿宋_GB2312"/>
          <w:sz w:val="21"/>
          <w:szCs w:val="24"/>
        </w:rPr>
        <w:tab/>
      </w:r>
      <w:r>
        <w:rPr>
          <w:rFonts w:hint="eastAsia" w:ascii="仿宋_GB2312"/>
          <w:sz w:val="21"/>
          <w:szCs w:val="24"/>
        </w:rPr>
        <w:t>（单位:万元）</w:t>
      </w:r>
    </w:p>
    <w:tbl>
      <w:tblPr>
        <w:tblStyle w:val="39"/>
        <w:tblW w:w="9994" w:type="dxa"/>
        <w:tblInd w:w="0" w:type="dxa"/>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Layout w:type="autofit"/>
        <w:tblCellMar>
          <w:top w:w="0" w:type="dxa"/>
          <w:left w:w="108" w:type="dxa"/>
          <w:bottom w:w="0" w:type="dxa"/>
          <w:right w:w="108" w:type="dxa"/>
        </w:tblCellMar>
      </w:tblPr>
      <w:tblGrid>
        <w:gridCol w:w="1304"/>
        <w:gridCol w:w="733"/>
        <w:gridCol w:w="733"/>
        <w:gridCol w:w="756"/>
        <w:gridCol w:w="846"/>
        <w:gridCol w:w="846"/>
        <w:gridCol w:w="846"/>
        <w:gridCol w:w="939"/>
        <w:gridCol w:w="939"/>
        <w:gridCol w:w="1026"/>
        <w:gridCol w:w="1026"/>
      </w:tblGrid>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304" w:type="dxa"/>
            <w:shd w:val="clear" w:color="auto" w:fill="D0DCF0" w:themeFill="accent5" w:themeFillTint="3F"/>
          </w:tcPr>
          <w:p>
            <w:pPr>
              <w:spacing w:line="240" w:lineRule="auto"/>
              <w:ind w:firstLine="0" w:firstLineChars="0"/>
              <w:jc w:val="center"/>
              <w:rPr>
                <w:rFonts w:ascii="仿宋_GB2312"/>
                <w:b/>
                <w:bCs/>
                <w:sz w:val="18"/>
                <w:szCs w:val="18"/>
              </w:rPr>
            </w:pPr>
            <w:r>
              <w:rPr>
                <w:rFonts w:hint="eastAsia" w:ascii="仿宋_GB2312"/>
                <w:b/>
                <w:bCs/>
                <w:sz w:val="18"/>
                <w:szCs w:val="18"/>
              </w:rPr>
              <w:t>时期</w:t>
            </w:r>
          </w:p>
        </w:tc>
        <w:tc>
          <w:tcPr>
            <w:tcW w:w="1466" w:type="dxa"/>
            <w:gridSpan w:val="2"/>
            <w:shd w:val="clear" w:color="auto" w:fill="D0DCF0" w:themeFill="accent5" w:themeFillTint="3F"/>
          </w:tcPr>
          <w:p>
            <w:pPr>
              <w:spacing w:line="240" w:lineRule="auto"/>
              <w:ind w:firstLine="0" w:firstLineChars="0"/>
              <w:jc w:val="center"/>
              <w:rPr>
                <w:rFonts w:ascii="仿宋_GB2312"/>
                <w:b/>
                <w:bCs/>
                <w:sz w:val="18"/>
                <w:szCs w:val="18"/>
              </w:rPr>
            </w:pPr>
            <w:r>
              <w:rPr>
                <w:rFonts w:hint="eastAsia" w:ascii="仿宋_GB2312"/>
                <w:b/>
                <w:bCs/>
                <w:sz w:val="18"/>
                <w:szCs w:val="18"/>
              </w:rPr>
              <w:t>初期</w:t>
            </w:r>
          </w:p>
        </w:tc>
        <w:tc>
          <w:tcPr>
            <w:tcW w:w="3294" w:type="dxa"/>
            <w:gridSpan w:val="4"/>
            <w:shd w:val="clear" w:color="auto" w:fill="D0DCF0" w:themeFill="accent5" w:themeFillTint="3F"/>
          </w:tcPr>
          <w:p>
            <w:pPr>
              <w:spacing w:line="240" w:lineRule="auto"/>
              <w:ind w:firstLine="0" w:firstLineChars="0"/>
              <w:jc w:val="center"/>
              <w:rPr>
                <w:rFonts w:ascii="仿宋_GB2312"/>
                <w:b/>
                <w:bCs/>
                <w:sz w:val="18"/>
                <w:szCs w:val="18"/>
              </w:rPr>
            </w:pPr>
            <w:r>
              <w:rPr>
                <w:rFonts w:hint="eastAsia" w:ascii="仿宋_GB2312"/>
                <w:b/>
                <w:bCs/>
                <w:sz w:val="18"/>
                <w:szCs w:val="18"/>
              </w:rPr>
              <w:t>中期</w:t>
            </w:r>
          </w:p>
        </w:tc>
        <w:tc>
          <w:tcPr>
            <w:tcW w:w="3930" w:type="dxa"/>
            <w:gridSpan w:val="4"/>
            <w:shd w:val="clear" w:color="auto" w:fill="D0DCF0" w:themeFill="accent5" w:themeFillTint="3F"/>
          </w:tcPr>
          <w:p>
            <w:pPr>
              <w:spacing w:line="240" w:lineRule="auto"/>
              <w:ind w:firstLine="0" w:firstLineChars="0"/>
              <w:jc w:val="center"/>
              <w:rPr>
                <w:rFonts w:ascii="仿宋_GB2312"/>
                <w:b/>
                <w:bCs/>
                <w:sz w:val="18"/>
                <w:szCs w:val="18"/>
              </w:rPr>
            </w:pPr>
            <w:r>
              <w:rPr>
                <w:rFonts w:hint="eastAsia" w:ascii="仿宋_GB2312"/>
                <w:b/>
                <w:bCs/>
                <w:sz w:val="18"/>
                <w:szCs w:val="18"/>
              </w:rPr>
              <w:t>后期</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304" w:type="dxa"/>
            <w:shd w:val="clear" w:color="auto" w:fill="A1B8E1" w:themeFill="accent5" w:themeFillTint="7F"/>
          </w:tcPr>
          <w:p>
            <w:pPr>
              <w:spacing w:line="240" w:lineRule="auto"/>
              <w:ind w:firstLine="0" w:firstLineChars="0"/>
              <w:jc w:val="center"/>
              <w:rPr>
                <w:rFonts w:ascii="仿宋_GB2312"/>
                <w:b/>
                <w:bCs/>
                <w:sz w:val="18"/>
                <w:szCs w:val="18"/>
              </w:rPr>
            </w:pPr>
            <w:r>
              <w:rPr>
                <w:rFonts w:hint="eastAsia" w:ascii="仿宋_GB2312"/>
                <w:b/>
                <w:bCs/>
                <w:sz w:val="18"/>
                <w:szCs w:val="18"/>
              </w:rPr>
              <w:t>项目/年份</w:t>
            </w:r>
          </w:p>
        </w:tc>
        <w:tc>
          <w:tcPr>
            <w:tcW w:w="733"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2019</w:t>
            </w:r>
          </w:p>
        </w:tc>
        <w:tc>
          <w:tcPr>
            <w:tcW w:w="733"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2020</w:t>
            </w:r>
          </w:p>
        </w:tc>
        <w:tc>
          <w:tcPr>
            <w:tcW w:w="75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2021</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2022</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2023</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2024</w:t>
            </w:r>
          </w:p>
        </w:tc>
        <w:tc>
          <w:tcPr>
            <w:tcW w:w="939"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2025</w:t>
            </w:r>
          </w:p>
        </w:tc>
        <w:tc>
          <w:tcPr>
            <w:tcW w:w="939"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2026</w:t>
            </w:r>
          </w:p>
        </w:tc>
        <w:tc>
          <w:tcPr>
            <w:tcW w:w="102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2027</w:t>
            </w:r>
          </w:p>
        </w:tc>
        <w:tc>
          <w:tcPr>
            <w:tcW w:w="102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2028</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304" w:type="dxa"/>
            <w:shd w:val="clear" w:color="auto" w:fill="D0DCF0" w:themeFill="accent5" w:themeFillTint="3F"/>
          </w:tcPr>
          <w:p>
            <w:pPr>
              <w:spacing w:line="240" w:lineRule="auto"/>
              <w:ind w:firstLine="0" w:firstLineChars="0"/>
              <w:jc w:val="center"/>
              <w:rPr>
                <w:rFonts w:ascii="仿宋_GB2312"/>
                <w:b/>
                <w:bCs/>
                <w:sz w:val="18"/>
                <w:szCs w:val="18"/>
              </w:rPr>
            </w:pPr>
            <w:r>
              <w:rPr>
                <w:rFonts w:hint="eastAsia" w:ascii="仿宋_GB2312"/>
                <w:b/>
                <w:bCs/>
                <w:sz w:val="18"/>
                <w:szCs w:val="18"/>
              </w:rPr>
              <w:t>处方提成</w:t>
            </w:r>
          </w:p>
        </w:tc>
        <w:tc>
          <w:tcPr>
            <w:tcW w:w="733"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1.161</w:t>
            </w:r>
          </w:p>
        </w:tc>
        <w:tc>
          <w:tcPr>
            <w:tcW w:w="733"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1.935</w:t>
            </w:r>
          </w:p>
        </w:tc>
        <w:tc>
          <w:tcPr>
            <w:tcW w:w="75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3.870</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26.820</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35.760</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44.700</w:t>
            </w:r>
          </w:p>
        </w:tc>
        <w:tc>
          <w:tcPr>
            <w:tcW w:w="939"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152.100</w:t>
            </w:r>
          </w:p>
        </w:tc>
        <w:tc>
          <w:tcPr>
            <w:tcW w:w="939"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202.800</w:t>
            </w:r>
          </w:p>
        </w:tc>
        <w:tc>
          <w:tcPr>
            <w:tcW w:w="102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253.500</w:t>
            </w:r>
          </w:p>
        </w:tc>
        <w:tc>
          <w:tcPr>
            <w:tcW w:w="102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405.600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304" w:type="dxa"/>
            <w:shd w:val="clear" w:color="auto" w:fill="A1B8E1" w:themeFill="accent5" w:themeFillTint="7F"/>
          </w:tcPr>
          <w:p>
            <w:pPr>
              <w:spacing w:line="240" w:lineRule="auto"/>
              <w:ind w:firstLine="0" w:firstLineChars="0"/>
              <w:jc w:val="center"/>
              <w:rPr>
                <w:rFonts w:ascii="仿宋_GB2312"/>
                <w:b/>
                <w:bCs/>
                <w:sz w:val="18"/>
                <w:szCs w:val="18"/>
              </w:rPr>
            </w:pPr>
            <w:r>
              <w:rPr>
                <w:rFonts w:hint="eastAsia" w:ascii="仿宋_GB2312"/>
                <w:b/>
                <w:bCs/>
                <w:sz w:val="18"/>
                <w:szCs w:val="18"/>
              </w:rPr>
              <w:t>医疗方案提成</w:t>
            </w:r>
          </w:p>
        </w:tc>
        <w:tc>
          <w:tcPr>
            <w:tcW w:w="733"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0.478</w:t>
            </w:r>
          </w:p>
        </w:tc>
        <w:tc>
          <w:tcPr>
            <w:tcW w:w="733"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0.956</w:t>
            </w:r>
          </w:p>
        </w:tc>
        <w:tc>
          <w:tcPr>
            <w:tcW w:w="75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3.824</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17.940</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35.880</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59.800</w:t>
            </w:r>
          </w:p>
        </w:tc>
        <w:tc>
          <w:tcPr>
            <w:tcW w:w="939"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131.600</w:t>
            </w:r>
          </w:p>
        </w:tc>
        <w:tc>
          <w:tcPr>
            <w:tcW w:w="939"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197.400</w:t>
            </w:r>
          </w:p>
        </w:tc>
        <w:tc>
          <w:tcPr>
            <w:tcW w:w="102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32900.000</w:t>
            </w:r>
          </w:p>
        </w:tc>
        <w:tc>
          <w:tcPr>
            <w:tcW w:w="102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65800.000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304" w:type="dxa"/>
            <w:shd w:val="clear" w:color="auto" w:fill="D0DCF0" w:themeFill="accent5" w:themeFillTint="3F"/>
          </w:tcPr>
          <w:p>
            <w:pPr>
              <w:spacing w:line="240" w:lineRule="auto"/>
              <w:ind w:firstLine="0" w:firstLineChars="0"/>
              <w:jc w:val="center"/>
              <w:rPr>
                <w:rFonts w:ascii="仿宋_GB2312"/>
                <w:b/>
                <w:bCs/>
                <w:sz w:val="18"/>
                <w:szCs w:val="18"/>
              </w:rPr>
            </w:pPr>
            <w:r>
              <w:rPr>
                <w:rFonts w:hint="eastAsia" w:ascii="仿宋_GB2312"/>
                <w:b/>
                <w:bCs/>
                <w:sz w:val="18"/>
                <w:szCs w:val="18"/>
              </w:rPr>
              <w:t>私人医生包月费用提成</w:t>
            </w:r>
          </w:p>
        </w:tc>
        <w:tc>
          <w:tcPr>
            <w:tcW w:w="733"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0.395</w:t>
            </w:r>
          </w:p>
        </w:tc>
        <w:tc>
          <w:tcPr>
            <w:tcW w:w="733"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1.518</w:t>
            </w:r>
          </w:p>
        </w:tc>
        <w:tc>
          <w:tcPr>
            <w:tcW w:w="75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3.634</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15.176</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25.960</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41.136</w:t>
            </w:r>
          </w:p>
        </w:tc>
        <w:tc>
          <w:tcPr>
            <w:tcW w:w="939"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97.860</w:t>
            </w:r>
          </w:p>
        </w:tc>
        <w:tc>
          <w:tcPr>
            <w:tcW w:w="939"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149.800</w:t>
            </w:r>
          </w:p>
        </w:tc>
        <w:tc>
          <w:tcPr>
            <w:tcW w:w="102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179.760</w:t>
            </w:r>
          </w:p>
        </w:tc>
        <w:tc>
          <w:tcPr>
            <w:tcW w:w="102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237.680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304" w:type="dxa"/>
            <w:shd w:val="clear" w:color="auto" w:fill="A1B8E1" w:themeFill="accent5" w:themeFillTint="7F"/>
          </w:tcPr>
          <w:p>
            <w:pPr>
              <w:spacing w:line="240" w:lineRule="auto"/>
              <w:ind w:firstLine="0" w:firstLineChars="0"/>
              <w:jc w:val="center"/>
              <w:rPr>
                <w:rFonts w:ascii="仿宋_GB2312"/>
                <w:b/>
                <w:bCs/>
                <w:sz w:val="18"/>
                <w:szCs w:val="18"/>
              </w:rPr>
            </w:pPr>
            <w:r>
              <w:rPr>
                <w:rFonts w:hint="eastAsia" w:ascii="仿宋_GB2312"/>
                <w:b/>
                <w:bCs/>
                <w:sz w:val="18"/>
                <w:szCs w:val="18"/>
              </w:rPr>
              <w:t>会诊室提成</w:t>
            </w:r>
          </w:p>
        </w:tc>
        <w:tc>
          <w:tcPr>
            <w:tcW w:w="733"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w:t>
            </w:r>
          </w:p>
        </w:tc>
        <w:tc>
          <w:tcPr>
            <w:tcW w:w="733"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w:t>
            </w:r>
          </w:p>
        </w:tc>
        <w:tc>
          <w:tcPr>
            <w:tcW w:w="75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23.96</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47.92</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119.80</w:t>
            </w:r>
          </w:p>
        </w:tc>
        <w:tc>
          <w:tcPr>
            <w:tcW w:w="939"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255.60</w:t>
            </w:r>
          </w:p>
        </w:tc>
        <w:tc>
          <w:tcPr>
            <w:tcW w:w="939"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511.20</w:t>
            </w:r>
          </w:p>
        </w:tc>
        <w:tc>
          <w:tcPr>
            <w:tcW w:w="102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894.60</w:t>
            </w:r>
          </w:p>
        </w:tc>
        <w:tc>
          <w:tcPr>
            <w:tcW w:w="102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1278.00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304" w:type="dxa"/>
            <w:shd w:val="clear" w:color="auto" w:fill="D0DCF0" w:themeFill="accent5" w:themeFillTint="3F"/>
          </w:tcPr>
          <w:p>
            <w:pPr>
              <w:spacing w:line="240" w:lineRule="auto"/>
              <w:ind w:firstLine="0" w:firstLineChars="0"/>
              <w:jc w:val="center"/>
              <w:rPr>
                <w:rFonts w:ascii="仿宋_GB2312"/>
                <w:b/>
                <w:bCs/>
                <w:sz w:val="18"/>
                <w:szCs w:val="18"/>
              </w:rPr>
            </w:pPr>
            <w:r>
              <w:rPr>
                <w:rFonts w:hint="eastAsia" w:ascii="仿宋_GB2312"/>
                <w:b/>
                <w:bCs/>
                <w:sz w:val="18"/>
                <w:szCs w:val="18"/>
              </w:rPr>
              <w:t>药房收入</w:t>
            </w:r>
          </w:p>
        </w:tc>
        <w:tc>
          <w:tcPr>
            <w:tcW w:w="733"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0</w:t>
            </w:r>
          </w:p>
        </w:tc>
        <w:tc>
          <w:tcPr>
            <w:tcW w:w="733"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0</w:t>
            </w:r>
          </w:p>
        </w:tc>
        <w:tc>
          <w:tcPr>
            <w:tcW w:w="75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0</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10</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30</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50</w:t>
            </w:r>
          </w:p>
        </w:tc>
        <w:tc>
          <w:tcPr>
            <w:tcW w:w="939"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100</w:t>
            </w:r>
          </w:p>
        </w:tc>
        <w:tc>
          <w:tcPr>
            <w:tcW w:w="939"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200</w:t>
            </w:r>
          </w:p>
        </w:tc>
        <w:tc>
          <w:tcPr>
            <w:tcW w:w="102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350</w:t>
            </w:r>
          </w:p>
        </w:tc>
        <w:tc>
          <w:tcPr>
            <w:tcW w:w="102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500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304" w:type="dxa"/>
            <w:shd w:val="clear" w:color="auto" w:fill="A1B8E1" w:themeFill="accent5" w:themeFillTint="7F"/>
          </w:tcPr>
          <w:p>
            <w:pPr>
              <w:spacing w:line="240" w:lineRule="auto"/>
              <w:ind w:firstLine="0" w:firstLineChars="0"/>
              <w:jc w:val="center"/>
              <w:rPr>
                <w:rFonts w:ascii="仿宋_GB2312"/>
                <w:b/>
                <w:bCs/>
                <w:sz w:val="18"/>
                <w:szCs w:val="18"/>
              </w:rPr>
            </w:pPr>
            <w:r>
              <w:rPr>
                <w:rFonts w:hint="eastAsia" w:ascii="仿宋_GB2312"/>
                <w:b/>
                <w:bCs/>
                <w:sz w:val="18"/>
                <w:szCs w:val="18"/>
              </w:rPr>
              <w:t>广告收入</w:t>
            </w:r>
          </w:p>
        </w:tc>
        <w:tc>
          <w:tcPr>
            <w:tcW w:w="733"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w:t>
            </w:r>
          </w:p>
        </w:tc>
        <w:tc>
          <w:tcPr>
            <w:tcW w:w="733"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w:t>
            </w:r>
          </w:p>
        </w:tc>
        <w:tc>
          <w:tcPr>
            <w:tcW w:w="75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40</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70</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150</w:t>
            </w:r>
          </w:p>
        </w:tc>
        <w:tc>
          <w:tcPr>
            <w:tcW w:w="939"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400</w:t>
            </w:r>
          </w:p>
        </w:tc>
        <w:tc>
          <w:tcPr>
            <w:tcW w:w="939"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1000</w:t>
            </w:r>
          </w:p>
        </w:tc>
        <w:tc>
          <w:tcPr>
            <w:tcW w:w="102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1650</w:t>
            </w:r>
          </w:p>
        </w:tc>
        <w:tc>
          <w:tcPr>
            <w:tcW w:w="102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3500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304" w:type="dxa"/>
            <w:shd w:val="clear" w:color="auto" w:fill="D0DCF0" w:themeFill="accent5" w:themeFillTint="3F"/>
          </w:tcPr>
          <w:p>
            <w:pPr>
              <w:spacing w:line="240" w:lineRule="auto"/>
              <w:ind w:firstLine="0" w:firstLineChars="0"/>
              <w:jc w:val="center"/>
              <w:rPr>
                <w:rFonts w:ascii="仿宋_GB2312"/>
                <w:b/>
                <w:bCs/>
                <w:sz w:val="18"/>
                <w:szCs w:val="18"/>
              </w:rPr>
            </w:pPr>
            <w:r>
              <w:rPr>
                <w:rFonts w:hint="eastAsia" w:ascii="仿宋_GB2312"/>
                <w:b/>
                <w:bCs/>
                <w:sz w:val="18"/>
                <w:szCs w:val="18"/>
              </w:rPr>
              <w:t>文献查询收入</w:t>
            </w:r>
          </w:p>
        </w:tc>
        <w:tc>
          <w:tcPr>
            <w:tcW w:w="733"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0</w:t>
            </w:r>
          </w:p>
        </w:tc>
        <w:tc>
          <w:tcPr>
            <w:tcW w:w="733"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0</w:t>
            </w:r>
          </w:p>
        </w:tc>
        <w:tc>
          <w:tcPr>
            <w:tcW w:w="75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0</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10</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30</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50</w:t>
            </w:r>
          </w:p>
        </w:tc>
        <w:tc>
          <w:tcPr>
            <w:tcW w:w="939"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80</w:t>
            </w:r>
          </w:p>
        </w:tc>
        <w:tc>
          <w:tcPr>
            <w:tcW w:w="939"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100</w:t>
            </w:r>
          </w:p>
        </w:tc>
        <w:tc>
          <w:tcPr>
            <w:tcW w:w="102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150</w:t>
            </w:r>
          </w:p>
        </w:tc>
        <w:tc>
          <w:tcPr>
            <w:tcW w:w="102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200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304" w:type="dxa"/>
            <w:shd w:val="clear" w:color="auto" w:fill="A1B8E1" w:themeFill="accent5" w:themeFillTint="7F"/>
          </w:tcPr>
          <w:p>
            <w:pPr>
              <w:spacing w:line="240" w:lineRule="auto"/>
              <w:ind w:firstLine="0" w:firstLineChars="0"/>
              <w:jc w:val="center"/>
              <w:rPr>
                <w:rFonts w:ascii="仿宋_GB2312"/>
                <w:b/>
                <w:bCs/>
                <w:sz w:val="18"/>
                <w:szCs w:val="18"/>
              </w:rPr>
            </w:pPr>
            <w:r>
              <w:rPr>
                <w:rFonts w:hint="eastAsia" w:ascii="仿宋_GB2312"/>
                <w:b/>
                <w:bCs/>
                <w:sz w:val="18"/>
                <w:szCs w:val="18"/>
              </w:rPr>
              <w:t>大数据服务费</w:t>
            </w:r>
          </w:p>
        </w:tc>
        <w:tc>
          <w:tcPr>
            <w:tcW w:w="733"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w:t>
            </w:r>
          </w:p>
        </w:tc>
        <w:tc>
          <w:tcPr>
            <w:tcW w:w="733"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w:t>
            </w:r>
          </w:p>
        </w:tc>
        <w:tc>
          <w:tcPr>
            <w:tcW w:w="75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w:t>
            </w:r>
          </w:p>
        </w:tc>
        <w:tc>
          <w:tcPr>
            <w:tcW w:w="84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0</w:t>
            </w:r>
          </w:p>
        </w:tc>
        <w:tc>
          <w:tcPr>
            <w:tcW w:w="939"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500</w:t>
            </w:r>
          </w:p>
        </w:tc>
        <w:tc>
          <w:tcPr>
            <w:tcW w:w="939"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1000</w:t>
            </w:r>
          </w:p>
        </w:tc>
        <w:tc>
          <w:tcPr>
            <w:tcW w:w="102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2000</w:t>
            </w:r>
          </w:p>
        </w:tc>
        <w:tc>
          <w:tcPr>
            <w:tcW w:w="1026" w:type="dxa"/>
            <w:shd w:val="clear" w:color="auto" w:fill="A1B8E1" w:themeFill="accent5" w:themeFillTint="7F"/>
          </w:tcPr>
          <w:p>
            <w:pPr>
              <w:spacing w:line="240" w:lineRule="auto"/>
              <w:ind w:firstLine="0" w:firstLineChars="0"/>
              <w:jc w:val="center"/>
              <w:rPr>
                <w:rFonts w:ascii="仿宋_GB2312"/>
                <w:sz w:val="18"/>
                <w:szCs w:val="18"/>
              </w:rPr>
            </w:pPr>
            <w:r>
              <w:rPr>
                <w:rFonts w:hint="eastAsia" w:ascii="仿宋_GB2312"/>
                <w:sz w:val="18"/>
                <w:szCs w:val="18"/>
              </w:rPr>
              <w:t>5000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304" w:type="dxa"/>
            <w:shd w:val="clear" w:color="auto" w:fill="D0DCF0" w:themeFill="accent5" w:themeFillTint="3F"/>
          </w:tcPr>
          <w:p>
            <w:pPr>
              <w:spacing w:line="240" w:lineRule="auto"/>
              <w:ind w:firstLine="0" w:firstLineChars="0"/>
              <w:jc w:val="center"/>
              <w:rPr>
                <w:rFonts w:ascii="仿宋_GB2312"/>
                <w:b/>
                <w:bCs/>
                <w:sz w:val="18"/>
                <w:szCs w:val="18"/>
              </w:rPr>
            </w:pPr>
            <w:r>
              <w:rPr>
                <w:rFonts w:hint="eastAsia" w:ascii="仿宋_GB2312"/>
                <w:b/>
                <w:bCs/>
                <w:sz w:val="18"/>
                <w:szCs w:val="18"/>
              </w:rPr>
              <w:t>合计</w:t>
            </w:r>
          </w:p>
        </w:tc>
        <w:tc>
          <w:tcPr>
            <w:tcW w:w="733"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2.034</w:t>
            </w:r>
          </w:p>
        </w:tc>
        <w:tc>
          <w:tcPr>
            <w:tcW w:w="733"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4.409</w:t>
            </w:r>
          </w:p>
        </w:tc>
        <w:tc>
          <w:tcPr>
            <w:tcW w:w="75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11.328</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143.896</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275.520</w:t>
            </w:r>
          </w:p>
        </w:tc>
        <w:tc>
          <w:tcPr>
            <w:tcW w:w="84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515.436</w:t>
            </w:r>
          </w:p>
        </w:tc>
        <w:tc>
          <w:tcPr>
            <w:tcW w:w="939"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1619.300</w:t>
            </w:r>
          </w:p>
        </w:tc>
        <w:tc>
          <w:tcPr>
            <w:tcW w:w="939"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3361.200</w:t>
            </w:r>
          </w:p>
        </w:tc>
        <w:tc>
          <w:tcPr>
            <w:tcW w:w="102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5806.860</w:t>
            </w:r>
          </w:p>
        </w:tc>
        <w:tc>
          <w:tcPr>
            <w:tcW w:w="1026" w:type="dxa"/>
            <w:shd w:val="clear" w:color="auto" w:fill="D0DCF0" w:themeFill="accent5" w:themeFillTint="3F"/>
          </w:tcPr>
          <w:p>
            <w:pPr>
              <w:spacing w:line="240" w:lineRule="auto"/>
              <w:ind w:firstLine="0" w:firstLineChars="0"/>
              <w:jc w:val="center"/>
              <w:rPr>
                <w:rFonts w:ascii="仿宋_GB2312"/>
                <w:sz w:val="18"/>
                <w:szCs w:val="18"/>
              </w:rPr>
            </w:pPr>
            <w:r>
              <w:rPr>
                <w:rFonts w:hint="eastAsia" w:ascii="仿宋_GB2312"/>
                <w:sz w:val="18"/>
                <w:szCs w:val="18"/>
              </w:rPr>
              <w:t>11779.280</w:t>
            </w:r>
          </w:p>
        </w:tc>
      </w:tr>
    </w:tbl>
    <w:p>
      <w:pPr>
        <w:spacing w:line="240" w:lineRule="auto"/>
        <w:ind w:firstLine="0" w:firstLineChars="0"/>
        <w:jc w:val="left"/>
        <w:rPr>
          <w:rFonts w:ascii="仿宋_GB2312"/>
          <w:sz w:val="21"/>
          <w:szCs w:val="24"/>
        </w:rPr>
      </w:pPr>
      <w:r>
        <w:rPr>
          <w:rFonts w:hint="eastAsia" w:ascii="仿宋_GB2312"/>
          <w:sz w:val="21"/>
          <w:szCs w:val="24"/>
        </w:rPr>
        <w:t>注：大数据服务费包括科研机构、卫计委、医院、用户病情预测预防。</w:t>
      </w:r>
    </w:p>
    <w:p>
      <w:pPr>
        <w:ind w:firstLine="480"/>
        <w:jc w:val="left"/>
        <w:rPr>
          <w:rFonts w:ascii="仿宋_GB2312"/>
          <w:sz w:val="24"/>
          <w:szCs w:val="24"/>
        </w:rPr>
      </w:pPr>
      <w:r>
        <w:rPr>
          <w:rFonts w:hint="eastAsia" w:ascii="仿宋_GB2312"/>
          <w:sz w:val="24"/>
          <w:szCs w:val="24"/>
        </w:rPr>
        <w:t>从企业盈利模式表、近十年新增稳定注册用户数量预测表、十年预测收入表等数据指标进行分析可知，企业年收入由第一年（2019年）的2.034万元到第十年（2028年）的11779.28万元，说明企业盈利性强、成长性极好，有不错的发展前景，具有经济可行性。</w:t>
      </w:r>
    </w:p>
    <w:p>
      <w:pPr>
        <w:tabs>
          <w:tab w:val="center" w:pos="4434"/>
        </w:tabs>
        <w:spacing w:line="500" w:lineRule="exact"/>
        <w:ind w:firstLine="0" w:firstLineChars="0"/>
        <w:jc w:val="left"/>
        <w:outlineLvl w:val="2"/>
        <w:rPr>
          <w:rFonts w:ascii="黑体" w:hAnsi="黑体" w:eastAsia="黑体" w:cs="Times New Roman"/>
        </w:rPr>
      </w:pPr>
      <w:bookmarkStart w:id="57" w:name="_Toc61100201"/>
      <w:r>
        <w:rPr>
          <w:rFonts w:hint="eastAsia" w:ascii="黑体" w:hAnsi="黑体" w:eastAsia="黑体" w:cs="Times New Roman"/>
        </w:rPr>
        <w:t>2.6.3财务可行性分析</w:t>
      </w:r>
      <w:bookmarkEnd w:id="57"/>
    </w:p>
    <w:p>
      <w:pPr>
        <w:ind w:firstLine="480"/>
        <w:jc w:val="left"/>
        <w:rPr>
          <w:rFonts w:ascii="仿宋_GB2312"/>
          <w:sz w:val="24"/>
          <w:szCs w:val="24"/>
        </w:rPr>
      </w:pPr>
      <w:r>
        <w:rPr>
          <w:rFonts w:hint="eastAsia" w:ascii="仿宋_GB2312"/>
          <w:sz w:val="24"/>
          <w:szCs w:val="24"/>
        </w:rPr>
        <w:t>根据公司发展战略，公司在项目执行前对投入期、成长期和成熟期三个阶段的费用支出情况进行合理的规划，结合公司发展战略和规模做出十年支出预算表（如表2-7所示）。</w:t>
      </w:r>
    </w:p>
    <w:p>
      <w:pPr>
        <w:spacing w:line="240" w:lineRule="auto"/>
        <w:ind w:firstLine="0" w:firstLineChars="0"/>
        <w:jc w:val="center"/>
        <w:rPr>
          <w:rFonts w:ascii="仿宋_GB2312"/>
          <w:sz w:val="21"/>
          <w:szCs w:val="24"/>
        </w:rPr>
      </w:pPr>
      <w:r>
        <w:rPr>
          <w:rFonts w:hint="eastAsia" w:ascii="仿宋_GB2312"/>
          <w:sz w:val="21"/>
          <w:szCs w:val="24"/>
        </w:rPr>
        <w:t>表2-7十年支出预算表</w:t>
      </w:r>
    </w:p>
    <w:p>
      <w:pPr>
        <w:spacing w:line="240" w:lineRule="auto"/>
        <w:ind w:firstLine="0" w:firstLineChars="0"/>
        <w:jc w:val="right"/>
        <w:rPr>
          <w:rFonts w:ascii="仿宋_GB2312"/>
          <w:sz w:val="21"/>
          <w:szCs w:val="24"/>
        </w:rPr>
      </w:pPr>
      <w:r>
        <w:rPr>
          <w:rFonts w:hint="eastAsia" w:ascii="仿宋_GB2312"/>
          <w:sz w:val="21"/>
          <w:szCs w:val="24"/>
        </w:rPr>
        <w:t>（单位:万元）</w:t>
      </w:r>
    </w:p>
    <w:tbl>
      <w:tblPr>
        <w:tblStyle w:val="39"/>
        <w:tblW w:w="10090" w:type="dxa"/>
        <w:tblInd w:w="0" w:type="dxa"/>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Layout w:type="autofit"/>
        <w:tblCellMar>
          <w:top w:w="0" w:type="dxa"/>
          <w:left w:w="108" w:type="dxa"/>
          <w:bottom w:w="0" w:type="dxa"/>
          <w:right w:w="108" w:type="dxa"/>
        </w:tblCellMar>
      </w:tblPr>
      <w:tblGrid>
        <w:gridCol w:w="1701"/>
        <w:gridCol w:w="756"/>
        <w:gridCol w:w="756"/>
        <w:gridCol w:w="756"/>
        <w:gridCol w:w="907"/>
        <w:gridCol w:w="907"/>
        <w:gridCol w:w="907"/>
        <w:gridCol w:w="850"/>
        <w:gridCol w:w="850"/>
        <w:gridCol w:w="850"/>
        <w:gridCol w:w="850"/>
      </w:tblGrid>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701" w:type="dxa"/>
            <w:shd w:val="clear" w:color="auto" w:fill="D0DCF0" w:themeFill="accent5" w:themeFillTint="3F"/>
            <w:vAlign w:val="center"/>
          </w:tcPr>
          <w:p>
            <w:pPr>
              <w:spacing w:line="240" w:lineRule="auto"/>
              <w:ind w:firstLine="0" w:firstLineChars="0"/>
              <w:jc w:val="center"/>
              <w:rPr>
                <w:rFonts w:ascii="仿宋_GB2312"/>
                <w:b/>
                <w:bCs/>
                <w:sz w:val="16"/>
                <w:szCs w:val="18"/>
              </w:rPr>
            </w:pPr>
            <w:r>
              <w:rPr>
                <w:rFonts w:hint="eastAsia" w:ascii="仿宋_GB2312"/>
                <w:b/>
                <w:bCs/>
                <w:sz w:val="16"/>
                <w:szCs w:val="18"/>
              </w:rPr>
              <w:t>时期</w:t>
            </w:r>
          </w:p>
        </w:tc>
        <w:tc>
          <w:tcPr>
            <w:tcW w:w="1512" w:type="dxa"/>
            <w:gridSpan w:val="2"/>
            <w:shd w:val="clear" w:color="auto" w:fill="D0DCF0" w:themeFill="accent5" w:themeFillTint="3F"/>
            <w:vAlign w:val="center"/>
          </w:tcPr>
          <w:p>
            <w:pPr>
              <w:spacing w:line="240" w:lineRule="auto"/>
              <w:ind w:firstLine="0" w:firstLineChars="0"/>
              <w:jc w:val="center"/>
              <w:rPr>
                <w:rFonts w:ascii="仿宋_GB2312"/>
                <w:b/>
                <w:bCs/>
                <w:sz w:val="18"/>
                <w:szCs w:val="18"/>
              </w:rPr>
            </w:pPr>
            <w:r>
              <w:rPr>
                <w:rFonts w:hint="eastAsia" w:ascii="仿宋_GB2312"/>
                <w:b/>
                <w:bCs/>
                <w:sz w:val="18"/>
                <w:szCs w:val="18"/>
              </w:rPr>
              <w:t>初期</w:t>
            </w:r>
          </w:p>
        </w:tc>
        <w:tc>
          <w:tcPr>
            <w:tcW w:w="3477" w:type="dxa"/>
            <w:gridSpan w:val="4"/>
            <w:shd w:val="clear" w:color="auto" w:fill="D0DCF0" w:themeFill="accent5" w:themeFillTint="3F"/>
            <w:vAlign w:val="center"/>
          </w:tcPr>
          <w:p>
            <w:pPr>
              <w:spacing w:line="240" w:lineRule="auto"/>
              <w:ind w:firstLine="0" w:firstLineChars="0"/>
              <w:jc w:val="center"/>
              <w:rPr>
                <w:rFonts w:ascii="仿宋_GB2312"/>
                <w:b/>
                <w:bCs/>
                <w:sz w:val="18"/>
                <w:szCs w:val="18"/>
              </w:rPr>
            </w:pPr>
            <w:r>
              <w:rPr>
                <w:rFonts w:hint="eastAsia" w:ascii="仿宋_GB2312"/>
                <w:b/>
                <w:bCs/>
                <w:sz w:val="18"/>
                <w:szCs w:val="18"/>
              </w:rPr>
              <w:t>中期</w:t>
            </w:r>
          </w:p>
        </w:tc>
        <w:tc>
          <w:tcPr>
            <w:tcW w:w="3400" w:type="dxa"/>
            <w:gridSpan w:val="4"/>
            <w:shd w:val="clear" w:color="auto" w:fill="D0DCF0" w:themeFill="accent5" w:themeFillTint="3F"/>
            <w:vAlign w:val="center"/>
          </w:tcPr>
          <w:p>
            <w:pPr>
              <w:spacing w:line="240" w:lineRule="auto"/>
              <w:ind w:firstLine="0" w:firstLineChars="0"/>
              <w:jc w:val="center"/>
              <w:rPr>
                <w:rFonts w:ascii="仿宋_GB2312"/>
                <w:b/>
                <w:bCs/>
                <w:sz w:val="18"/>
                <w:szCs w:val="18"/>
              </w:rPr>
            </w:pPr>
            <w:r>
              <w:rPr>
                <w:rFonts w:hint="eastAsia" w:ascii="仿宋_GB2312"/>
                <w:b/>
                <w:bCs/>
                <w:sz w:val="18"/>
                <w:szCs w:val="18"/>
              </w:rPr>
              <w:t>后期</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701" w:type="dxa"/>
            <w:shd w:val="clear" w:color="auto" w:fill="A1B8E1" w:themeFill="accent5" w:themeFillTint="7F"/>
            <w:vAlign w:val="center"/>
          </w:tcPr>
          <w:p>
            <w:pPr>
              <w:spacing w:line="240" w:lineRule="auto"/>
              <w:ind w:firstLine="0" w:firstLineChars="0"/>
              <w:jc w:val="center"/>
              <w:rPr>
                <w:rFonts w:ascii="仿宋_GB2312"/>
                <w:b/>
                <w:bCs/>
                <w:sz w:val="16"/>
                <w:szCs w:val="18"/>
              </w:rPr>
            </w:pPr>
            <w:r>
              <w:rPr>
                <w:rFonts w:hint="eastAsia" w:ascii="仿宋_GB2312"/>
                <w:b/>
                <w:bCs/>
                <w:sz w:val="16"/>
                <w:szCs w:val="18"/>
              </w:rPr>
              <w:t>项目/年份</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2019</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2020</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2021</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2022</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2023</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2024</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2025</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2026</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2027</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2028</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701" w:type="dxa"/>
            <w:shd w:val="clear" w:color="auto" w:fill="D0DCF0" w:themeFill="accent5" w:themeFillTint="3F"/>
            <w:vAlign w:val="center"/>
          </w:tcPr>
          <w:p>
            <w:pPr>
              <w:spacing w:line="240" w:lineRule="auto"/>
              <w:ind w:firstLine="0" w:firstLineChars="0"/>
              <w:jc w:val="center"/>
              <w:rPr>
                <w:rFonts w:ascii="仿宋_GB2312"/>
                <w:b/>
                <w:bCs/>
                <w:sz w:val="16"/>
                <w:szCs w:val="18"/>
              </w:rPr>
            </w:pPr>
            <w:r>
              <w:rPr>
                <w:rFonts w:hint="eastAsia" w:ascii="仿宋_GB2312"/>
                <w:b/>
                <w:bCs/>
                <w:sz w:val="16"/>
                <w:szCs w:val="18"/>
              </w:rPr>
              <w:t>推广费用</w:t>
            </w:r>
          </w:p>
        </w:tc>
        <w:tc>
          <w:tcPr>
            <w:tcW w:w="756"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276.38</w:t>
            </w:r>
          </w:p>
        </w:tc>
        <w:tc>
          <w:tcPr>
            <w:tcW w:w="756"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276.38</w:t>
            </w:r>
          </w:p>
        </w:tc>
        <w:tc>
          <w:tcPr>
            <w:tcW w:w="756"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276.38</w:t>
            </w:r>
          </w:p>
        </w:tc>
        <w:tc>
          <w:tcPr>
            <w:tcW w:w="907"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24.54</w:t>
            </w:r>
          </w:p>
        </w:tc>
        <w:tc>
          <w:tcPr>
            <w:tcW w:w="907"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31.54</w:t>
            </w:r>
          </w:p>
        </w:tc>
        <w:tc>
          <w:tcPr>
            <w:tcW w:w="907"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42.74</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56.74</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79.14</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104.34</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140.74</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701" w:type="dxa"/>
            <w:shd w:val="clear" w:color="auto" w:fill="A1B8E1" w:themeFill="accent5" w:themeFillTint="7F"/>
            <w:vAlign w:val="center"/>
          </w:tcPr>
          <w:p>
            <w:pPr>
              <w:spacing w:line="240" w:lineRule="auto"/>
              <w:ind w:firstLine="0" w:firstLineChars="0"/>
              <w:jc w:val="center"/>
              <w:rPr>
                <w:rFonts w:ascii="仿宋_GB2312"/>
                <w:b/>
                <w:bCs/>
                <w:sz w:val="16"/>
                <w:szCs w:val="18"/>
              </w:rPr>
            </w:pPr>
            <w:r>
              <w:rPr>
                <w:rFonts w:hint="eastAsia" w:ascii="仿宋_GB2312"/>
                <w:b/>
                <w:bCs/>
                <w:sz w:val="16"/>
                <w:szCs w:val="18"/>
              </w:rPr>
              <w:t>APP研发及运营费用</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25.80</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25.80</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25.80</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13.26</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17.16</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23.40</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31.20</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43.68</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52.72</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78.00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701" w:type="dxa"/>
            <w:shd w:val="clear" w:color="auto" w:fill="D0DCF0" w:themeFill="accent5" w:themeFillTint="3F"/>
            <w:vAlign w:val="center"/>
          </w:tcPr>
          <w:p>
            <w:pPr>
              <w:spacing w:line="240" w:lineRule="auto"/>
              <w:ind w:firstLine="0" w:firstLineChars="0"/>
              <w:jc w:val="center"/>
              <w:rPr>
                <w:rFonts w:ascii="仿宋_GB2312"/>
                <w:b/>
                <w:bCs/>
                <w:sz w:val="16"/>
                <w:szCs w:val="18"/>
              </w:rPr>
            </w:pPr>
            <w:r>
              <w:rPr>
                <w:rFonts w:hint="eastAsia" w:ascii="仿宋_GB2312"/>
                <w:b/>
                <w:bCs/>
                <w:sz w:val="16"/>
                <w:szCs w:val="18"/>
              </w:rPr>
              <w:t>人工工资及补贴费用</w:t>
            </w:r>
          </w:p>
        </w:tc>
        <w:tc>
          <w:tcPr>
            <w:tcW w:w="756"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203.0</w:t>
            </w:r>
          </w:p>
        </w:tc>
        <w:tc>
          <w:tcPr>
            <w:tcW w:w="756"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ascii="仿宋_GB2312"/>
                <w:sz w:val="18"/>
                <w:szCs w:val="18"/>
              </w:rPr>
              <w:t>203.0</w:t>
            </w:r>
          </w:p>
        </w:tc>
        <w:tc>
          <w:tcPr>
            <w:tcW w:w="756"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ascii="仿宋_GB2312"/>
                <w:sz w:val="18"/>
                <w:szCs w:val="18"/>
              </w:rPr>
              <w:t>203.0</w:t>
            </w:r>
          </w:p>
        </w:tc>
        <w:tc>
          <w:tcPr>
            <w:tcW w:w="907"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13.6</w:t>
            </w:r>
          </w:p>
        </w:tc>
        <w:tc>
          <w:tcPr>
            <w:tcW w:w="907"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17.6</w:t>
            </w:r>
          </w:p>
        </w:tc>
        <w:tc>
          <w:tcPr>
            <w:tcW w:w="907"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24.0</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32.0</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44.8</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59.2</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80.0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701" w:type="dxa"/>
            <w:shd w:val="clear" w:color="auto" w:fill="A1B8E1" w:themeFill="accent5" w:themeFillTint="7F"/>
            <w:vAlign w:val="center"/>
          </w:tcPr>
          <w:p>
            <w:pPr>
              <w:spacing w:line="240" w:lineRule="auto"/>
              <w:ind w:firstLine="0" w:firstLineChars="0"/>
              <w:jc w:val="center"/>
              <w:rPr>
                <w:rFonts w:ascii="仿宋_GB2312"/>
                <w:b/>
                <w:bCs/>
                <w:sz w:val="16"/>
                <w:szCs w:val="18"/>
              </w:rPr>
            </w:pPr>
            <w:r>
              <w:rPr>
                <w:rFonts w:hint="eastAsia" w:ascii="仿宋_GB2312"/>
                <w:b/>
                <w:bCs/>
                <w:sz w:val="16"/>
                <w:szCs w:val="18"/>
              </w:rPr>
              <w:t>保险费</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60.0</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60.0</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60.0</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10.2</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13.2</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18.0</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24.0</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33.6</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44.4</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60.0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701" w:type="dxa"/>
            <w:shd w:val="clear" w:color="auto" w:fill="D0DCF0" w:themeFill="accent5" w:themeFillTint="3F"/>
            <w:vAlign w:val="center"/>
          </w:tcPr>
          <w:p>
            <w:pPr>
              <w:spacing w:line="240" w:lineRule="auto"/>
              <w:ind w:firstLine="0" w:firstLineChars="0"/>
              <w:jc w:val="center"/>
              <w:rPr>
                <w:rFonts w:ascii="仿宋_GB2312"/>
                <w:b/>
                <w:bCs/>
                <w:sz w:val="16"/>
                <w:szCs w:val="18"/>
              </w:rPr>
            </w:pPr>
            <w:r>
              <w:rPr>
                <w:rFonts w:hint="eastAsia" w:ascii="仿宋_GB2312"/>
                <w:b/>
                <w:bCs/>
                <w:sz w:val="16"/>
                <w:szCs w:val="18"/>
              </w:rPr>
              <w:t>办公费用</w:t>
            </w:r>
          </w:p>
        </w:tc>
        <w:tc>
          <w:tcPr>
            <w:tcW w:w="756"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4.0</w:t>
            </w:r>
          </w:p>
        </w:tc>
        <w:tc>
          <w:tcPr>
            <w:tcW w:w="756"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4.0</w:t>
            </w:r>
          </w:p>
        </w:tc>
        <w:tc>
          <w:tcPr>
            <w:tcW w:w="756"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4.0</w:t>
            </w:r>
          </w:p>
        </w:tc>
        <w:tc>
          <w:tcPr>
            <w:tcW w:w="907"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1.7</w:t>
            </w:r>
          </w:p>
        </w:tc>
        <w:tc>
          <w:tcPr>
            <w:tcW w:w="907"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2.2</w:t>
            </w:r>
          </w:p>
        </w:tc>
        <w:tc>
          <w:tcPr>
            <w:tcW w:w="907"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3.0</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4.0</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5.6</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7.4</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10.0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701" w:type="dxa"/>
            <w:shd w:val="clear" w:color="auto" w:fill="A1B8E1" w:themeFill="accent5" w:themeFillTint="7F"/>
            <w:vAlign w:val="center"/>
          </w:tcPr>
          <w:p>
            <w:pPr>
              <w:spacing w:line="240" w:lineRule="auto"/>
              <w:ind w:firstLine="0" w:firstLineChars="0"/>
              <w:jc w:val="center"/>
              <w:rPr>
                <w:rFonts w:ascii="仿宋_GB2312"/>
                <w:b/>
                <w:bCs/>
                <w:sz w:val="16"/>
                <w:szCs w:val="18"/>
              </w:rPr>
            </w:pPr>
            <w:r>
              <w:rPr>
                <w:rFonts w:hint="eastAsia" w:ascii="仿宋_GB2312"/>
                <w:b/>
                <w:bCs/>
                <w:sz w:val="16"/>
                <w:szCs w:val="18"/>
              </w:rPr>
              <w:t>其他费用</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3.4</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4.4</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6.0</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8.0</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11.2</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14.8</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701" w:type="dxa"/>
            <w:shd w:val="clear" w:color="auto" w:fill="D0DCF0" w:themeFill="accent5" w:themeFillTint="3F"/>
            <w:vAlign w:val="center"/>
          </w:tcPr>
          <w:p>
            <w:pPr>
              <w:spacing w:line="240" w:lineRule="auto"/>
              <w:ind w:firstLine="0" w:firstLineChars="0"/>
              <w:jc w:val="center"/>
              <w:rPr>
                <w:rFonts w:ascii="仿宋_GB2312"/>
                <w:b/>
                <w:bCs/>
                <w:sz w:val="16"/>
                <w:szCs w:val="18"/>
              </w:rPr>
            </w:pPr>
            <w:r>
              <w:rPr>
                <w:rFonts w:hint="eastAsia" w:ascii="仿宋_GB2312"/>
                <w:b/>
                <w:bCs/>
                <w:sz w:val="16"/>
                <w:szCs w:val="18"/>
              </w:rPr>
              <w:t>金币兑奖品费</w:t>
            </w:r>
          </w:p>
        </w:tc>
        <w:tc>
          <w:tcPr>
            <w:tcW w:w="756"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20</w:t>
            </w:r>
          </w:p>
        </w:tc>
        <w:tc>
          <w:tcPr>
            <w:tcW w:w="756"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20</w:t>
            </w:r>
          </w:p>
        </w:tc>
        <w:tc>
          <w:tcPr>
            <w:tcW w:w="756"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20</w:t>
            </w:r>
          </w:p>
        </w:tc>
        <w:tc>
          <w:tcPr>
            <w:tcW w:w="907"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34</w:t>
            </w:r>
          </w:p>
        </w:tc>
        <w:tc>
          <w:tcPr>
            <w:tcW w:w="907"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44</w:t>
            </w:r>
          </w:p>
        </w:tc>
        <w:tc>
          <w:tcPr>
            <w:tcW w:w="907"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60</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80</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112</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148</w:t>
            </w:r>
          </w:p>
        </w:tc>
        <w:tc>
          <w:tcPr>
            <w:tcW w:w="850" w:type="dxa"/>
            <w:shd w:val="clear" w:color="auto" w:fill="D0DCF0" w:themeFill="accent5" w:themeFillTint="3F"/>
            <w:vAlign w:val="center"/>
          </w:tcPr>
          <w:p>
            <w:pPr>
              <w:spacing w:line="240" w:lineRule="auto"/>
              <w:ind w:firstLine="0" w:firstLineChars="0"/>
              <w:jc w:val="center"/>
              <w:rPr>
                <w:rFonts w:ascii="仿宋_GB2312"/>
                <w:sz w:val="18"/>
                <w:szCs w:val="18"/>
              </w:rPr>
            </w:pPr>
            <w:r>
              <w:rPr>
                <w:rFonts w:hint="eastAsia" w:ascii="仿宋_GB2312"/>
                <w:sz w:val="18"/>
                <w:szCs w:val="18"/>
              </w:rPr>
              <w:t>200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83" w:hRule="atLeast"/>
        </w:trPr>
        <w:tc>
          <w:tcPr>
            <w:tcW w:w="1701" w:type="dxa"/>
            <w:shd w:val="clear" w:color="auto" w:fill="A1B8E1" w:themeFill="accent5" w:themeFillTint="7F"/>
            <w:vAlign w:val="center"/>
          </w:tcPr>
          <w:p>
            <w:pPr>
              <w:spacing w:line="240" w:lineRule="auto"/>
              <w:ind w:firstLine="0" w:firstLineChars="0"/>
              <w:jc w:val="center"/>
              <w:rPr>
                <w:rFonts w:ascii="仿宋_GB2312"/>
                <w:b/>
                <w:bCs/>
                <w:sz w:val="16"/>
                <w:szCs w:val="18"/>
              </w:rPr>
            </w:pPr>
            <w:r>
              <w:rPr>
                <w:rFonts w:hint="eastAsia" w:ascii="仿宋_GB2312"/>
                <w:b/>
                <w:bCs/>
                <w:sz w:val="16"/>
                <w:szCs w:val="18"/>
              </w:rPr>
              <w:t>合计</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591.18</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591.18</w:t>
            </w:r>
          </w:p>
        </w:tc>
        <w:tc>
          <w:tcPr>
            <w:tcW w:w="756"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591.18</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97.30</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130.10</w:t>
            </w:r>
          </w:p>
        </w:tc>
        <w:tc>
          <w:tcPr>
            <w:tcW w:w="907"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177.14</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235.94</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330.02</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435.86</w:t>
            </w:r>
          </w:p>
        </w:tc>
        <w:tc>
          <w:tcPr>
            <w:tcW w:w="850" w:type="dxa"/>
            <w:shd w:val="clear" w:color="auto" w:fill="A1B8E1" w:themeFill="accent5" w:themeFillTint="7F"/>
            <w:vAlign w:val="center"/>
          </w:tcPr>
          <w:p>
            <w:pPr>
              <w:spacing w:line="240" w:lineRule="auto"/>
              <w:ind w:firstLine="0" w:firstLineChars="0"/>
              <w:jc w:val="center"/>
              <w:rPr>
                <w:rFonts w:ascii="仿宋_GB2312"/>
                <w:sz w:val="18"/>
                <w:szCs w:val="18"/>
              </w:rPr>
            </w:pPr>
            <w:r>
              <w:rPr>
                <w:rFonts w:hint="eastAsia" w:ascii="仿宋_GB2312"/>
                <w:sz w:val="18"/>
                <w:szCs w:val="18"/>
              </w:rPr>
              <w:t>588.74</w:t>
            </w:r>
          </w:p>
        </w:tc>
      </w:tr>
    </w:tbl>
    <w:p>
      <w:pPr>
        <w:ind w:firstLine="480"/>
        <w:jc w:val="left"/>
        <w:rPr>
          <w:rFonts w:ascii="仿宋_GB2312"/>
          <w:sz w:val="24"/>
          <w:szCs w:val="24"/>
        </w:rPr>
      </w:pPr>
      <w:r>
        <w:rPr>
          <w:rFonts w:hint="eastAsia" w:ascii="仿宋_GB2312"/>
          <w:sz w:val="24"/>
          <w:szCs w:val="24"/>
        </w:rPr>
        <w:t>公司投入期所需资金由团队自筹和风险投资两部分构成，成长期和成熟期所需资金由银行贷款和自有资本再投入两部分构成。整个项目将采取团队自筹+风险投资+银行贷款+滚动投资的方法来保障项目运营所需资金，以便项目按期顺利进展。</w:t>
      </w:r>
    </w:p>
    <w:p>
      <w:pPr>
        <w:tabs>
          <w:tab w:val="center" w:pos="4434"/>
        </w:tabs>
        <w:spacing w:line="500" w:lineRule="exact"/>
        <w:ind w:firstLine="0" w:firstLineChars="0"/>
        <w:jc w:val="left"/>
        <w:outlineLvl w:val="2"/>
        <w:rPr>
          <w:rFonts w:ascii="黑体" w:hAnsi="黑体" w:eastAsia="黑体" w:cs="Times New Roman"/>
        </w:rPr>
      </w:pPr>
      <w:bookmarkStart w:id="58" w:name="_Toc61100202"/>
      <w:r>
        <w:rPr>
          <w:rFonts w:hint="eastAsia" w:ascii="黑体" w:hAnsi="黑体" w:eastAsia="黑体" w:cs="Times New Roman"/>
        </w:rPr>
        <w:t>2.6.4技术可行性分析</w:t>
      </w:r>
      <w:bookmarkEnd w:id="58"/>
    </w:p>
    <w:p>
      <w:pPr>
        <w:ind w:firstLine="480"/>
        <w:jc w:val="left"/>
        <w:rPr>
          <w:rFonts w:ascii="仿宋_GB2312"/>
          <w:sz w:val="24"/>
          <w:szCs w:val="24"/>
        </w:rPr>
      </w:pPr>
      <w:r>
        <w:rPr>
          <w:rFonts w:hint="eastAsia" w:ascii="仿宋_GB2312"/>
          <w:sz w:val="24"/>
          <w:szCs w:val="24"/>
        </w:rPr>
        <w:t>项目成员熟悉本款APP所涉及的基础理论、开发技术，具有很好的科研基础，并且在相关问题上进行了前期的探索性研究，关键性技术难点已有切实可行的方案。同时本项目还有专门的指导老师进行技术上的指导。本系统使用的Android开发技术，结合SQLServer2008设计的一个具有大数据统计、远程交流、实时监测等功能的医学信息交流软件。该软件将数据库设计和Web技术很好的融合在一起，使数据库系统成为Web的主要有机组成部分，实现了数据库技术和网络技术的有机结合。</w:t>
      </w:r>
    </w:p>
    <w:p>
      <w:pPr>
        <w:tabs>
          <w:tab w:val="center" w:pos="4434"/>
        </w:tabs>
        <w:spacing w:line="500" w:lineRule="exact"/>
        <w:ind w:firstLine="0" w:firstLineChars="0"/>
        <w:jc w:val="left"/>
        <w:outlineLvl w:val="2"/>
        <w:rPr>
          <w:rFonts w:ascii="黑体" w:hAnsi="黑体" w:eastAsia="黑体" w:cs="Times New Roman"/>
        </w:rPr>
      </w:pPr>
      <w:bookmarkStart w:id="59" w:name="_Toc61100203"/>
      <w:r>
        <w:rPr>
          <w:rFonts w:hint="eastAsia" w:ascii="黑体" w:hAnsi="黑体" w:eastAsia="黑体" w:cs="Times New Roman"/>
        </w:rPr>
        <w:t>2.6.5社会可行性</w:t>
      </w:r>
      <w:bookmarkEnd w:id="59"/>
    </w:p>
    <w:p>
      <w:pPr>
        <w:ind w:firstLine="482"/>
        <w:jc w:val="left"/>
        <w:rPr>
          <w:rFonts w:ascii="仿宋_GB2312"/>
          <w:b/>
          <w:sz w:val="24"/>
          <w:szCs w:val="24"/>
        </w:rPr>
      </w:pPr>
      <w:r>
        <w:rPr>
          <w:rFonts w:hint="eastAsia" w:ascii="仿宋_GB2312"/>
          <w:b/>
          <w:sz w:val="24"/>
          <w:szCs w:val="24"/>
        </w:rPr>
        <w:t>1.道德可行性</w:t>
      </w:r>
    </w:p>
    <w:p>
      <w:pPr>
        <w:ind w:firstLine="480"/>
        <w:jc w:val="left"/>
        <w:rPr>
          <w:rFonts w:ascii="仿宋_GB2312"/>
          <w:sz w:val="24"/>
          <w:szCs w:val="24"/>
        </w:rPr>
      </w:pPr>
      <w:r>
        <w:rPr>
          <w:rFonts w:hint="eastAsia" w:ascii="仿宋_GB2312"/>
          <w:sz w:val="24"/>
          <w:szCs w:val="24"/>
        </w:rPr>
        <w:t>本APP通过竞争性分级免费体系对医生进行甄别和评估，筛选掉不具备职业道德的医生。避免其以盈利为目的，做出随意对待用户，欺骗用户，泄露用户隐私与秘密等行为。</w:t>
      </w:r>
    </w:p>
    <w:p>
      <w:pPr>
        <w:ind w:firstLine="482"/>
        <w:jc w:val="left"/>
        <w:rPr>
          <w:rFonts w:ascii="仿宋_GB2312"/>
          <w:b/>
          <w:sz w:val="24"/>
          <w:szCs w:val="24"/>
        </w:rPr>
      </w:pPr>
      <w:r>
        <w:rPr>
          <w:rFonts w:hint="eastAsia" w:ascii="仿宋_GB2312"/>
          <w:b/>
          <w:sz w:val="24"/>
          <w:szCs w:val="24"/>
        </w:rPr>
        <w:t>2.法律可行性</w:t>
      </w:r>
    </w:p>
    <w:p>
      <w:pPr>
        <w:ind w:firstLine="480"/>
        <w:jc w:val="left"/>
        <w:rPr>
          <w:rFonts w:ascii="仿宋_GB2312"/>
          <w:sz w:val="24"/>
          <w:szCs w:val="24"/>
        </w:rPr>
      </w:pPr>
      <w:r>
        <w:rPr>
          <w:rFonts w:hint="eastAsia" w:ascii="仿宋_GB2312"/>
          <w:sz w:val="24"/>
          <w:szCs w:val="24"/>
        </w:rPr>
        <w:t>本APP对平台内医生的个人信息、在职证明、相关职业资格证书等进行严格审核，保证医生合法行医。本APP为所有在编的具有执业资格的医生购买医疗事故强制责任险，保障用户权益。</w:t>
      </w:r>
    </w:p>
    <w:p>
      <w:pPr>
        <w:ind w:firstLine="482"/>
        <w:jc w:val="left"/>
        <w:rPr>
          <w:rFonts w:ascii="仿宋_GB2312"/>
          <w:b/>
          <w:sz w:val="24"/>
          <w:szCs w:val="24"/>
        </w:rPr>
      </w:pPr>
      <w:r>
        <w:rPr>
          <w:rFonts w:hint="eastAsia" w:ascii="仿宋_GB2312"/>
          <w:b/>
          <w:sz w:val="24"/>
          <w:szCs w:val="24"/>
        </w:rPr>
        <w:t>3.社会价值</w:t>
      </w:r>
    </w:p>
    <w:p>
      <w:pPr>
        <w:ind w:firstLine="480"/>
        <w:jc w:val="left"/>
        <w:rPr>
          <w:rFonts w:ascii="仿宋_GB2312"/>
          <w:sz w:val="24"/>
          <w:szCs w:val="24"/>
        </w:rPr>
      </w:pPr>
      <w:r>
        <w:rPr>
          <w:rFonts w:hint="eastAsia" w:ascii="仿宋_GB2312"/>
          <w:sz w:val="24"/>
          <w:szCs w:val="24"/>
        </w:rPr>
        <w:t>本APP能充分利用医生资源，为用户提供优质医疗服务，改善用户慢性病防治效果，有效降低国民慢性病患病率。平台竞争性分级免费体系也能激励医生提高医疗水平，由平台内医生水平提升推动到整个医疗行业内医疗水平和服务质量的提升。此外，本APP有利于推动互联网医疗的发展。</w:t>
      </w:r>
    </w:p>
    <w:p>
      <w:pPr>
        <w:ind w:firstLine="482"/>
        <w:jc w:val="left"/>
        <w:rPr>
          <w:rFonts w:ascii="仿宋_GB2312"/>
          <w:b/>
          <w:sz w:val="24"/>
          <w:szCs w:val="24"/>
        </w:rPr>
      </w:pPr>
      <w:r>
        <w:rPr>
          <w:rFonts w:hint="eastAsia" w:ascii="仿宋_GB2312"/>
          <w:b/>
          <w:sz w:val="24"/>
          <w:szCs w:val="24"/>
        </w:rPr>
        <w:t>4.社会影响力</w:t>
      </w:r>
    </w:p>
    <w:p>
      <w:pPr>
        <w:ind w:firstLine="480"/>
        <w:jc w:val="left"/>
        <w:rPr>
          <w:rFonts w:ascii="仿宋_GB2312"/>
          <w:sz w:val="24"/>
          <w:szCs w:val="24"/>
        </w:rPr>
      </w:pPr>
      <w:r>
        <w:rPr>
          <w:rFonts w:hint="eastAsia" w:ascii="仿宋_GB2312"/>
          <w:sz w:val="24"/>
          <w:szCs w:val="24"/>
        </w:rPr>
        <w:t>本APP的成功推广能吸引用户注册以及医生入驻。通过竞争性分级免费体系，给医生带来优胜劣汰的压力，激励医生提高医疗水平。医生间也可互相交流，丰富自身医疗知识，提高整个平台知识水平，进而提高平台价值，提升社会效益。</w:t>
      </w:r>
    </w:p>
    <w:p>
      <w:pPr>
        <w:ind w:firstLine="480"/>
        <w:jc w:val="left"/>
        <w:rPr>
          <w:rFonts w:ascii="仿宋_GB2312"/>
          <w:sz w:val="24"/>
          <w:szCs w:val="24"/>
        </w:rPr>
      </w:pPr>
    </w:p>
    <w:p>
      <w:pPr>
        <w:tabs>
          <w:tab w:val="center" w:pos="4434"/>
        </w:tabs>
        <w:spacing w:line="500" w:lineRule="exact"/>
        <w:ind w:firstLine="0" w:firstLineChars="0"/>
        <w:jc w:val="left"/>
        <w:outlineLvl w:val="2"/>
        <w:rPr>
          <w:rFonts w:ascii="黑体" w:hAnsi="黑体" w:eastAsia="黑体" w:cs="Times New Roman"/>
        </w:rPr>
      </w:pPr>
      <w:bookmarkStart w:id="60" w:name="_Toc61100204"/>
      <w:r>
        <w:rPr>
          <w:rFonts w:hint="eastAsia" w:ascii="黑体" w:hAnsi="黑体" w:eastAsia="黑体" w:cs="Times New Roman"/>
        </w:rPr>
        <w:t>2.7项目优势及创新点</w:t>
      </w:r>
      <w:bookmarkEnd w:id="60"/>
    </w:p>
    <w:p>
      <w:pPr>
        <w:spacing w:line="240" w:lineRule="auto"/>
        <w:ind w:firstLine="0" w:firstLineChars="0"/>
        <w:jc w:val="center"/>
        <w:rPr>
          <w:rFonts w:ascii="仿宋_GB2312"/>
          <w:sz w:val="21"/>
          <w:szCs w:val="24"/>
        </w:rPr>
      </w:pPr>
      <w:r>
        <w:rPr>
          <w:rFonts w:ascii="仿宋_GB2312"/>
          <w:sz w:val="21"/>
          <w:szCs w:val="24"/>
        </w:rPr>
        <w:drawing>
          <wp:inline distT="0" distB="0" distL="0" distR="0">
            <wp:extent cx="4411345" cy="2486025"/>
            <wp:effectExtent l="0" t="0" r="8255" b="0"/>
            <wp:docPr id="13" name="图片 13" descr="C:\Users\鲁佳\AppData\Local\Temp\16101719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鲁佳\AppData\Local\Temp\1610171916(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416983" cy="2489133"/>
                    </a:xfrm>
                    <a:prstGeom prst="rect">
                      <a:avLst/>
                    </a:prstGeom>
                    <a:noFill/>
                    <a:ln>
                      <a:noFill/>
                    </a:ln>
                  </pic:spPr>
                </pic:pic>
              </a:graphicData>
            </a:graphic>
          </wp:inline>
        </w:drawing>
      </w:r>
    </w:p>
    <w:p>
      <w:pPr>
        <w:spacing w:line="240" w:lineRule="auto"/>
        <w:ind w:firstLine="0" w:firstLineChars="0"/>
        <w:jc w:val="center"/>
        <w:rPr>
          <w:rFonts w:ascii="仿宋_GB2312"/>
          <w:sz w:val="21"/>
          <w:szCs w:val="24"/>
        </w:rPr>
      </w:pPr>
      <w:r>
        <w:rPr>
          <w:rFonts w:hint="eastAsia" w:ascii="仿宋_GB2312"/>
          <w:sz w:val="21"/>
          <w:szCs w:val="24"/>
        </w:rPr>
        <w:t>图2-11分级免费制度价值</w:t>
      </w:r>
    </w:p>
    <w:p>
      <w:pPr>
        <w:tabs>
          <w:tab w:val="center" w:pos="4434"/>
        </w:tabs>
        <w:spacing w:line="500" w:lineRule="exact"/>
        <w:ind w:firstLine="0" w:firstLineChars="0"/>
        <w:jc w:val="left"/>
        <w:outlineLvl w:val="2"/>
        <w:rPr>
          <w:rFonts w:ascii="黑体" w:hAnsi="黑体" w:eastAsia="黑体" w:cs="Times New Roman"/>
        </w:rPr>
      </w:pPr>
      <w:bookmarkStart w:id="61" w:name="_Toc61100205"/>
      <w:r>
        <w:rPr>
          <w:rFonts w:hint="eastAsia" w:ascii="黑体" w:hAnsi="黑体" w:eastAsia="黑体" w:cs="Times New Roman"/>
        </w:rPr>
        <w:t>2.7.1平台管理</w:t>
      </w:r>
      <w:bookmarkEnd w:id="61"/>
    </w:p>
    <w:p>
      <w:pPr>
        <w:tabs>
          <w:tab w:val="center" w:pos="4434"/>
        </w:tabs>
        <w:ind w:firstLine="0" w:firstLineChars="0"/>
        <w:jc w:val="left"/>
        <w:rPr>
          <w:rFonts w:ascii="仿宋_GB2312"/>
          <w:b/>
          <w:sz w:val="24"/>
          <w:szCs w:val="24"/>
        </w:rPr>
      </w:pPr>
      <w:r>
        <w:rPr>
          <w:rFonts w:hint="eastAsia" w:ascii="仿宋_GB2312"/>
          <w:b/>
          <w:sz w:val="24"/>
          <w:szCs w:val="24"/>
        </w:rPr>
        <w:t>1.降低经营成本</w:t>
      </w:r>
    </w:p>
    <w:p>
      <w:pPr>
        <w:tabs>
          <w:tab w:val="center" w:pos="4434"/>
        </w:tabs>
        <w:ind w:firstLine="480"/>
        <w:jc w:val="left"/>
        <w:rPr>
          <w:rFonts w:ascii="仿宋_GB2312"/>
          <w:sz w:val="24"/>
          <w:szCs w:val="24"/>
        </w:rPr>
      </w:pPr>
      <w:r>
        <w:rPr>
          <w:rFonts w:hint="eastAsia" w:ascii="仿宋_GB2312"/>
          <w:sz w:val="24"/>
          <w:szCs w:val="24"/>
        </w:rPr>
        <w:t>第一，平台采取竞争性分级免费策略，激励用户和医生分享APP，并推荐其他用户和医生注册使用，帮助平台推广，达到“病毒式”营销的目的，从而降低经营成本；第二，分级免费制度可实现医生间、用户间、医生与用户间的循环刺激，形成良性医疗生态圈，降低平台用于维持用户数量所需的费用。</w:t>
      </w:r>
    </w:p>
    <w:p>
      <w:pPr>
        <w:tabs>
          <w:tab w:val="center" w:pos="4434"/>
        </w:tabs>
        <w:ind w:firstLine="0" w:firstLineChars="0"/>
        <w:jc w:val="left"/>
        <w:rPr>
          <w:rFonts w:ascii="仿宋_GB2312"/>
          <w:b/>
          <w:sz w:val="24"/>
          <w:szCs w:val="24"/>
        </w:rPr>
      </w:pPr>
      <w:r>
        <w:rPr>
          <w:rFonts w:hint="eastAsia" w:ascii="仿宋_GB2312"/>
          <w:b/>
          <w:sz w:val="24"/>
          <w:szCs w:val="24"/>
        </w:rPr>
        <w:t>2.快速甄别和评估医生能力</w:t>
      </w:r>
    </w:p>
    <w:p>
      <w:pPr>
        <w:tabs>
          <w:tab w:val="center" w:pos="4434"/>
        </w:tabs>
        <w:ind w:firstLine="480"/>
        <w:jc w:val="left"/>
        <w:rPr>
          <w:rFonts w:ascii="仿宋_GB2312"/>
          <w:sz w:val="24"/>
          <w:szCs w:val="24"/>
        </w:rPr>
      </w:pPr>
      <w:r>
        <w:rPr>
          <w:rFonts w:hint="eastAsia" w:ascii="仿宋_GB2312"/>
          <w:sz w:val="24"/>
          <w:szCs w:val="24"/>
        </w:rPr>
        <w:t>平台先于前期邀请专业相近的专家评价医生水平，快速甄别医生能力。后期医生等级主要由用户的评价反馈评定，因此等级可直接体现医生的医疗水平和服务质量，从而使分级免费策略起到甄别医生质量、综合衡量医生能力水平的作用。</w:t>
      </w:r>
    </w:p>
    <w:p>
      <w:pPr>
        <w:tabs>
          <w:tab w:val="center" w:pos="4434"/>
        </w:tabs>
        <w:ind w:firstLine="0" w:firstLineChars="0"/>
        <w:jc w:val="left"/>
        <w:rPr>
          <w:rFonts w:ascii="仿宋_GB2312"/>
          <w:b/>
          <w:sz w:val="24"/>
          <w:szCs w:val="24"/>
        </w:rPr>
      </w:pPr>
      <w:r>
        <w:rPr>
          <w:rFonts w:hint="eastAsia" w:ascii="仿宋_GB2312"/>
          <w:b/>
          <w:sz w:val="24"/>
          <w:szCs w:val="24"/>
        </w:rPr>
        <w:t>3.提升平台价值</w:t>
      </w:r>
    </w:p>
    <w:p>
      <w:pPr>
        <w:tabs>
          <w:tab w:val="center" w:pos="4434"/>
        </w:tabs>
        <w:ind w:firstLine="480"/>
        <w:jc w:val="left"/>
        <w:rPr>
          <w:rFonts w:ascii="仿宋_GB2312"/>
          <w:sz w:val="24"/>
          <w:szCs w:val="24"/>
        </w:rPr>
      </w:pPr>
      <w:r>
        <w:rPr>
          <w:rFonts w:hint="eastAsia" w:ascii="仿宋_GB2312"/>
          <w:sz w:val="24"/>
          <w:szCs w:val="24"/>
        </w:rPr>
        <w:t>分级免费策略激励医生分享成功案例、学习处方、提升服务质量，激励用户分享治疗经历，与其他医生和用户交流。平台在运营过程中逐步积累丰富的知识和信息，不断提升价值，吸引更多人进入“e+医”APP平台。</w:t>
      </w:r>
    </w:p>
    <w:p>
      <w:pPr>
        <w:tabs>
          <w:tab w:val="center" w:pos="4434"/>
        </w:tabs>
        <w:ind w:firstLine="0" w:firstLineChars="0"/>
        <w:jc w:val="left"/>
        <w:rPr>
          <w:rFonts w:ascii="仿宋_GB2312"/>
          <w:b/>
          <w:sz w:val="24"/>
          <w:szCs w:val="24"/>
        </w:rPr>
      </w:pPr>
      <w:r>
        <w:rPr>
          <w:rFonts w:hint="eastAsia" w:ascii="仿宋_GB2312"/>
          <w:b/>
          <w:sz w:val="24"/>
          <w:szCs w:val="24"/>
        </w:rPr>
        <w:t>4.降低风险</w:t>
      </w:r>
    </w:p>
    <w:p>
      <w:pPr>
        <w:tabs>
          <w:tab w:val="center" w:pos="4434"/>
        </w:tabs>
        <w:ind w:firstLine="480"/>
        <w:jc w:val="left"/>
        <w:rPr>
          <w:rFonts w:ascii="仿宋_GB2312"/>
          <w:sz w:val="24"/>
          <w:szCs w:val="24"/>
        </w:rPr>
      </w:pPr>
      <w:r>
        <w:rPr>
          <w:rFonts w:hint="eastAsia" w:ascii="仿宋_GB2312"/>
          <w:sz w:val="24"/>
          <w:szCs w:val="24"/>
        </w:rPr>
        <w:t>分级免费策略为平台带来的价值可降低平台运营风险。第一，经济风险：通过激励医生和用户对外推广APP，降低推广费用；第二，安全保障风险：对医生进行甄别和评估，避免无良医生在平台中“祸害”用户，保障用户权益。</w:t>
      </w:r>
    </w:p>
    <w:p>
      <w:pPr>
        <w:tabs>
          <w:tab w:val="center" w:pos="4434"/>
        </w:tabs>
        <w:spacing w:line="500" w:lineRule="exact"/>
        <w:ind w:firstLine="0" w:firstLineChars="0"/>
        <w:jc w:val="left"/>
        <w:outlineLvl w:val="2"/>
        <w:rPr>
          <w:rFonts w:ascii="黑体" w:hAnsi="黑体" w:eastAsia="黑体" w:cs="Times New Roman"/>
        </w:rPr>
      </w:pPr>
      <w:bookmarkStart w:id="62" w:name="_Toc61100206"/>
      <w:r>
        <w:rPr>
          <w:rFonts w:hint="eastAsia" w:ascii="黑体" w:hAnsi="黑体" w:eastAsia="黑体" w:cs="Times New Roman"/>
        </w:rPr>
        <w:t>2.7.2医生价值再造</w:t>
      </w:r>
      <w:bookmarkEnd w:id="62"/>
    </w:p>
    <w:p>
      <w:pPr>
        <w:tabs>
          <w:tab w:val="center" w:pos="4434"/>
        </w:tabs>
        <w:ind w:firstLine="0" w:firstLineChars="0"/>
        <w:jc w:val="left"/>
        <w:rPr>
          <w:rFonts w:ascii="仿宋_GB2312"/>
          <w:b/>
          <w:sz w:val="24"/>
          <w:szCs w:val="24"/>
        </w:rPr>
      </w:pPr>
      <w:r>
        <w:rPr>
          <w:rFonts w:hint="eastAsia" w:ascii="仿宋_GB2312"/>
          <w:b/>
          <w:sz w:val="24"/>
          <w:szCs w:val="24"/>
        </w:rPr>
        <w:t>1.激励有能力的医生多开处方</w:t>
      </w:r>
    </w:p>
    <w:p>
      <w:pPr>
        <w:tabs>
          <w:tab w:val="center" w:pos="4434"/>
        </w:tabs>
        <w:ind w:firstLine="480"/>
        <w:jc w:val="left"/>
        <w:rPr>
          <w:rFonts w:ascii="仿宋_GB2312"/>
          <w:sz w:val="24"/>
          <w:szCs w:val="24"/>
        </w:rPr>
      </w:pPr>
      <w:r>
        <w:rPr>
          <w:rFonts w:hint="eastAsia" w:ascii="仿宋_GB2312"/>
          <w:sz w:val="24"/>
          <w:szCs w:val="24"/>
        </w:rPr>
        <w:t>在平台中，等级高的医生更易受到用户的青睐，吸引更多的用户向其咨询或问诊，以此激励高等级、有能力的医生开出更多处方，充分利用优质资源，发挥医生价值。</w:t>
      </w:r>
    </w:p>
    <w:p>
      <w:pPr>
        <w:tabs>
          <w:tab w:val="center" w:pos="4434"/>
        </w:tabs>
        <w:ind w:firstLine="0" w:firstLineChars="0"/>
        <w:jc w:val="left"/>
        <w:rPr>
          <w:rFonts w:ascii="仿宋_GB2312"/>
          <w:b/>
          <w:sz w:val="24"/>
          <w:szCs w:val="24"/>
        </w:rPr>
      </w:pPr>
      <w:r>
        <w:rPr>
          <w:rFonts w:hint="eastAsia" w:ascii="仿宋_GB2312"/>
          <w:b/>
          <w:sz w:val="24"/>
          <w:szCs w:val="24"/>
        </w:rPr>
        <w:t>2.激励医生分享成功案例</w:t>
      </w:r>
    </w:p>
    <w:p>
      <w:pPr>
        <w:tabs>
          <w:tab w:val="center" w:pos="4434"/>
        </w:tabs>
        <w:ind w:firstLine="480"/>
        <w:jc w:val="left"/>
        <w:rPr>
          <w:rFonts w:ascii="仿宋_GB2312"/>
          <w:sz w:val="24"/>
          <w:szCs w:val="24"/>
        </w:rPr>
      </w:pPr>
      <w:r>
        <w:rPr>
          <w:rFonts w:hint="eastAsia" w:ascii="仿宋_GB2312"/>
          <w:sz w:val="24"/>
          <w:szCs w:val="24"/>
        </w:rPr>
        <w:t>一方面，为了提升等级，吸引用户，增加收益，医生会在平台分享自己在从医过程中有价值的成功案例，以此获得用户的信任和关注；另一方面，这些成功案例又成为其他医生和用户启发学习的重要资源。</w:t>
      </w:r>
    </w:p>
    <w:p>
      <w:pPr>
        <w:tabs>
          <w:tab w:val="center" w:pos="4434"/>
        </w:tabs>
        <w:ind w:firstLine="0" w:firstLineChars="0"/>
        <w:jc w:val="left"/>
        <w:rPr>
          <w:rFonts w:ascii="仿宋_GB2312"/>
          <w:b/>
          <w:sz w:val="24"/>
          <w:szCs w:val="24"/>
        </w:rPr>
      </w:pPr>
      <w:r>
        <w:rPr>
          <w:rFonts w:hint="eastAsia" w:ascii="仿宋_GB2312"/>
          <w:b/>
          <w:sz w:val="24"/>
          <w:szCs w:val="24"/>
        </w:rPr>
        <w:t>3.营造学习交流的生态圈</w:t>
      </w:r>
    </w:p>
    <w:p>
      <w:pPr>
        <w:tabs>
          <w:tab w:val="center" w:pos="4434"/>
        </w:tabs>
        <w:ind w:firstLine="480"/>
        <w:jc w:val="left"/>
        <w:rPr>
          <w:rFonts w:ascii="仿宋_GB2312"/>
          <w:sz w:val="24"/>
          <w:szCs w:val="24"/>
        </w:rPr>
      </w:pPr>
      <w:r>
        <w:rPr>
          <w:rFonts w:hint="eastAsia" w:ascii="仿宋_GB2312"/>
          <w:sz w:val="24"/>
          <w:szCs w:val="24"/>
        </w:rPr>
        <w:t>第一，医生开出的处方可以被再次利用为医生间学习交流的重要知识；第二，医生分享的成功案例、用户分享的治疗经历可作为其他医生及用户学习讨论的资料。</w:t>
      </w:r>
    </w:p>
    <w:p>
      <w:pPr>
        <w:tabs>
          <w:tab w:val="center" w:pos="4434"/>
        </w:tabs>
        <w:ind w:firstLine="0" w:firstLineChars="0"/>
        <w:jc w:val="left"/>
        <w:rPr>
          <w:rFonts w:ascii="仿宋_GB2312"/>
          <w:b/>
          <w:sz w:val="24"/>
          <w:szCs w:val="24"/>
        </w:rPr>
      </w:pPr>
      <w:r>
        <w:rPr>
          <w:rFonts w:hint="eastAsia" w:ascii="仿宋_GB2312"/>
          <w:b/>
          <w:sz w:val="24"/>
          <w:szCs w:val="24"/>
        </w:rPr>
        <w:t>4.激励医生提供更优质的服务</w:t>
      </w:r>
    </w:p>
    <w:p>
      <w:pPr>
        <w:tabs>
          <w:tab w:val="center" w:pos="4434"/>
        </w:tabs>
        <w:ind w:firstLine="480"/>
        <w:jc w:val="left"/>
        <w:rPr>
          <w:rFonts w:ascii="仿宋_GB2312"/>
          <w:sz w:val="24"/>
          <w:szCs w:val="24"/>
        </w:rPr>
      </w:pPr>
      <w:r>
        <w:rPr>
          <w:rFonts w:hint="eastAsia" w:ascii="仿宋_GB2312"/>
          <w:sz w:val="24"/>
          <w:szCs w:val="24"/>
        </w:rPr>
        <w:t>由于医生的等级直接体现了其医疗水平和服务质量，因此医生会尽可能为用户提供优质的服务，从而获得用户更高的评价反馈来提升等级，吸引更多的用户，增加收益。</w:t>
      </w:r>
    </w:p>
    <w:p>
      <w:pPr>
        <w:tabs>
          <w:tab w:val="center" w:pos="4434"/>
        </w:tabs>
        <w:spacing w:line="500" w:lineRule="exact"/>
        <w:ind w:firstLine="0" w:firstLineChars="0"/>
        <w:jc w:val="left"/>
        <w:outlineLvl w:val="2"/>
        <w:rPr>
          <w:rFonts w:ascii="黑体" w:hAnsi="黑体" w:eastAsia="黑体" w:cs="Times New Roman"/>
        </w:rPr>
      </w:pPr>
      <w:bookmarkStart w:id="63" w:name="_Toc61100207"/>
      <w:r>
        <w:rPr>
          <w:rFonts w:hint="eastAsia" w:ascii="黑体" w:hAnsi="黑体" w:eastAsia="黑体" w:cs="Times New Roman"/>
        </w:rPr>
        <w:t>2.7.3用户价值再造</w:t>
      </w:r>
      <w:bookmarkEnd w:id="63"/>
    </w:p>
    <w:p>
      <w:pPr>
        <w:tabs>
          <w:tab w:val="center" w:pos="4434"/>
        </w:tabs>
        <w:ind w:firstLine="0" w:firstLineChars="0"/>
        <w:jc w:val="left"/>
        <w:rPr>
          <w:rFonts w:ascii="仿宋_GB2312"/>
          <w:b/>
          <w:sz w:val="24"/>
          <w:szCs w:val="24"/>
        </w:rPr>
      </w:pPr>
      <w:r>
        <w:rPr>
          <w:rFonts w:hint="eastAsia" w:ascii="仿宋_GB2312"/>
          <w:b/>
          <w:sz w:val="24"/>
          <w:szCs w:val="24"/>
        </w:rPr>
        <w:t>1.激励用户分享治疗经历</w:t>
      </w:r>
    </w:p>
    <w:p>
      <w:pPr>
        <w:tabs>
          <w:tab w:val="center" w:pos="4434"/>
        </w:tabs>
        <w:ind w:firstLine="480"/>
        <w:jc w:val="left"/>
        <w:rPr>
          <w:rFonts w:ascii="仿宋_GB2312"/>
          <w:sz w:val="24"/>
          <w:szCs w:val="24"/>
        </w:rPr>
      </w:pPr>
      <w:r>
        <w:rPr>
          <w:rFonts w:hint="eastAsia" w:ascii="仿宋_GB2312"/>
          <w:sz w:val="24"/>
          <w:szCs w:val="24"/>
        </w:rPr>
        <w:t>用户可通过分享治疗经历，一方面，与医生和其他用户交流并获得金币和升级奖励；另一方面，这些治疗经历也可为医生提供指导价值，为其他用户提供借鉴价值。</w:t>
      </w:r>
    </w:p>
    <w:p>
      <w:pPr>
        <w:tabs>
          <w:tab w:val="center" w:pos="4434"/>
        </w:tabs>
        <w:ind w:firstLine="0" w:firstLineChars="0"/>
        <w:jc w:val="left"/>
        <w:rPr>
          <w:rFonts w:ascii="仿宋_GB2312"/>
          <w:b/>
          <w:sz w:val="24"/>
          <w:szCs w:val="24"/>
        </w:rPr>
      </w:pPr>
      <w:r>
        <w:rPr>
          <w:rFonts w:hint="eastAsia" w:ascii="仿宋_GB2312"/>
          <w:b/>
          <w:sz w:val="24"/>
          <w:szCs w:val="24"/>
        </w:rPr>
        <w:t>2.提高交易的机会和质量</w:t>
      </w:r>
    </w:p>
    <w:p>
      <w:pPr>
        <w:tabs>
          <w:tab w:val="center" w:pos="4434"/>
        </w:tabs>
        <w:ind w:firstLine="480"/>
        <w:jc w:val="left"/>
        <w:rPr>
          <w:rFonts w:ascii="仿宋_GB2312"/>
          <w:sz w:val="24"/>
          <w:szCs w:val="24"/>
        </w:rPr>
      </w:pPr>
      <w:r>
        <w:rPr>
          <w:rFonts w:hint="eastAsia" w:ascii="仿宋_GB2312"/>
          <w:sz w:val="24"/>
          <w:szCs w:val="24"/>
        </w:rPr>
        <w:t>分级免费策略将医生按等级区分，便于用户先对医生进行简单判断，再寻找心仪的医生问诊。缩短用户盲目寻找医生所耗费的时间，增加用户与医生交易的机会并提高质量。</w:t>
      </w:r>
    </w:p>
    <w:p>
      <w:pPr>
        <w:tabs>
          <w:tab w:val="center" w:pos="4434"/>
        </w:tabs>
        <w:ind w:firstLine="0" w:firstLineChars="0"/>
        <w:jc w:val="left"/>
        <w:rPr>
          <w:rFonts w:ascii="仿宋_GB2312"/>
          <w:b/>
          <w:sz w:val="24"/>
          <w:szCs w:val="24"/>
        </w:rPr>
      </w:pPr>
      <w:r>
        <w:rPr>
          <w:rFonts w:hint="eastAsia" w:ascii="仿宋_GB2312"/>
          <w:b/>
          <w:sz w:val="24"/>
          <w:szCs w:val="24"/>
        </w:rPr>
        <w:t>3.激励用户提供健康数据</w:t>
      </w:r>
    </w:p>
    <w:p>
      <w:pPr>
        <w:tabs>
          <w:tab w:val="center" w:pos="4434"/>
        </w:tabs>
        <w:ind w:firstLine="480"/>
        <w:jc w:val="left"/>
        <w:rPr>
          <w:rFonts w:ascii="仿宋_GB2312"/>
          <w:sz w:val="24"/>
          <w:szCs w:val="24"/>
        </w:rPr>
      </w:pPr>
      <w:r>
        <w:rPr>
          <w:rFonts w:hint="eastAsia" w:ascii="仿宋_GB2312"/>
          <w:sz w:val="24"/>
          <w:szCs w:val="24"/>
        </w:rPr>
        <w:t>一方面，用户佩戴健康监测设备，可实时监测自身健康状态，获得金币奖励；另一方面，积累的数据便于医生了解用户的身体状况，更重要的是为后期平台进行大数据分析提供数据来源。</w:t>
      </w:r>
      <w:r>
        <w:rPr>
          <w:rFonts w:ascii="仿宋_GB2312"/>
          <w:sz w:val="24"/>
          <w:szCs w:val="24"/>
        </w:rPr>
        <w:t xml:space="preserve"> </w:t>
      </w:r>
    </w:p>
    <w:p>
      <w:pPr>
        <w:tabs>
          <w:tab w:val="center" w:pos="4434"/>
        </w:tabs>
        <w:ind w:firstLine="0" w:firstLineChars="0"/>
        <w:jc w:val="left"/>
        <w:rPr>
          <w:rFonts w:ascii="仿宋_GB2312"/>
          <w:b/>
          <w:sz w:val="24"/>
          <w:szCs w:val="24"/>
        </w:rPr>
      </w:pPr>
      <w:r>
        <w:rPr>
          <w:rFonts w:hint="eastAsia" w:ascii="仿宋_GB2312"/>
          <w:b/>
          <w:sz w:val="24"/>
          <w:szCs w:val="24"/>
        </w:rPr>
        <w:t>4.打造温馨、互助的医疗生态圈</w:t>
      </w:r>
    </w:p>
    <w:p>
      <w:pPr>
        <w:tabs>
          <w:tab w:val="center" w:pos="4434"/>
        </w:tabs>
        <w:ind w:firstLine="480"/>
        <w:jc w:val="left"/>
        <w:rPr>
          <w:rFonts w:ascii="仿宋_GB2312"/>
          <w:sz w:val="24"/>
          <w:szCs w:val="24"/>
        </w:rPr>
      </w:pPr>
      <w:r>
        <w:rPr>
          <w:rFonts w:hint="eastAsia" w:ascii="仿宋_GB2312"/>
          <w:sz w:val="24"/>
          <w:szCs w:val="24"/>
        </w:rPr>
        <w:t>用户使用医生处方治疗一段时间后，结合处方和自身病情状况给予医生评价反馈，帮助其他患者更好的甄别医生服务质量，以及帮助医生更清晰地认识到自己医术的不足之处，而医生为了帮助患者更好的治疗，会不断寻找交易机会提高交易质量，进而促进医患关系，打造一个温馨的医疗互助生态圈。</w:t>
      </w:r>
    </w:p>
    <w:p>
      <w:pPr>
        <w:tabs>
          <w:tab w:val="center" w:pos="4434"/>
        </w:tabs>
        <w:spacing w:line="500" w:lineRule="exact"/>
        <w:ind w:firstLine="0" w:firstLineChars="0"/>
        <w:jc w:val="left"/>
        <w:outlineLvl w:val="2"/>
        <w:rPr>
          <w:rFonts w:ascii="黑体" w:hAnsi="黑体" w:eastAsia="黑体" w:cs="Times New Roman"/>
        </w:rPr>
      </w:pPr>
      <w:bookmarkStart w:id="64" w:name="_Toc61100208"/>
      <w:r>
        <w:rPr>
          <w:rFonts w:hint="eastAsia" w:ascii="黑体" w:hAnsi="黑体" w:eastAsia="黑体" w:cs="Times New Roman"/>
        </w:rPr>
        <w:t>2.7.4创新</w:t>
      </w:r>
      <w:bookmarkEnd w:id="64"/>
    </w:p>
    <w:p>
      <w:pPr>
        <w:tabs>
          <w:tab w:val="center" w:pos="4434"/>
        </w:tabs>
        <w:ind w:firstLine="0" w:firstLineChars="0"/>
        <w:jc w:val="left"/>
        <w:rPr>
          <w:rFonts w:ascii="仿宋_GB2312"/>
          <w:b/>
          <w:sz w:val="24"/>
          <w:szCs w:val="24"/>
        </w:rPr>
      </w:pPr>
      <w:r>
        <w:rPr>
          <w:rFonts w:hint="eastAsia" w:ascii="仿宋_GB2312"/>
          <w:b/>
          <w:sz w:val="24"/>
          <w:szCs w:val="24"/>
        </w:rPr>
        <w:t>1.有利于积累大量的数据资料</w:t>
      </w:r>
    </w:p>
    <w:p>
      <w:pPr>
        <w:tabs>
          <w:tab w:val="center" w:pos="4434"/>
        </w:tabs>
        <w:ind w:firstLine="480"/>
        <w:jc w:val="left"/>
        <w:rPr>
          <w:rFonts w:ascii="仿宋_GB2312"/>
          <w:sz w:val="24"/>
          <w:szCs w:val="24"/>
        </w:rPr>
      </w:pPr>
      <w:r>
        <w:rPr>
          <w:rFonts w:hint="eastAsia" w:ascii="仿宋_GB2312"/>
          <w:sz w:val="24"/>
          <w:szCs w:val="24"/>
        </w:rPr>
        <w:t>医生和用户在平台内的交流分享，以及用户通过饮食记录和佩戴健康设备提供的健康指标数据，不仅自身可以实时监测身体指标，而且也为大数据的收集创造信息来源，有利于大量数据资料的积累。</w:t>
      </w:r>
    </w:p>
    <w:p>
      <w:pPr>
        <w:tabs>
          <w:tab w:val="center" w:pos="4434"/>
        </w:tabs>
        <w:ind w:firstLine="0" w:firstLineChars="0"/>
        <w:jc w:val="left"/>
        <w:rPr>
          <w:rFonts w:ascii="仿宋_GB2312"/>
          <w:b/>
          <w:sz w:val="24"/>
          <w:szCs w:val="24"/>
        </w:rPr>
      </w:pPr>
      <w:r>
        <w:rPr>
          <w:rFonts w:hint="eastAsia" w:ascii="仿宋_GB2312"/>
          <w:b/>
          <w:sz w:val="24"/>
          <w:szCs w:val="24"/>
        </w:rPr>
        <w:t>2.进行商务智能开发利用</w:t>
      </w:r>
    </w:p>
    <w:p>
      <w:pPr>
        <w:tabs>
          <w:tab w:val="center" w:pos="4434"/>
        </w:tabs>
        <w:ind w:firstLine="480"/>
        <w:jc w:val="left"/>
        <w:rPr>
          <w:rFonts w:ascii="仿宋_GB2312"/>
          <w:sz w:val="24"/>
          <w:szCs w:val="24"/>
        </w:rPr>
      </w:pPr>
      <w:r>
        <w:rPr>
          <w:rFonts w:hint="eastAsia" w:ascii="仿宋_GB2312"/>
          <w:sz w:val="24"/>
          <w:szCs w:val="24"/>
        </w:rPr>
        <w:t>用户在使用智能检测设备的过程中将积累大量的健康数据和给出使用后的评价反馈，在与医生交流后医生也会对其给出评价反馈意见。结合这些信息，平台可通过数据分析得出现代社会的医疗用户的定位需求，预测疾病发生的可能性，帮助企业进行商务智能软件的开发和利用。</w:t>
      </w:r>
    </w:p>
    <w:p>
      <w:pPr>
        <w:tabs>
          <w:tab w:val="center" w:pos="4434"/>
        </w:tabs>
        <w:ind w:firstLine="0" w:firstLineChars="0"/>
        <w:jc w:val="left"/>
        <w:rPr>
          <w:rFonts w:ascii="仿宋_GB2312"/>
          <w:b/>
          <w:sz w:val="24"/>
          <w:szCs w:val="24"/>
        </w:rPr>
      </w:pPr>
      <w:r>
        <w:rPr>
          <w:rFonts w:hint="eastAsia" w:ascii="仿宋_GB2312"/>
          <w:b/>
          <w:sz w:val="24"/>
          <w:szCs w:val="24"/>
        </w:rPr>
        <w:t>3.实现基于大数据的精准医疗</w:t>
      </w:r>
    </w:p>
    <w:p>
      <w:pPr>
        <w:tabs>
          <w:tab w:val="center" w:pos="4434"/>
        </w:tabs>
        <w:ind w:firstLine="480"/>
        <w:jc w:val="left"/>
        <w:rPr>
          <w:rFonts w:ascii="仿宋_GB2312"/>
          <w:sz w:val="24"/>
          <w:szCs w:val="24"/>
        </w:rPr>
      </w:pPr>
      <w:r>
        <w:rPr>
          <w:rFonts w:hint="eastAsia" w:ascii="仿宋_GB2312"/>
          <w:sz w:val="24"/>
          <w:szCs w:val="24"/>
        </w:rPr>
        <w:t>平台内拥有足够的数据积累后，可通过大数据分析精准定位不同用户的需求，为用户制定个性化精准医疗计划，从而实现精准医疗，提高疾病预防与诊治的效益。</w:t>
      </w:r>
    </w:p>
    <w:p>
      <w:pPr>
        <w:tabs>
          <w:tab w:val="center" w:pos="4434"/>
        </w:tabs>
        <w:ind w:firstLine="0" w:firstLineChars="0"/>
        <w:jc w:val="left"/>
        <w:rPr>
          <w:rFonts w:ascii="仿宋_GB2312"/>
          <w:sz w:val="24"/>
          <w:szCs w:val="24"/>
        </w:rPr>
        <w:sectPr>
          <w:pgSz w:w="11906" w:h="16838"/>
          <w:pgMar w:top="1440" w:right="1800" w:bottom="1440" w:left="1800" w:header="851" w:footer="992" w:gutter="0"/>
          <w:cols w:space="425" w:num="1"/>
          <w:docGrid w:type="lines" w:linePitch="381" w:charSpace="0"/>
        </w:sectPr>
      </w:pPr>
    </w:p>
    <w:p>
      <w:pPr>
        <w:pStyle w:val="83"/>
        <w:ind w:firstLine="180" w:firstLineChars="45"/>
        <w:outlineLvl w:val="0"/>
        <w:rPr>
          <w:rFonts w:ascii="黑体" w:hAnsi="黑体" w:eastAsia="黑体"/>
          <w:sz w:val="40"/>
          <w:szCs w:val="40"/>
        </w:rPr>
      </w:pPr>
      <w:bookmarkStart w:id="65" w:name="_Toc61100209"/>
      <w:r>
        <w:rPr>
          <w:rFonts w:hint="eastAsia" w:ascii="黑体" w:hAnsi="黑体" w:eastAsia="黑体"/>
          <w:sz w:val="40"/>
          <w:szCs w:val="40"/>
        </w:rPr>
        <w:t>第三章 商业模式</w:t>
      </w:r>
      <w:bookmarkEnd w:id="48"/>
      <w:bookmarkEnd w:id="65"/>
    </w:p>
    <w:p>
      <w:pPr>
        <w:pStyle w:val="84"/>
        <w:ind w:firstLine="0" w:firstLineChars="0"/>
        <w:outlineLvl w:val="1"/>
        <w:rPr>
          <w:rFonts w:ascii="黑体" w:hAnsi="黑体"/>
          <w:b w:val="0"/>
          <w:sz w:val="30"/>
          <w:szCs w:val="30"/>
        </w:rPr>
      </w:pPr>
      <w:bookmarkStart w:id="66" w:name="_Toc61100210"/>
      <w:r>
        <w:rPr>
          <w:rFonts w:hint="eastAsia" w:ascii="黑体" w:hAnsi="黑体"/>
          <w:b w:val="0"/>
          <w:sz w:val="30"/>
          <w:szCs w:val="30"/>
        </w:rPr>
        <w:t>3.1市场环境分析</w:t>
      </w:r>
      <w:bookmarkEnd w:id="66"/>
    </w:p>
    <w:p>
      <w:pPr>
        <w:ind w:firstLine="480"/>
        <w:jc w:val="left"/>
        <w:rPr>
          <w:rFonts w:ascii="仿宋_GB2312"/>
          <w:sz w:val="24"/>
          <w:szCs w:val="24"/>
        </w:rPr>
      </w:pPr>
      <w:r>
        <w:rPr>
          <w:rFonts w:hint="eastAsia" w:ascii="仿宋_GB2312"/>
          <w:sz w:val="24"/>
          <w:szCs w:val="24"/>
        </w:rPr>
        <w:t>本章通过PEST分析法对公司外部宏观环境进行分析；通过与市场上现有同类医疗APP类比分析，为公司的战略制定提供理论依据。</w:t>
      </w:r>
    </w:p>
    <w:p>
      <w:pPr>
        <w:ind w:firstLine="482"/>
        <w:jc w:val="left"/>
        <w:rPr>
          <w:rFonts w:ascii="仿宋_GB2312"/>
          <w:b/>
          <w:sz w:val="24"/>
          <w:szCs w:val="24"/>
        </w:rPr>
      </w:pPr>
      <w:r>
        <w:rPr>
          <w:rFonts w:hint="eastAsia" w:ascii="仿宋_GB2312"/>
          <w:b/>
          <w:sz w:val="24"/>
          <w:szCs w:val="24"/>
        </w:rPr>
        <w:t>1.政策环境(Policy)</w:t>
      </w:r>
    </w:p>
    <w:p>
      <w:pPr>
        <w:ind w:firstLine="480"/>
        <w:jc w:val="left"/>
        <w:rPr>
          <w:rFonts w:ascii="仿宋_GB2312"/>
          <w:sz w:val="24"/>
          <w:szCs w:val="24"/>
        </w:rPr>
      </w:pPr>
      <w:r>
        <w:rPr>
          <w:rFonts w:hint="eastAsia" w:ascii="仿宋_GB2312"/>
          <w:sz w:val="24"/>
          <w:szCs w:val="24"/>
        </w:rPr>
        <w:t>（1）国家鼓励互联网+医疗结合，移动医疗迎来曙光。医疗卫生事业是构建社会主义和谐社会的最重要基础，也是保证人民日常生活的重要环节。医疗行业的健康发展关系到国计民生。</w:t>
      </w:r>
    </w:p>
    <w:p>
      <w:pPr>
        <w:ind w:firstLine="480"/>
        <w:jc w:val="left"/>
        <w:rPr>
          <w:rFonts w:ascii="仿宋_GB2312"/>
          <w:sz w:val="24"/>
          <w:szCs w:val="24"/>
        </w:rPr>
      </w:pPr>
      <w:r>
        <w:rPr>
          <w:rFonts w:hint="eastAsia" w:ascii="仿宋_GB2312"/>
          <w:sz w:val="24"/>
          <w:szCs w:val="24"/>
        </w:rPr>
        <w:t>A.2018年4月28日，国务院办公厅印发了《关于促进“互联网+医疗健康发展的意见》。意见指出，要着力突出解决好我国人口老龄化和慢性病等问题，推进实施健康中国战略，提升医疗卫生现代化管理水平。让医疗插上“互联网+”翅膀，着力构建“互联网+”分级诊疗体系建设，合理配置医疗资源，实现优质医疗资源共享，创新服务模式，提高服务效率，降低服务成本，满足人民群众日益增长的医疗卫生健康需求。</w:t>
      </w:r>
    </w:p>
    <w:p>
      <w:pPr>
        <w:ind w:firstLine="480"/>
        <w:jc w:val="left"/>
        <w:rPr>
          <w:rFonts w:ascii="仿宋_GB2312"/>
          <w:sz w:val="24"/>
          <w:szCs w:val="24"/>
        </w:rPr>
      </w:pPr>
      <w:r>
        <w:rPr>
          <w:rFonts w:hint="eastAsia" w:ascii="仿宋_GB2312"/>
          <w:sz w:val="24"/>
          <w:szCs w:val="24"/>
        </w:rPr>
        <w:t>B.2015年国务院办公厅印发《全国医疗卫生服务体系规划纲要（2015-2020年）》，明确指出积极引用云计算、物联网、移动互联网、大数据等信息化技术推动健康信息、智慧医疗服务，推动医疗卫生服务模式和管理模式的深刻转变。</w:t>
      </w:r>
    </w:p>
    <w:p>
      <w:pPr>
        <w:ind w:firstLine="480"/>
        <w:jc w:val="left"/>
        <w:rPr>
          <w:rFonts w:ascii="仿宋_GB2312"/>
          <w:sz w:val="24"/>
          <w:szCs w:val="24"/>
        </w:rPr>
      </w:pPr>
      <w:r>
        <w:rPr>
          <w:rFonts w:hint="eastAsia" w:ascii="仿宋_GB2312"/>
          <w:sz w:val="24"/>
          <w:szCs w:val="24"/>
        </w:rPr>
        <w:t>C.2017年5月国务院印发《关于推进互联网诊疗行动的指导意见》，鼓励互联网与医疗结合，推广在线医疗卫生新模式。缓解医疗卫生资源供给约束与卫生需求不断增长之间的矛盾。</w:t>
      </w:r>
    </w:p>
    <w:p>
      <w:pPr>
        <w:ind w:firstLine="480"/>
        <w:jc w:val="left"/>
        <w:rPr>
          <w:rFonts w:ascii="仿宋_GB2312"/>
          <w:sz w:val="24"/>
          <w:szCs w:val="24"/>
        </w:rPr>
      </w:pPr>
      <w:r>
        <w:rPr>
          <w:rFonts w:hint="eastAsia" w:ascii="仿宋_GB2312"/>
          <w:sz w:val="24"/>
          <w:szCs w:val="24"/>
        </w:rPr>
        <w:t>（2）推进医生多点执业，盘活医疗供给端存量产能。</w:t>
      </w:r>
    </w:p>
    <w:p>
      <w:pPr>
        <w:ind w:firstLine="480"/>
        <w:jc w:val="left"/>
        <w:rPr>
          <w:rFonts w:ascii="仿宋_GB2312"/>
          <w:sz w:val="24"/>
          <w:szCs w:val="24"/>
        </w:rPr>
      </w:pPr>
      <w:r>
        <w:rPr>
          <w:rFonts w:hint="eastAsia" w:ascii="仿宋_GB2312"/>
          <w:sz w:val="24"/>
          <w:szCs w:val="24"/>
        </w:rPr>
        <w:t>2016年3月《国务院办公厅关于促进医药产业健康发展的指导意见》指出：推动医生多点执业，提升基层医疗机构服务能力，加快落实分级诊疗。2016年11月《国家卫生计生委关于&lt;医师执业注册管理办法（征求意见稿）&gt;公开征求意见的通知》，规定在职医生可自由职业、可开办诊所。</w:t>
      </w:r>
    </w:p>
    <w:p>
      <w:pPr>
        <w:ind w:firstLine="480"/>
        <w:jc w:val="left"/>
        <w:rPr>
          <w:rFonts w:ascii="仿宋_GB2312"/>
          <w:sz w:val="24"/>
          <w:szCs w:val="24"/>
        </w:rPr>
      </w:pPr>
      <w:r>
        <w:rPr>
          <w:rFonts w:hint="eastAsia" w:ascii="仿宋_GB2312"/>
          <w:sz w:val="24"/>
          <w:szCs w:val="24"/>
        </w:rPr>
        <w:t>（3）鼓励精准医疗研究，发展移动智慧医疗。</w:t>
      </w:r>
    </w:p>
    <w:p>
      <w:pPr>
        <w:ind w:firstLine="480"/>
        <w:jc w:val="left"/>
        <w:rPr>
          <w:rFonts w:ascii="仿宋_GB2312"/>
          <w:sz w:val="24"/>
          <w:szCs w:val="24"/>
        </w:rPr>
      </w:pPr>
      <w:r>
        <w:rPr>
          <w:rFonts w:hint="eastAsia" w:ascii="仿宋_GB2312"/>
          <w:sz w:val="24"/>
          <w:szCs w:val="24"/>
        </w:rPr>
        <w:t>2016年8月科技部发布《国家重点研发计划精准医学研究等重点专项2016年度项目申报指南的通知》，鼓励精准医疗研究。2016年11月，国家卫生和计划生育委员会主任李斌在主旨演讲中提出，要大力发展“互联网+智慧医疗”，使之成为链接卫生服务体系的有效载体。</w:t>
      </w:r>
    </w:p>
    <w:p>
      <w:pPr>
        <w:ind w:firstLine="482"/>
        <w:jc w:val="left"/>
        <w:rPr>
          <w:rFonts w:ascii="仿宋_GB2312"/>
          <w:b/>
          <w:sz w:val="24"/>
          <w:szCs w:val="24"/>
        </w:rPr>
      </w:pPr>
      <w:r>
        <w:rPr>
          <w:rFonts w:hint="eastAsia" w:ascii="仿宋_GB2312"/>
          <w:b/>
          <w:sz w:val="24"/>
          <w:szCs w:val="24"/>
        </w:rPr>
        <w:t>2.经济环境(Economy)</w:t>
      </w:r>
    </w:p>
    <w:p>
      <w:pPr>
        <w:ind w:firstLine="480"/>
        <w:jc w:val="left"/>
        <w:rPr>
          <w:rFonts w:ascii="仿宋_GB2312"/>
          <w:sz w:val="24"/>
          <w:szCs w:val="24"/>
        </w:rPr>
      </w:pPr>
      <w:r>
        <w:rPr>
          <w:rFonts w:hint="eastAsia" w:ascii="仿宋_GB2312"/>
          <w:sz w:val="24"/>
          <w:szCs w:val="24"/>
        </w:rPr>
        <w:t>（1）人均医疗保健消费支出不断增长</w:t>
      </w:r>
    </w:p>
    <w:p>
      <w:pPr>
        <w:ind w:firstLine="480"/>
        <w:jc w:val="left"/>
        <w:rPr>
          <w:rFonts w:ascii="仿宋_GB2312"/>
          <w:sz w:val="24"/>
          <w:szCs w:val="24"/>
        </w:rPr>
      </w:pPr>
      <w:r>
        <w:rPr>
          <w:rFonts w:hint="eastAsia" w:ascii="仿宋_GB2312"/>
          <w:sz w:val="24"/>
          <w:szCs w:val="24"/>
        </w:rPr>
        <w:t>国家统计局数据显示，2018年居民人均可支配收入达到28228元，比上年增长8.7%。其中，中国居民人均医疗保健消费支出达到1685元，增长16.1%，占人均消费支出的比重为8.5%，超出人均生活用品及服务、衣着消费支出（如图3-1所示）。</w:t>
      </w:r>
    </w:p>
    <w:p>
      <w:pPr>
        <w:ind w:firstLine="482"/>
        <w:jc w:val="left"/>
        <w:rPr>
          <w:b/>
          <w:sz w:val="24"/>
          <w:szCs w:val="24"/>
        </w:rPr>
      </w:pPr>
      <w:r>
        <w:rPr>
          <w:b/>
          <w:sz w:val="24"/>
          <w:szCs w:val="24"/>
        </w:rPr>
        <w:drawing>
          <wp:inline distT="0" distB="0" distL="0" distR="0">
            <wp:extent cx="4848225" cy="2266950"/>
            <wp:effectExtent l="0" t="0" r="0" b="0"/>
            <wp:docPr id="17" name="图表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bookmarkEnd w:id="49"/>
    <w:p>
      <w:pPr>
        <w:spacing w:line="240" w:lineRule="auto"/>
        <w:ind w:firstLine="0" w:firstLineChars="0"/>
        <w:jc w:val="center"/>
        <w:rPr>
          <w:rFonts w:ascii="仿宋_GB2312"/>
          <w:sz w:val="21"/>
          <w:szCs w:val="24"/>
        </w:rPr>
      </w:pPr>
      <w:bookmarkStart w:id="67" w:name="_Toc4504549"/>
      <w:bookmarkStart w:id="68" w:name="_Hlk9115001"/>
      <w:r>
        <w:rPr>
          <w:rFonts w:hint="eastAsia" w:ascii="仿宋_GB2312"/>
          <w:sz w:val="21"/>
          <w:szCs w:val="24"/>
        </w:rPr>
        <w:t>图3-1人均可支配收入及医疗保健支出变化</w:t>
      </w:r>
    </w:p>
    <w:bookmarkEnd w:id="67"/>
    <w:bookmarkEnd w:id="68"/>
    <w:p>
      <w:pPr>
        <w:ind w:firstLine="480"/>
        <w:jc w:val="left"/>
        <w:rPr>
          <w:rFonts w:ascii="仿宋_GB2312"/>
          <w:sz w:val="24"/>
          <w:szCs w:val="24"/>
        </w:rPr>
      </w:pPr>
      <w:bookmarkStart w:id="69" w:name="_Toc4504550"/>
      <w:r>
        <w:rPr>
          <w:rFonts w:hint="eastAsia" w:ascii="仿宋_GB2312"/>
          <w:sz w:val="24"/>
          <w:szCs w:val="24"/>
        </w:rPr>
        <w:t>（2）移动医疗发展迅猛，资本关注度高。</w:t>
      </w:r>
    </w:p>
    <w:p>
      <w:pPr>
        <w:ind w:firstLine="480"/>
        <w:jc w:val="left"/>
        <w:rPr>
          <w:rFonts w:ascii="仿宋_GB2312"/>
          <w:sz w:val="24"/>
          <w:szCs w:val="24"/>
        </w:rPr>
      </w:pPr>
      <w:r>
        <w:rPr>
          <w:rFonts w:hint="eastAsia" w:ascii="仿宋_GB2312"/>
          <w:sz w:val="24"/>
          <w:szCs w:val="24"/>
        </w:rPr>
        <w:t>2017年，第三方数据服务平台TalkingData发布的《2017年移动医疗行业数据报告》显示，截至2017年9月，移动医疗市场的用户规模为3.86亿，尚有较大增长空间。同时横向比较各类O2O应用，移动医疗在2017年上半年用户覆盖量增速达263%,在O2O各领域居首位。</w:t>
      </w:r>
    </w:p>
    <w:p>
      <w:pPr>
        <w:ind w:firstLine="482"/>
        <w:jc w:val="left"/>
        <w:rPr>
          <w:rFonts w:ascii="仿宋_GB2312"/>
          <w:b/>
          <w:sz w:val="24"/>
          <w:szCs w:val="24"/>
        </w:rPr>
      </w:pPr>
      <w:r>
        <w:rPr>
          <w:rFonts w:hint="eastAsia" w:ascii="仿宋_GB2312"/>
          <w:b/>
          <w:sz w:val="24"/>
          <w:szCs w:val="24"/>
        </w:rPr>
        <w:t>3.社会环境(Society)</w:t>
      </w:r>
    </w:p>
    <w:p>
      <w:pPr>
        <w:ind w:firstLine="480"/>
        <w:jc w:val="left"/>
        <w:rPr>
          <w:rFonts w:ascii="仿宋_GB2312"/>
          <w:sz w:val="24"/>
          <w:szCs w:val="24"/>
        </w:rPr>
      </w:pPr>
      <w:r>
        <w:rPr>
          <w:rFonts w:hint="eastAsia" w:ascii="仿宋_GB2312"/>
          <w:sz w:val="24"/>
          <w:szCs w:val="24"/>
        </w:rPr>
        <w:t>（1）问诊服务需求量大，但医疗资源不足。</w:t>
      </w:r>
    </w:p>
    <w:p>
      <w:pPr>
        <w:ind w:firstLine="480"/>
        <w:jc w:val="left"/>
        <w:rPr>
          <w:rFonts w:ascii="仿宋_GB2312"/>
          <w:sz w:val="24"/>
          <w:szCs w:val="24"/>
        </w:rPr>
      </w:pPr>
      <w:r>
        <w:rPr>
          <w:rFonts w:hint="eastAsia" w:ascii="仿宋_GB2312"/>
          <w:sz w:val="24"/>
          <w:szCs w:val="24"/>
        </w:rPr>
        <w:t>2016年，我国医疗卫生机构的诊疗次数已达到79.3亿人次，但全国每千人口执业（助理）医师数量仅2.31人，且连续多年保持稳定，医疗卫生资源约束与需求不断增长之间的矛盾激烈。</w:t>
      </w:r>
    </w:p>
    <w:p>
      <w:pPr>
        <w:ind w:firstLine="480"/>
        <w:jc w:val="left"/>
        <w:rPr>
          <w:rFonts w:ascii="仿宋_GB2312"/>
          <w:sz w:val="24"/>
          <w:szCs w:val="24"/>
        </w:rPr>
      </w:pPr>
      <w:r>
        <w:rPr>
          <w:rFonts w:hint="eastAsia" w:ascii="仿宋_GB2312"/>
          <w:sz w:val="24"/>
          <w:szCs w:val="24"/>
        </w:rPr>
        <w:t>（2）人口老龄化趋势严重，老年健康备受关注。</w:t>
      </w:r>
    </w:p>
    <w:p>
      <w:pPr>
        <w:ind w:firstLine="480"/>
        <w:jc w:val="left"/>
        <w:rPr>
          <w:rFonts w:ascii="仿宋_GB2312"/>
          <w:sz w:val="24"/>
          <w:szCs w:val="24"/>
        </w:rPr>
      </w:pPr>
      <w:r>
        <w:rPr>
          <w:rFonts w:hint="eastAsia" w:ascii="仿宋_GB2312"/>
          <w:sz w:val="24"/>
          <w:szCs w:val="24"/>
        </w:rPr>
        <w:t>中国老龄化仍呈低龄老龄化特征，老年人平均年龄为70岁。根据国家统计局的数据显示，2018年，我国65岁以上人口为166.58百万人，占总人口的10.92%，预计到2021年达到194.2百万人，占总人口的13.8%，老年人的健康问题成为社会热点（如图3-2所示）。</w:t>
      </w:r>
    </w:p>
    <w:p>
      <w:pPr>
        <w:pStyle w:val="84"/>
        <w:spacing w:line="440" w:lineRule="exact"/>
        <w:ind w:firstLine="480"/>
        <w:jc w:val="both"/>
        <w:rPr>
          <w:rFonts w:eastAsia="仿宋_GB2312"/>
          <w:b w:val="0"/>
          <w:sz w:val="24"/>
          <w:szCs w:val="24"/>
        </w:rPr>
      </w:pPr>
    </w:p>
    <w:p>
      <w:pPr>
        <w:spacing w:line="240" w:lineRule="auto"/>
        <w:ind w:firstLine="0" w:firstLineChars="0"/>
        <w:jc w:val="center"/>
        <w:rPr>
          <w:rFonts w:hint="eastAsia" w:ascii="仿宋_GB2312"/>
          <w:sz w:val="21"/>
          <w:szCs w:val="24"/>
        </w:rPr>
      </w:pPr>
      <w:r>
        <w:rPr>
          <w:rFonts w:hint="eastAsia" w:ascii="仿宋_GB2312"/>
          <w:sz w:val="21"/>
          <w:szCs w:val="24"/>
        </w:rPr>
        <w:drawing>
          <wp:inline distT="0" distB="0" distL="0" distR="0">
            <wp:extent cx="4895850" cy="2114550"/>
            <wp:effectExtent l="0" t="0" r="0" b="0"/>
            <wp:docPr id="19"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pPr>
        <w:spacing w:line="240" w:lineRule="auto"/>
        <w:ind w:firstLine="0" w:firstLineChars="0"/>
        <w:jc w:val="center"/>
        <w:rPr>
          <w:rFonts w:ascii="仿宋_GB2312"/>
          <w:sz w:val="21"/>
          <w:szCs w:val="24"/>
        </w:rPr>
      </w:pPr>
      <w:r>
        <w:rPr>
          <w:rFonts w:hint="eastAsia" w:ascii="仿宋_GB2312"/>
          <w:sz w:val="21"/>
          <w:szCs w:val="24"/>
        </w:rPr>
        <w:t>图3-2 2010-2018年中国人口中65岁及以上人口比重变化</w:t>
      </w:r>
    </w:p>
    <w:p>
      <w:pPr>
        <w:ind w:firstLine="480"/>
        <w:jc w:val="left"/>
        <w:rPr>
          <w:rFonts w:ascii="仿宋_GB2312"/>
          <w:sz w:val="24"/>
          <w:szCs w:val="24"/>
        </w:rPr>
      </w:pPr>
      <w:r>
        <w:rPr>
          <w:rFonts w:hint="eastAsia" w:ascii="仿宋_GB2312"/>
          <w:sz w:val="24"/>
          <w:szCs w:val="24"/>
        </w:rPr>
        <w:t>（3）慢性病患病率不断上升，科学防治刻不容缓。</w:t>
      </w:r>
    </w:p>
    <w:p>
      <w:pPr>
        <w:ind w:firstLine="480"/>
        <w:jc w:val="left"/>
        <w:rPr>
          <w:rFonts w:ascii="仿宋_GB2312"/>
          <w:sz w:val="24"/>
          <w:szCs w:val="24"/>
        </w:rPr>
      </w:pPr>
      <w:r>
        <w:rPr>
          <w:rFonts w:hint="eastAsia" w:ascii="仿宋_GB2312"/>
          <w:sz w:val="24"/>
          <w:szCs w:val="24"/>
        </w:rPr>
        <w:t>近年来，以高血压、糖尿病为代表慢性病成为我国居民的主要疾病负担，并呈现年轻化趋势。国家卫计委2018年的数据显示:我国18岁及以上成人高血压患病率为25.2%，预测目前的患病率已经超过30%，意味着每3个成年人就有一个高血压。这极大地加剧了医疗负担，因此对慢性病展开科学防治十分重要。</w:t>
      </w:r>
    </w:p>
    <w:p>
      <w:pPr>
        <w:ind w:firstLine="482"/>
        <w:jc w:val="left"/>
        <w:rPr>
          <w:rFonts w:ascii="仿宋_GB2312"/>
          <w:b/>
          <w:sz w:val="24"/>
          <w:szCs w:val="24"/>
        </w:rPr>
      </w:pPr>
      <w:r>
        <w:rPr>
          <w:rFonts w:hint="eastAsia" w:ascii="仿宋_GB2312"/>
          <w:b/>
          <w:sz w:val="24"/>
          <w:szCs w:val="24"/>
        </w:rPr>
        <w:t>4.技术环境（Technology）</w:t>
      </w:r>
    </w:p>
    <w:p>
      <w:pPr>
        <w:ind w:firstLine="480"/>
        <w:jc w:val="left"/>
        <w:rPr>
          <w:rFonts w:ascii="仿宋_GB2312"/>
          <w:sz w:val="24"/>
          <w:szCs w:val="24"/>
        </w:rPr>
      </w:pPr>
      <w:r>
        <w:rPr>
          <w:rFonts w:hint="eastAsia" w:ascii="仿宋_GB2312"/>
          <w:sz w:val="24"/>
          <w:szCs w:val="24"/>
        </w:rPr>
        <w:t>（1）互联网信息技术高速发展促进了医疗方式转变</w:t>
      </w:r>
    </w:p>
    <w:p>
      <w:pPr>
        <w:ind w:firstLine="480"/>
        <w:jc w:val="left"/>
        <w:rPr>
          <w:rFonts w:ascii="仿宋_GB2312"/>
          <w:sz w:val="24"/>
          <w:szCs w:val="24"/>
        </w:rPr>
      </w:pPr>
      <w:r>
        <w:rPr>
          <w:rFonts w:hint="eastAsia" w:ascii="仿宋_GB2312"/>
          <w:sz w:val="24"/>
          <w:szCs w:val="24"/>
        </w:rPr>
        <w:t>医疗机构采用云计算技术削减IT成本，组织、分享和保护病患数据。大数据分析和应用深入医疗服务业，提高医疗效率和医疗效果。远程医疗技术实现实时语音和高清晰图像交流，包括会诊、教育、咨询系统等。</w:t>
      </w:r>
    </w:p>
    <w:p>
      <w:pPr>
        <w:ind w:firstLine="480"/>
        <w:jc w:val="left"/>
        <w:rPr>
          <w:rFonts w:ascii="仿宋_GB2312"/>
          <w:sz w:val="24"/>
          <w:szCs w:val="24"/>
        </w:rPr>
      </w:pPr>
      <w:r>
        <w:rPr>
          <w:rFonts w:hint="eastAsia" w:ascii="仿宋_GB2312"/>
          <w:sz w:val="24"/>
          <w:szCs w:val="24"/>
        </w:rPr>
        <w:t>（2）智能手机的普遍使用和网上医疗市场的逐渐成熟</w:t>
      </w:r>
    </w:p>
    <w:p>
      <w:pPr>
        <w:ind w:firstLine="480"/>
        <w:jc w:val="left"/>
        <w:rPr>
          <w:rFonts w:ascii="仿宋_GB2312"/>
          <w:sz w:val="24"/>
          <w:szCs w:val="24"/>
        </w:rPr>
      </w:pPr>
      <w:r>
        <w:rPr>
          <w:rFonts w:hint="eastAsia" w:ascii="仿宋_GB2312"/>
          <w:sz w:val="24"/>
          <w:szCs w:val="24"/>
        </w:rPr>
        <w:t>随着移动互联网的发展，移动终端设备的普及率大大提高，目前中国手机用户人群规模已达9亿人。其中手机网民规模达4.6376亿人，占整体网民比例的78.5%。与此同时，伴随着物联网、云计算、移动互联网的迅猛发展，智能医疗开始爆发。目前正在开发医疗App的公司已经有500～600家，有超过2000款的移动医疗应用。</w:t>
      </w:r>
    </w:p>
    <w:p>
      <w:pPr>
        <w:ind w:firstLine="480"/>
        <w:jc w:val="left"/>
        <w:rPr>
          <w:rFonts w:ascii="仿宋_GB2312"/>
          <w:sz w:val="24"/>
          <w:szCs w:val="24"/>
        </w:rPr>
      </w:pPr>
      <w:r>
        <w:rPr>
          <w:rFonts w:hint="eastAsia" w:ascii="仿宋_GB2312"/>
          <w:sz w:val="24"/>
          <w:szCs w:val="24"/>
        </w:rPr>
        <w:t>（3）巨头布局人工智能生态降低医疗垂直领域服务门槛</w:t>
      </w:r>
    </w:p>
    <w:p>
      <w:pPr>
        <w:ind w:firstLine="480"/>
        <w:jc w:val="left"/>
        <w:rPr>
          <w:rFonts w:ascii="仿宋_GB2312"/>
          <w:sz w:val="24"/>
          <w:szCs w:val="24"/>
        </w:rPr>
      </w:pPr>
      <w:r>
        <w:rPr>
          <w:rFonts w:hint="eastAsia" w:ascii="仿宋_GB2312"/>
          <w:sz w:val="24"/>
          <w:szCs w:val="24"/>
        </w:rPr>
        <w:t>2010年以来，IBM、Facebook、Google、阿里巴巴、腾讯、百度等科技巨头纷纷宣布布局人工智能生态，不断开源，降低初创企业的进入门槛，使得人工智能服务在强大运算能力基础上得以出现更多医疗场景应用。</w:t>
      </w:r>
    </w:p>
    <w:p>
      <w:pPr>
        <w:ind w:firstLine="480"/>
        <w:jc w:val="left"/>
        <w:rPr>
          <w:rFonts w:ascii="仿宋_GB2312"/>
          <w:sz w:val="24"/>
          <w:szCs w:val="24"/>
        </w:rPr>
      </w:pPr>
      <w:r>
        <w:rPr>
          <w:rFonts w:hint="eastAsia" w:ascii="仿宋_GB2312"/>
          <w:sz w:val="24"/>
          <w:szCs w:val="24"/>
        </w:rPr>
        <w:t>（4）医疗数据量不断增加，为精准医疗发展提供良好基础。</w:t>
      </w:r>
    </w:p>
    <w:p>
      <w:pPr>
        <w:ind w:firstLine="480"/>
        <w:jc w:val="left"/>
        <w:rPr>
          <w:rFonts w:ascii="仿宋_GB2312"/>
          <w:sz w:val="24"/>
          <w:szCs w:val="24"/>
        </w:rPr>
      </w:pPr>
      <w:r>
        <w:rPr>
          <w:rFonts w:hint="eastAsia" w:ascii="仿宋_GB2312"/>
          <w:sz w:val="24"/>
          <w:szCs w:val="24"/>
        </w:rPr>
        <w:t>IDCDigital预测，截止2020年，医疗数据量将达40万亿GB，是2010年的30倍。数据生成和共享速度迅速增加，为精准医疗发展提供良好基础，最终实现对疾病和特定患者进行个性化精准治疗的目的，提高疾病诊治与预防的效益。</w:t>
      </w:r>
    </w:p>
    <w:p>
      <w:pPr>
        <w:ind w:firstLine="480"/>
        <w:jc w:val="left"/>
        <w:rPr>
          <w:rFonts w:ascii="仿宋_GB2312"/>
          <w:sz w:val="24"/>
          <w:szCs w:val="24"/>
        </w:rPr>
      </w:pPr>
    </w:p>
    <w:p>
      <w:pPr>
        <w:pStyle w:val="84"/>
        <w:ind w:firstLine="0" w:firstLineChars="0"/>
        <w:outlineLvl w:val="1"/>
        <w:rPr>
          <w:rFonts w:ascii="黑体" w:hAnsi="黑体"/>
          <w:b w:val="0"/>
          <w:sz w:val="30"/>
          <w:szCs w:val="30"/>
        </w:rPr>
      </w:pPr>
      <w:bookmarkStart w:id="70" w:name="_Toc61100211"/>
      <w:r>
        <w:rPr>
          <w:rFonts w:hint="eastAsia" w:ascii="黑体" w:hAnsi="黑体"/>
          <w:b w:val="0"/>
          <w:sz w:val="30"/>
          <w:szCs w:val="30"/>
        </w:rPr>
        <w:t>3.2现有移动医疗APP比较</w:t>
      </w:r>
      <w:bookmarkEnd w:id="70"/>
    </w:p>
    <w:p>
      <w:pPr>
        <w:ind w:firstLine="480"/>
        <w:jc w:val="left"/>
        <w:rPr>
          <w:rFonts w:ascii="仿宋_GB2312"/>
          <w:sz w:val="24"/>
          <w:szCs w:val="24"/>
        </w:rPr>
      </w:pPr>
      <w:r>
        <w:rPr>
          <w:rFonts w:hint="eastAsia" w:ascii="仿宋_GB2312"/>
          <w:sz w:val="24"/>
          <w:szCs w:val="24"/>
        </w:rPr>
        <w:t>根据中商产业研究院数据显示，截至2017年，我国市场上已有2000多种移动医疗APP。根据各移动医疗APP的服务功能和用户群体定位的差异，公司将现有移动医疗APP按照主要服务功能分为七类：（1）提供健康知识服务；（2）提供预约挂号服务；（3）提供健康数据分析服务；（4）提供健康自诊服务；（5）提供健康知识库服务；（6）提供在线咨询服务；（7）提供体检预约服务,并列举了7款具有代表性的APP进行展示（如表3-1所示）。</w:t>
      </w:r>
    </w:p>
    <w:p>
      <w:pPr>
        <w:ind w:firstLine="0" w:firstLineChars="0"/>
        <w:jc w:val="center"/>
        <w:rPr>
          <w:rFonts w:ascii="仿宋_GB2312"/>
          <w:sz w:val="21"/>
          <w:szCs w:val="24"/>
        </w:rPr>
      </w:pPr>
      <w:r>
        <w:rPr>
          <w:rFonts w:hint="eastAsia" w:ascii="仿宋_GB2312"/>
          <w:sz w:val="21"/>
          <w:szCs w:val="24"/>
        </w:rPr>
        <w:t>表3-1现有移动医疗APP比较</w:t>
      </w:r>
    </w:p>
    <w:tbl>
      <w:tblPr>
        <w:tblStyle w:val="33"/>
        <w:tblW w:w="9355" w:type="dxa"/>
        <w:jc w:val="center"/>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Layout w:type="autofit"/>
        <w:tblCellMar>
          <w:top w:w="0" w:type="dxa"/>
          <w:left w:w="108" w:type="dxa"/>
          <w:bottom w:w="0" w:type="dxa"/>
          <w:right w:w="108" w:type="dxa"/>
        </w:tblCellMar>
      </w:tblPr>
      <w:tblGrid>
        <w:gridCol w:w="1191"/>
        <w:gridCol w:w="1701"/>
        <w:gridCol w:w="1531"/>
        <w:gridCol w:w="2324"/>
        <w:gridCol w:w="2608"/>
      </w:tblGrid>
      <w:tr>
        <w:tblPrEx>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Ex>
        <w:trPr>
          <w:trHeight w:val="170" w:hRule="atLeast"/>
          <w:jc w:val="center"/>
        </w:trPr>
        <w:tc>
          <w:tcPr>
            <w:tcW w:w="1191" w:type="dxa"/>
            <w:tcBorders>
              <w:top w:val="single" w:color="4472C4" w:themeColor="accent5" w:sz="8" w:space="0"/>
              <w:left w:val="single" w:color="4472C4" w:themeColor="accent5" w:sz="8" w:space="0"/>
              <w:bottom w:val="single" w:color="4472C4" w:themeColor="accent5" w:sz="18" w:space="0"/>
              <w:right w:val="single" w:color="auto" w:sz="8" w:space="0"/>
              <w:insideH w:val="single" w:sz="18" w:space="0"/>
              <w:insideV w:val="single" w:sz="8" w:space="0"/>
            </w:tcBorders>
          </w:tcPr>
          <w:p>
            <w:pPr>
              <w:spacing w:before="0" w:after="0" w:line="240" w:lineRule="auto"/>
              <w:ind w:firstLine="0" w:firstLineChars="0"/>
              <w:jc w:val="left"/>
              <w:rPr>
                <w:rFonts w:ascii="宋体" w:hAnsi="宋体" w:eastAsia="宋体" w:cstheme="majorBidi"/>
                <w:b/>
                <w:bCs/>
                <w:sz w:val="18"/>
                <w:szCs w:val="18"/>
              </w:rPr>
            </w:pPr>
            <w:r>
              <w:rPr>
                <w:rFonts w:hint="eastAsia" w:ascii="宋体" w:hAnsi="宋体" w:eastAsia="宋体" w:cstheme="majorBidi"/>
                <w:b/>
                <w:bCs/>
                <w:sz w:val="18"/>
                <w:szCs w:val="18"/>
              </w:rPr>
              <w:t>名称</w:t>
            </w:r>
          </w:p>
        </w:tc>
        <w:tc>
          <w:tcPr>
            <w:tcW w:w="1701" w:type="dxa"/>
            <w:tcBorders>
              <w:top w:val="single" w:color="4472C4" w:themeColor="accent5" w:sz="8" w:space="0"/>
              <w:bottom w:val="single" w:color="4472C4" w:themeColor="accent5" w:sz="18" w:space="0"/>
              <w:right w:val="single" w:color="auto" w:sz="8" w:space="0"/>
              <w:insideH w:val="single" w:sz="18" w:space="0"/>
              <w:insideV w:val="single" w:sz="8" w:space="0"/>
            </w:tcBorders>
          </w:tcPr>
          <w:p>
            <w:pPr>
              <w:spacing w:before="0" w:after="0" w:line="240" w:lineRule="auto"/>
              <w:ind w:firstLine="0" w:firstLineChars="0"/>
              <w:jc w:val="left"/>
              <w:rPr>
                <w:rFonts w:ascii="宋体" w:hAnsi="宋体" w:eastAsia="宋体" w:cstheme="majorBidi"/>
                <w:b/>
                <w:bCs/>
                <w:sz w:val="18"/>
                <w:szCs w:val="18"/>
              </w:rPr>
            </w:pPr>
            <w:r>
              <w:rPr>
                <w:rFonts w:hint="eastAsia" w:ascii="宋体" w:hAnsi="宋体" w:eastAsia="宋体" w:cstheme="majorBidi"/>
                <w:b/>
                <w:bCs/>
                <w:sz w:val="18"/>
                <w:szCs w:val="18"/>
              </w:rPr>
              <w:t>定位</w:t>
            </w:r>
          </w:p>
        </w:tc>
        <w:tc>
          <w:tcPr>
            <w:tcW w:w="1531" w:type="dxa"/>
            <w:tcBorders>
              <w:top w:val="single" w:color="4472C4" w:themeColor="accent5" w:sz="8" w:space="0"/>
              <w:bottom w:val="single" w:color="4472C4" w:themeColor="accent5" w:sz="18" w:space="0"/>
              <w:right w:val="single" w:color="auto" w:sz="8" w:space="0"/>
              <w:insideH w:val="single" w:sz="18" w:space="0"/>
              <w:insideV w:val="single" w:sz="8" w:space="0"/>
            </w:tcBorders>
          </w:tcPr>
          <w:p>
            <w:pPr>
              <w:spacing w:before="0" w:after="0" w:line="240" w:lineRule="auto"/>
              <w:ind w:firstLine="0" w:firstLineChars="0"/>
              <w:jc w:val="left"/>
              <w:rPr>
                <w:rFonts w:ascii="宋体" w:hAnsi="宋体" w:eastAsia="宋体" w:cstheme="majorBidi"/>
                <w:b/>
                <w:bCs/>
                <w:sz w:val="18"/>
                <w:szCs w:val="18"/>
              </w:rPr>
            </w:pPr>
            <w:r>
              <w:rPr>
                <w:rFonts w:hint="eastAsia" w:ascii="宋体" w:hAnsi="宋体" w:eastAsia="宋体" w:cstheme="majorBidi"/>
                <w:b/>
                <w:bCs/>
                <w:sz w:val="18"/>
                <w:szCs w:val="18"/>
              </w:rPr>
              <w:t>主要服务</w:t>
            </w:r>
          </w:p>
        </w:tc>
        <w:tc>
          <w:tcPr>
            <w:tcW w:w="2324" w:type="dxa"/>
            <w:tcBorders>
              <w:top w:val="single" w:color="4472C4" w:themeColor="accent5" w:sz="8" w:space="0"/>
              <w:bottom w:val="single" w:color="4472C4" w:themeColor="accent5" w:sz="18" w:space="0"/>
              <w:right w:val="single" w:color="auto" w:sz="8" w:space="0"/>
              <w:insideH w:val="single" w:sz="18" w:space="0"/>
              <w:insideV w:val="single" w:sz="8" w:space="0"/>
            </w:tcBorders>
          </w:tcPr>
          <w:p>
            <w:pPr>
              <w:spacing w:before="0" w:after="0" w:line="240" w:lineRule="auto"/>
              <w:ind w:firstLine="0" w:firstLineChars="0"/>
              <w:jc w:val="left"/>
              <w:rPr>
                <w:rFonts w:ascii="宋体" w:hAnsi="宋体" w:eastAsia="宋体" w:cstheme="majorBidi"/>
                <w:b/>
                <w:bCs/>
                <w:sz w:val="18"/>
                <w:szCs w:val="18"/>
              </w:rPr>
            </w:pPr>
            <w:r>
              <w:rPr>
                <w:rFonts w:hint="eastAsia" w:ascii="宋体" w:hAnsi="宋体" w:eastAsia="宋体" w:cstheme="majorBidi"/>
                <w:b/>
                <w:bCs/>
                <w:sz w:val="18"/>
                <w:szCs w:val="18"/>
              </w:rPr>
              <w:t>优势</w:t>
            </w:r>
          </w:p>
        </w:tc>
        <w:tc>
          <w:tcPr>
            <w:tcW w:w="2608" w:type="dxa"/>
            <w:tcBorders>
              <w:top w:val="single" w:color="4472C4" w:themeColor="accent5" w:sz="8" w:space="0"/>
              <w:bottom w:val="single" w:color="4472C4" w:themeColor="accent5" w:sz="18" w:space="0"/>
              <w:right w:val="single" w:color="4472C4" w:themeColor="accent5" w:sz="8" w:space="0"/>
              <w:insideH w:val="single" w:sz="18" w:space="0"/>
              <w:insideV w:val="single" w:sz="8" w:space="0"/>
            </w:tcBorders>
          </w:tcPr>
          <w:p>
            <w:pPr>
              <w:spacing w:before="0" w:after="0" w:line="240" w:lineRule="auto"/>
              <w:ind w:firstLine="0" w:firstLineChars="0"/>
              <w:jc w:val="left"/>
              <w:rPr>
                <w:rFonts w:ascii="宋体" w:hAnsi="宋体" w:eastAsia="宋体" w:cstheme="majorBidi"/>
                <w:b/>
                <w:bCs/>
                <w:sz w:val="18"/>
                <w:szCs w:val="18"/>
              </w:rPr>
            </w:pPr>
            <w:r>
              <w:rPr>
                <w:rFonts w:hint="eastAsia" w:ascii="宋体" w:hAnsi="宋体" w:eastAsia="宋体" w:cstheme="majorBidi"/>
                <w:b/>
                <w:bCs/>
                <w:sz w:val="18"/>
                <w:szCs w:val="18"/>
              </w:rPr>
              <w:t>劣势</w:t>
            </w:r>
          </w:p>
        </w:tc>
      </w:tr>
      <w:tr>
        <w:tblPrEx>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Ex>
        <w:trPr>
          <w:trHeight w:val="57" w:hRule="atLeast"/>
          <w:jc w:val="center"/>
        </w:trPr>
        <w:tc>
          <w:tcPr>
            <w:tcW w:w="1191" w:type="dxa"/>
          </w:tcPr>
          <w:p>
            <w:pPr>
              <w:spacing w:line="240" w:lineRule="auto"/>
              <w:ind w:firstLine="0" w:firstLineChars="0"/>
              <w:jc w:val="left"/>
              <w:rPr>
                <w:rFonts w:ascii="宋体" w:hAnsi="宋体" w:eastAsia="宋体" w:cstheme="majorBidi"/>
                <w:b/>
                <w:bCs/>
                <w:sz w:val="18"/>
                <w:szCs w:val="18"/>
              </w:rPr>
            </w:pPr>
            <w:r>
              <w:rPr>
                <w:rFonts w:hint="eastAsia" w:ascii="宋体" w:hAnsi="宋体" w:eastAsia="宋体" w:cstheme="majorBidi"/>
                <w:b/>
                <w:bCs/>
                <w:sz w:val="18"/>
                <w:szCs w:val="18"/>
              </w:rPr>
              <w:t>好大夫</w:t>
            </w:r>
          </w:p>
        </w:tc>
        <w:tc>
          <w:tcPr>
            <w:tcW w:w="170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医疗服务平台</w:t>
            </w:r>
          </w:p>
        </w:tc>
        <w:tc>
          <w:tcPr>
            <w:tcW w:w="153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提供健康知识</w:t>
            </w:r>
          </w:p>
        </w:tc>
        <w:tc>
          <w:tcPr>
            <w:tcW w:w="2324"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1.品牌知名度高</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2.服务完善</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3.经验和医疗资源丰富</w:t>
            </w:r>
          </w:p>
        </w:tc>
        <w:tc>
          <w:tcPr>
            <w:tcW w:w="2608"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 xml:space="preserve"> 1.法律法规的风险</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2.健康知识服务付费</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3.用户参与性不够</w:t>
            </w:r>
          </w:p>
        </w:tc>
      </w:tr>
      <w:tr>
        <w:tblPrEx>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Ex>
        <w:trPr>
          <w:trHeight w:val="170" w:hRule="atLeast"/>
          <w:jc w:val="center"/>
        </w:trPr>
        <w:tc>
          <w:tcPr>
            <w:tcW w:w="1191" w:type="dxa"/>
          </w:tcPr>
          <w:p>
            <w:pPr>
              <w:spacing w:line="240" w:lineRule="auto"/>
              <w:ind w:firstLine="0" w:firstLineChars="0"/>
              <w:jc w:val="left"/>
              <w:rPr>
                <w:rFonts w:ascii="宋体" w:hAnsi="宋体" w:eastAsia="宋体" w:cstheme="majorBidi"/>
                <w:b/>
                <w:bCs/>
                <w:sz w:val="18"/>
                <w:szCs w:val="18"/>
              </w:rPr>
            </w:pPr>
            <w:r>
              <w:rPr>
                <w:rFonts w:hint="eastAsia" w:ascii="宋体" w:hAnsi="宋体" w:eastAsia="宋体" w:cstheme="majorBidi"/>
                <w:b/>
                <w:bCs/>
                <w:sz w:val="18"/>
                <w:szCs w:val="18"/>
              </w:rPr>
              <w:t>健康160</w:t>
            </w:r>
          </w:p>
        </w:tc>
        <w:tc>
          <w:tcPr>
            <w:tcW w:w="170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就医预约挂号</w:t>
            </w:r>
          </w:p>
        </w:tc>
        <w:tc>
          <w:tcPr>
            <w:tcW w:w="153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预约挂号</w:t>
            </w:r>
          </w:p>
        </w:tc>
        <w:tc>
          <w:tcPr>
            <w:tcW w:w="2324"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1.个性化服务</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2.医患信息内部透明化</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3.界面设计简洁</w:t>
            </w:r>
          </w:p>
        </w:tc>
        <w:tc>
          <w:tcPr>
            <w:tcW w:w="2608"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1.功能比较单一</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2.用户无法掌控医生服务时间</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3.医生服务质量无法及时反馈</w:t>
            </w:r>
          </w:p>
        </w:tc>
      </w:tr>
      <w:tr>
        <w:tblPrEx>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Ex>
        <w:trPr>
          <w:trHeight w:val="170" w:hRule="atLeast"/>
          <w:jc w:val="center"/>
        </w:trPr>
        <w:tc>
          <w:tcPr>
            <w:tcW w:w="1191" w:type="dxa"/>
          </w:tcPr>
          <w:p>
            <w:pPr>
              <w:spacing w:line="240" w:lineRule="auto"/>
              <w:ind w:firstLine="0" w:firstLineChars="0"/>
              <w:jc w:val="left"/>
              <w:rPr>
                <w:rFonts w:ascii="宋体" w:hAnsi="宋体" w:eastAsia="宋体" w:cstheme="majorBidi"/>
                <w:b/>
                <w:bCs/>
                <w:sz w:val="18"/>
                <w:szCs w:val="18"/>
              </w:rPr>
            </w:pPr>
            <w:r>
              <w:rPr>
                <w:rFonts w:hint="eastAsia" w:ascii="宋体" w:hAnsi="宋体" w:eastAsia="宋体" w:cstheme="majorBidi"/>
                <w:b/>
                <w:bCs/>
                <w:sz w:val="18"/>
                <w:szCs w:val="18"/>
              </w:rPr>
              <w:t>秒健康</w:t>
            </w:r>
          </w:p>
        </w:tc>
        <w:tc>
          <w:tcPr>
            <w:tcW w:w="170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健康数据管理</w:t>
            </w:r>
          </w:p>
        </w:tc>
        <w:tc>
          <w:tcPr>
            <w:tcW w:w="153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健康数据分析</w:t>
            </w:r>
          </w:p>
        </w:tc>
        <w:tc>
          <w:tcPr>
            <w:tcW w:w="2324"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1.量身制作式服务</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2.人工智能技术领先</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3.健康管理体系完善</w:t>
            </w:r>
          </w:p>
        </w:tc>
        <w:tc>
          <w:tcPr>
            <w:tcW w:w="2608"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1.健康管理模式低效</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2.缺乏有效的鼓励机制</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3．健康数据孤立，不具综合性</w:t>
            </w:r>
          </w:p>
        </w:tc>
      </w:tr>
      <w:tr>
        <w:tblPrEx>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Ex>
        <w:trPr>
          <w:trHeight w:val="170" w:hRule="atLeast"/>
          <w:jc w:val="center"/>
        </w:trPr>
        <w:tc>
          <w:tcPr>
            <w:tcW w:w="1191" w:type="dxa"/>
          </w:tcPr>
          <w:p>
            <w:pPr>
              <w:spacing w:line="240" w:lineRule="auto"/>
              <w:ind w:firstLine="0" w:firstLineChars="0"/>
              <w:jc w:val="left"/>
              <w:rPr>
                <w:rFonts w:ascii="宋体" w:hAnsi="宋体" w:eastAsia="宋体" w:cstheme="majorBidi"/>
                <w:b/>
                <w:bCs/>
                <w:sz w:val="18"/>
                <w:szCs w:val="18"/>
              </w:rPr>
            </w:pPr>
            <w:r>
              <w:rPr>
                <w:rFonts w:hint="eastAsia" w:ascii="宋体" w:hAnsi="宋体" w:eastAsia="宋体" w:cstheme="majorBidi"/>
                <w:b/>
                <w:bCs/>
                <w:sz w:val="18"/>
                <w:szCs w:val="18"/>
              </w:rPr>
              <w:t>春雨医生</w:t>
            </w:r>
          </w:p>
        </w:tc>
        <w:tc>
          <w:tcPr>
            <w:tcW w:w="170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轻问诊</w:t>
            </w:r>
          </w:p>
        </w:tc>
        <w:tc>
          <w:tcPr>
            <w:tcW w:w="153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健康自诊服务</w:t>
            </w:r>
          </w:p>
        </w:tc>
        <w:tc>
          <w:tcPr>
            <w:tcW w:w="2324"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1.服务模式科学合理</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2.技术领先</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3.医疗资源较强</w:t>
            </w:r>
          </w:p>
        </w:tc>
        <w:tc>
          <w:tcPr>
            <w:tcW w:w="2608"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1.评价体系混乱</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2.缺少医生品牌吸引力</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3.医疗风险较大</w:t>
            </w:r>
          </w:p>
        </w:tc>
      </w:tr>
      <w:tr>
        <w:tblPrEx>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Ex>
        <w:trPr>
          <w:trHeight w:val="170" w:hRule="atLeast"/>
          <w:jc w:val="center"/>
        </w:trPr>
        <w:tc>
          <w:tcPr>
            <w:tcW w:w="1191" w:type="dxa"/>
          </w:tcPr>
          <w:p>
            <w:pPr>
              <w:spacing w:line="240" w:lineRule="auto"/>
              <w:ind w:firstLine="0" w:firstLineChars="0"/>
              <w:jc w:val="left"/>
              <w:rPr>
                <w:rFonts w:ascii="宋体" w:hAnsi="宋体" w:eastAsia="宋体" w:cstheme="majorBidi"/>
                <w:b/>
                <w:bCs/>
                <w:sz w:val="18"/>
                <w:szCs w:val="18"/>
              </w:rPr>
            </w:pPr>
            <w:r>
              <w:rPr>
                <w:rFonts w:hint="eastAsia" w:ascii="宋体" w:hAnsi="宋体" w:eastAsia="宋体" w:cstheme="majorBidi"/>
                <w:b/>
                <w:bCs/>
                <w:sz w:val="18"/>
                <w:szCs w:val="18"/>
              </w:rPr>
              <w:t>掌上糖医</w:t>
            </w:r>
          </w:p>
        </w:tc>
        <w:tc>
          <w:tcPr>
            <w:tcW w:w="170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糖尿病健康知识库</w:t>
            </w:r>
          </w:p>
        </w:tc>
        <w:tc>
          <w:tcPr>
            <w:tcW w:w="153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健康知识库</w:t>
            </w:r>
          </w:p>
        </w:tc>
        <w:tc>
          <w:tcPr>
            <w:tcW w:w="2324"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1.全方位、定制化的服务</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2.专业性强</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3.品牌知名度高</w:t>
            </w:r>
          </w:p>
        </w:tc>
        <w:tc>
          <w:tcPr>
            <w:tcW w:w="2608"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1.服务群体单一</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2.反馈机制较差</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3.现有基础数据不足</w:t>
            </w:r>
          </w:p>
        </w:tc>
      </w:tr>
      <w:tr>
        <w:tblPrEx>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Ex>
        <w:trPr>
          <w:trHeight w:val="170" w:hRule="atLeast"/>
          <w:jc w:val="center"/>
        </w:trPr>
        <w:tc>
          <w:tcPr>
            <w:tcW w:w="1191" w:type="dxa"/>
          </w:tcPr>
          <w:p>
            <w:pPr>
              <w:spacing w:line="240" w:lineRule="auto"/>
              <w:ind w:firstLine="0" w:firstLineChars="0"/>
              <w:jc w:val="left"/>
              <w:rPr>
                <w:rFonts w:ascii="宋体" w:hAnsi="宋体" w:eastAsia="宋体" w:cstheme="majorBidi"/>
                <w:b/>
                <w:bCs/>
                <w:sz w:val="18"/>
                <w:szCs w:val="18"/>
              </w:rPr>
            </w:pPr>
            <w:r>
              <w:rPr>
                <w:rFonts w:hint="eastAsia" w:ascii="宋体" w:hAnsi="宋体" w:eastAsia="宋体" w:cstheme="majorBidi"/>
                <w:b/>
                <w:bCs/>
                <w:sz w:val="18"/>
                <w:szCs w:val="18"/>
              </w:rPr>
              <w:t>慈云健康</w:t>
            </w:r>
          </w:p>
        </w:tc>
        <w:tc>
          <w:tcPr>
            <w:tcW w:w="170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在线咨询平台</w:t>
            </w:r>
          </w:p>
        </w:tc>
        <w:tc>
          <w:tcPr>
            <w:tcW w:w="153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在线咨询</w:t>
            </w:r>
          </w:p>
        </w:tc>
        <w:tc>
          <w:tcPr>
            <w:tcW w:w="2324"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1.医患间互动性强</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 市场广阔</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3.医疗资源丰富</w:t>
            </w:r>
          </w:p>
        </w:tc>
        <w:tc>
          <w:tcPr>
            <w:tcW w:w="2608"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1.医疗知识权威性差</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2.运营机制不够灵活</w:t>
            </w:r>
          </w:p>
        </w:tc>
      </w:tr>
      <w:tr>
        <w:tblPrEx>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Ex>
        <w:trPr>
          <w:trHeight w:val="170" w:hRule="atLeast"/>
          <w:jc w:val="center"/>
        </w:trPr>
        <w:tc>
          <w:tcPr>
            <w:tcW w:w="1191" w:type="dxa"/>
          </w:tcPr>
          <w:p>
            <w:pPr>
              <w:spacing w:line="240" w:lineRule="auto"/>
              <w:ind w:firstLine="0" w:firstLineChars="0"/>
              <w:jc w:val="left"/>
              <w:rPr>
                <w:rFonts w:ascii="宋体" w:hAnsi="宋体" w:eastAsia="宋体" w:cstheme="majorBidi"/>
                <w:b/>
                <w:bCs/>
                <w:sz w:val="18"/>
                <w:szCs w:val="18"/>
              </w:rPr>
            </w:pPr>
            <w:r>
              <w:rPr>
                <w:rFonts w:hint="eastAsia" w:ascii="宋体" w:hAnsi="宋体" w:eastAsia="宋体" w:cstheme="majorBidi"/>
                <w:b/>
                <w:bCs/>
                <w:sz w:val="18"/>
                <w:szCs w:val="18"/>
              </w:rPr>
              <w:t>51健康管理</w:t>
            </w:r>
          </w:p>
        </w:tc>
        <w:tc>
          <w:tcPr>
            <w:tcW w:w="170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线上体检预约</w:t>
            </w:r>
          </w:p>
        </w:tc>
        <w:tc>
          <w:tcPr>
            <w:tcW w:w="1531"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体检预约</w:t>
            </w:r>
          </w:p>
        </w:tc>
        <w:tc>
          <w:tcPr>
            <w:tcW w:w="2324"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1.操作方便</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2.个性化服务</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3.适用人群广</w:t>
            </w:r>
          </w:p>
        </w:tc>
        <w:tc>
          <w:tcPr>
            <w:tcW w:w="2608" w:type="dxa"/>
          </w:tcPr>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1.品牌知名度不高</w:t>
            </w:r>
          </w:p>
          <w:p>
            <w:pPr>
              <w:spacing w:line="240" w:lineRule="auto"/>
              <w:ind w:firstLine="0" w:firstLineChars="0"/>
              <w:jc w:val="left"/>
              <w:rPr>
                <w:rFonts w:ascii="宋体" w:hAnsi="宋体" w:eastAsia="宋体" w:cs="Times New Roman"/>
                <w:sz w:val="18"/>
                <w:szCs w:val="18"/>
              </w:rPr>
            </w:pPr>
            <w:r>
              <w:rPr>
                <w:rFonts w:hint="eastAsia" w:ascii="宋体" w:hAnsi="宋体" w:eastAsia="宋体" w:cs="Times New Roman"/>
                <w:sz w:val="18"/>
                <w:szCs w:val="18"/>
              </w:rPr>
              <w:t>2.资金不足</w:t>
            </w:r>
          </w:p>
        </w:tc>
      </w:tr>
    </w:tbl>
    <w:p>
      <w:pPr>
        <w:ind w:firstLine="480"/>
        <w:jc w:val="left"/>
        <w:rPr>
          <w:rFonts w:ascii="仿宋_GB2312"/>
          <w:sz w:val="24"/>
          <w:szCs w:val="24"/>
        </w:rPr>
      </w:pPr>
      <w:r>
        <w:rPr>
          <w:rFonts w:hint="eastAsia" w:ascii="仿宋_GB2312"/>
          <w:sz w:val="24"/>
          <w:szCs w:val="24"/>
        </w:rPr>
        <w:t>综合分析，我们可以得出以下结论：目前市面上出现的2000多种医疗APP中，要么是对传统医疗的补充，要么纯粹是一个宣传APP，要么就是传统医疗中部分功能的替代，并没有从整体上系统地再造整个医疗的流程和生态链，缺乏革命性的创新突破。</w:t>
      </w:r>
    </w:p>
    <w:p>
      <w:pPr>
        <w:ind w:firstLine="480"/>
        <w:jc w:val="left"/>
        <w:rPr>
          <w:rFonts w:ascii="仿宋_GB2312"/>
          <w:sz w:val="24"/>
          <w:szCs w:val="24"/>
        </w:rPr>
      </w:pPr>
      <w:r>
        <w:rPr>
          <w:rFonts w:hint="eastAsia" w:ascii="仿宋_GB2312"/>
          <w:sz w:val="24"/>
          <w:szCs w:val="24"/>
        </w:rPr>
        <w:t>而“e+医”顺应知识共享的时代特征，结合知识共享和分级免费模式，再造整个医疗生态链，催生新新型医疗业态。</w:t>
      </w:r>
    </w:p>
    <w:p>
      <w:pPr>
        <w:ind w:firstLine="480"/>
        <w:jc w:val="left"/>
        <w:rPr>
          <w:rFonts w:ascii="仿宋_GB2312"/>
          <w:sz w:val="24"/>
          <w:szCs w:val="24"/>
        </w:rPr>
      </w:pPr>
    </w:p>
    <w:p>
      <w:pPr>
        <w:pStyle w:val="84"/>
        <w:ind w:firstLine="0" w:firstLineChars="0"/>
        <w:outlineLvl w:val="1"/>
        <w:rPr>
          <w:rFonts w:ascii="黑体" w:hAnsi="黑体"/>
          <w:b w:val="0"/>
          <w:sz w:val="30"/>
          <w:szCs w:val="30"/>
        </w:rPr>
      </w:pPr>
      <w:bookmarkStart w:id="71" w:name="_Toc61100212"/>
      <w:r>
        <w:rPr>
          <w:rFonts w:hint="eastAsia" w:ascii="黑体" w:hAnsi="黑体"/>
          <w:b w:val="0"/>
          <w:sz w:val="30"/>
          <w:szCs w:val="30"/>
        </w:rPr>
        <w:t>3.3目标市场分析</w:t>
      </w:r>
      <w:bookmarkEnd w:id="71"/>
    </w:p>
    <w:p>
      <w:pPr>
        <w:ind w:firstLine="480"/>
        <w:jc w:val="left"/>
        <w:rPr>
          <w:rFonts w:ascii="仿宋_GB2312"/>
          <w:sz w:val="24"/>
          <w:szCs w:val="24"/>
        </w:rPr>
      </w:pPr>
      <w:r>
        <w:rPr>
          <w:rFonts w:hint="eastAsia" w:ascii="仿宋_GB2312"/>
          <w:sz w:val="24"/>
          <w:szCs w:val="24"/>
        </w:rPr>
        <w:t>选择恰当的目标市场，制定科学的目标市场APP推广策略，是企业保持持续竞争优势的关键，也是决定整个企业营销成败的核心。根据STP理论对市场进行细分，通过市场调查选择目标市场，制定相应的推广策略。</w:t>
      </w:r>
    </w:p>
    <w:p>
      <w:pPr>
        <w:tabs>
          <w:tab w:val="center" w:pos="4434"/>
        </w:tabs>
        <w:spacing w:line="500" w:lineRule="exact"/>
        <w:ind w:firstLine="0" w:firstLineChars="0"/>
        <w:jc w:val="left"/>
        <w:outlineLvl w:val="2"/>
        <w:rPr>
          <w:rFonts w:ascii="黑体" w:hAnsi="黑体" w:eastAsia="黑体" w:cs="Times New Roman"/>
        </w:rPr>
      </w:pPr>
      <w:bookmarkStart w:id="72" w:name="_Toc61100213"/>
      <w:r>
        <w:rPr>
          <w:rFonts w:hint="eastAsia" w:ascii="黑体" w:hAnsi="黑体" w:eastAsia="黑体" w:cs="Times New Roman"/>
        </w:rPr>
        <w:t>3.3.1市场细分</w:t>
      </w:r>
      <w:bookmarkEnd w:id="72"/>
    </w:p>
    <w:p>
      <w:pPr>
        <w:ind w:firstLine="480"/>
        <w:jc w:val="left"/>
        <w:rPr>
          <w:rFonts w:ascii="仿宋_GB2312"/>
          <w:sz w:val="24"/>
          <w:szCs w:val="24"/>
        </w:rPr>
      </w:pPr>
      <w:r>
        <w:rPr>
          <w:rFonts w:hint="eastAsia" w:ascii="仿宋_GB2312"/>
          <w:sz w:val="24"/>
          <w:szCs w:val="24"/>
        </w:rPr>
        <w:t>市场细分是根据具有相同的需要以及对某个营销行动有相似的反应来把潜在顾客分成不同的群体，所得到的群体被称为细分市场，也就是具有相对同质性的潜在顾客群体。移动医疗APP的开发与服务具有很强的差异性特点。公司在不同的发展阶段，面向的用户群体不同。用户对APP服务的需求也不尽相同，在具体的操作和使用过程中存在很大的行为差异，这就为移动医疗类APP的市场细分提供了客观依据。</w:t>
      </w:r>
    </w:p>
    <w:p>
      <w:pPr>
        <w:ind w:firstLine="480"/>
        <w:jc w:val="left"/>
        <w:rPr>
          <w:rFonts w:ascii="仿宋_GB2312"/>
          <w:sz w:val="24"/>
          <w:szCs w:val="24"/>
        </w:rPr>
      </w:pPr>
      <w:r>
        <w:rPr>
          <w:rFonts w:hint="eastAsia" w:ascii="仿宋_GB2312"/>
          <w:sz w:val="24"/>
          <w:szCs w:val="24"/>
        </w:rPr>
        <w:t>通过与好大夫、春雨医生等主要APP相比较，发现其服务模式虽然较完整，服务群体较广，但仍忽略或轻视了一些重要的细分市场。故公司从不同的发展阶段和面向群体出发，进行市场细分，以寻找竞争对手尚未满足的市场需求，逐步占领市场，扩大市场规模（如表3-2所示）。</w:t>
      </w:r>
    </w:p>
    <w:p>
      <w:pPr>
        <w:ind w:firstLine="0" w:firstLineChars="0"/>
        <w:jc w:val="center"/>
        <w:rPr>
          <w:rFonts w:ascii="仿宋_GB2312"/>
          <w:sz w:val="21"/>
          <w:szCs w:val="24"/>
        </w:rPr>
      </w:pPr>
      <w:r>
        <w:rPr>
          <w:rFonts w:hint="eastAsia" w:ascii="仿宋_GB2312"/>
          <w:sz w:val="21"/>
          <w:szCs w:val="24"/>
        </w:rPr>
        <w:t>表3-2 公司市场细分</w:t>
      </w:r>
    </w:p>
    <w:tbl>
      <w:tblPr>
        <w:tblStyle w:val="24"/>
        <w:tblW w:w="9695" w:type="dxa"/>
        <w:tblInd w:w="0" w:type="dxa"/>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7427"/>
      </w:tblGrid>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268" w:type="dxa"/>
            <w:tcBorders>
              <w:top w:val="single" w:color="5B9BD5" w:themeColor="accent1" w:sz="8" w:space="0"/>
              <w:left w:val="nil"/>
              <w:bottom w:val="single" w:color="5B9BD5" w:themeColor="accent1" w:sz="8" w:space="0"/>
              <w:right w:val="nil"/>
              <w:insideH w:val="single" w:sz="8" w:space="0"/>
              <w:insideV w:val="nil"/>
            </w:tcBorders>
          </w:tcPr>
          <w:p>
            <w:pPr>
              <w:spacing w:before="0" w:after="0" w:line="240" w:lineRule="auto"/>
              <w:ind w:firstLine="0" w:firstLineChars="0"/>
              <w:jc w:val="center"/>
              <w:rPr>
                <w:rFonts w:ascii="仿宋_GB2312"/>
                <w:b/>
                <w:bCs/>
                <w:color w:val="2E75B6" w:themeColor="accent1" w:themeShade="BF"/>
                <w:sz w:val="21"/>
                <w:szCs w:val="24"/>
              </w:rPr>
            </w:pPr>
            <w:r>
              <w:rPr>
                <w:rFonts w:hint="eastAsia" w:ascii="仿宋_GB2312"/>
                <w:b/>
                <w:bCs/>
                <w:color w:val="2E75B6" w:themeColor="accent1" w:themeShade="BF"/>
                <w:sz w:val="21"/>
                <w:szCs w:val="24"/>
              </w:rPr>
              <w:t>细分类型</w:t>
            </w:r>
          </w:p>
        </w:tc>
        <w:tc>
          <w:tcPr>
            <w:tcW w:w="7427"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rFonts w:ascii="仿宋_GB2312"/>
                <w:b/>
                <w:bCs/>
                <w:color w:val="2E75B6" w:themeColor="accent1" w:themeShade="BF"/>
                <w:sz w:val="21"/>
                <w:szCs w:val="24"/>
              </w:rPr>
            </w:pPr>
            <w:r>
              <w:rPr>
                <w:rFonts w:hint="eastAsia" w:ascii="仿宋_GB2312"/>
                <w:b/>
                <w:bCs/>
                <w:color w:val="2E75B6" w:themeColor="accent1" w:themeShade="BF"/>
                <w:sz w:val="21"/>
                <w:szCs w:val="24"/>
              </w:rPr>
              <w:t>主要类型</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268" w:type="dxa"/>
            <w:tcBorders>
              <w:left w:val="nil"/>
              <w:right w:val="nil"/>
              <w:insideV w:val="nil"/>
            </w:tcBorders>
            <w:shd w:val="clear" w:color="auto" w:fill="D6E6F4" w:themeFill="accent1" w:themeFillTint="3F"/>
          </w:tcPr>
          <w:p>
            <w:pPr>
              <w:spacing w:line="240" w:lineRule="auto"/>
              <w:ind w:firstLine="0" w:firstLineChars="0"/>
              <w:jc w:val="center"/>
              <w:rPr>
                <w:rFonts w:ascii="仿宋_GB2312"/>
                <w:b/>
                <w:bCs/>
                <w:color w:val="2E75B6" w:themeColor="accent1" w:themeShade="BF"/>
                <w:sz w:val="21"/>
                <w:szCs w:val="24"/>
              </w:rPr>
            </w:pPr>
            <w:r>
              <w:rPr>
                <w:rFonts w:hint="eastAsia" w:ascii="仿宋_GB2312"/>
                <w:b/>
                <w:bCs/>
                <w:color w:val="2E75B6" w:themeColor="accent1" w:themeShade="BF"/>
                <w:sz w:val="21"/>
                <w:szCs w:val="24"/>
              </w:rPr>
              <w:t>用户年龄</w:t>
            </w:r>
          </w:p>
        </w:tc>
        <w:tc>
          <w:tcPr>
            <w:tcW w:w="7427" w:type="dxa"/>
            <w:tcBorders>
              <w:right w:val="nil"/>
              <w:insideV w:val="nil"/>
            </w:tcBorders>
            <w:shd w:val="clear" w:color="auto" w:fill="D6E6F4" w:themeFill="accent1" w:themeFillTint="3F"/>
          </w:tcPr>
          <w:p>
            <w:pPr>
              <w:spacing w:line="240" w:lineRule="auto"/>
              <w:ind w:firstLine="0" w:firstLineChars="0"/>
              <w:jc w:val="center"/>
              <w:rPr>
                <w:rFonts w:ascii="仿宋_GB2312"/>
                <w:color w:val="2E75B6" w:themeColor="accent1" w:themeShade="BF"/>
                <w:sz w:val="21"/>
                <w:szCs w:val="24"/>
              </w:rPr>
            </w:pPr>
            <w:r>
              <w:rPr>
                <w:rFonts w:hint="eastAsia" w:ascii="仿宋_GB2312"/>
                <w:color w:val="2E75B6" w:themeColor="accent1" w:themeShade="BF"/>
                <w:sz w:val="21"/>
                <w:szCs w:val="24"/>
              </w:rPr>
              <w:t>少年/青年/中年/老年</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268" w:type="dxa"/>
          </w:tcPr>
          <w:p>
            <w:pPr>
              <w:spacing w:line="240" w:lineRule="auto"/>
              <w:ind w:firstLine="0" w:firstLineChars="0"/>
              <w:jc w:val="center"/>
              <w:rPr>
                <w:rFonts w:ascii="仿宋_GB2312"/>
                <w:b/>
                <w:bCs/>
                <w:color w:val="2E75B6" w:themeColor="accent1" w:themeShade="BF"/>
                <w:sz w:val="21"/>
                <w:szCs w:val="24"/>
              </w:rPr>
            </w:pPr>
            <w:r>
              <w:rPr>
                <w:rFonts w:hint="eastAsia" w:ascii="仿宋_GB2312"/>
                <w:b/>
                <w:bCs/>
                <w:color w:val="2E75B6" w:themeColor="accent1" w:themeShade="BF"/>
                <w:sz w:val="21"/>
                <w:szCs w:val="24"/>
              </w:rPr>
              <w:t>用户文化程度</w:t>
            </w:r>
          </w:p>
        </w:tc>
        <w:tc>
          <w:tcPr>
            <w:tcW w:w="7427" w:type="dxa"/>
          </w:tcPr>
          <w:p>
            <w:pPr>
              <w:spacing w:line="240" w:lineRule="auto"/>
              <w:ind w:firstLine="0" w:firstLineChars="0"/>
              <w:jc w:val="center"/>
              <w:rPr>
                <w:rFonts w:ascii="仿宋_GB2312"/>
                <w:color w:val="2E75B6" w:themeColor="accent1" w:themeShade="BF"/>
                <w:sz w:val="21"/>
                <w:szCs w:val="24"/>
              </w:rPr>
            </w:pPr>
            <w:r>
              <w:rPr>
                <w:rFonts w:hint="eastAsia" w:ascii="仿宋_GB2312"/>
                <w:color w:val="2E75B6" w:themeColor="accent1" w:themeShade="BF"/>
                <w:sz w:val="21"/>
                <w:szCs w:val="24"/>
              </w:rPr>
              <w:t>文盲/小学/初中/高中/中专/大专/本科/硕士/博士</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268" w:type="dxa"/>
            <w:tcBorders>
              <w:left w:val="nil"/>
              <w:right w:val="nil"/>
              <w:insideV w:val="nil"/>
            </w:tcBorders>
            <w:shd w:val="clear" w:color="auto" w:fill="D6E6F4" w:themeFill="accent1" w:themeFillTint="3F"/>
          </w:tcPr>
          <w:p>
            <w:pPr>
              <w:spacing w:line="240" w:lineRule="auto"/>
              <w:ind w:firstLine="0" w:firstLineChars="0"/>
              <w:jc w:val="center"/>
              <w:rPr>
                <w:rFonts w:ascii="仿宋_GB2312"/>
                <w:b/>
                <w:bCs/>
                <w:color w:val="2E75B6" w:themeColor="accent1" w:themeShade="BF"/>
                <w:sz w:val="21"/>
                <w:szCs w:val="24"/>
              </w:rPr>
            </w:pPr>
            <w:r>
              <w:rPr>
                <w:rFonts w:hint="eastAsia" w:ascii="仿宋_GB2312"/>
                <w:b/>
                <w:bCs/>
                <w:color w:val="2E75B6" w:themeColor="accent1" w:themeShade="BF"/>
                <w:sz w:val="21"/>
                <w:szCs w:val="24"/>
              </w:rPr>
              <w:t>服务类型</w:t>
            </w:r>
          </w:p>
        </w:tc>
        <w:tc>
          <w:tcPr>
            <w:tcW w:w="7427" w:type="dxa"/>
            <w:tcBorders>
              <w:right w:val="nil"/>
              <w:insideV w:val="nil"/>
            </w:tcBorders>
            <w:shd w:val="clear" w:color="auto" w:fill="D6E6F4" w:themeFill="accent1" w:themeFillTint="3F"/>
          </w:tcPr>
          <w:p>
            <w:pPr>
              <w:spacing w:line="240" w:lineRule="auto"/>
              <w:ind w:firstLine="0" w:firstLineChars="0"/>
              <w:jc w:val="center"/>
              <w:rPr>
                <w:rFonts w:ascii="仿宋_GB2312"/>
                <w:color w:val="2E75B6" w:themeColor="accent1" w:themeShade="BF"/>
                <w:sz w:val="21"/>
                <w:szCs w:val="24"/>
              </w:rPr>
            </w:pPr>
            <w:r>
              <w:rPr>
                <w:rFonts w:hint="eastAsia" w:ascii="仿宋_GB2312"/>
                <w:color w:val="2E75B6" w:themeColor="accent1" w:themeShade="BF"/>
                <w:sz w:val="21"/>
                <w:szCs w:val="24"/>
              </w:rPr>
              <w:t>健康知识服务/预约挂号/健康数据分析......./健康自诊/在线咨询/综合服务</w:t>
            </w:r>
          </w:p>
        </w:tc>
      </w:tr>
    </w:tbl>
    <w:p>
      <w:pPr>
        <w:tabs>
          <w:tab w:val="center" w:pos="4434"/>
        </w:tabs>
        <w:spacing w:line="500" w:lineRule="exact"/>
        <w:ind w:firstLine="0" w:firstLineChars="0"/>
        <w:jc w:val="left"/>
        <w:outlineLvl w:val="2"/>
        <w:rPr>
          <w:rFonts w:ascii="黑体" w:hAnsi="黑体" w:eastAsia="黑体" w:cs="Times New Roman"/>
        </w:rPr>
      </w:pPr>
      <w:bookmarkStart w:id="73" w:name="_Toc61100214"/>
      <w:r>
        <w:rPr>
          <w:rFonts w:hint="eastAsia" w:ascii="黑体" w:hAnsi="黑体" w:eastAsia="黑体" w:cs="Times New Roman"/>
        </w:rPr>
        <w:t>3.3.2目标人群的选择</w:t>
      </w:r>
      <w:bookmarkEnd w:id="73"/>
    </w:p>
    <w:p>
      <w:pPr>
        <w:ind w:firstLine="480"/>
        <w:jc w:val="left"/>
        <w:rPr>
          <w:rFonts w:ascii="仿宋_GB2312"/>
          <w:sz w:val="24"/>
          <w:szCs w:val="24"/>
        </w:rPr>
      </w:pPr>
      <w:r>
        <w:rPr>
          <w:rFonts w:hint="eastAsia" w:ascii="仿宋_GB2312"/>
          <w:sz w:val="24"/>
          <w:szCs w:val="24"/>
        </w:rPr>
        <w:t>目标市场选择是指评估每个细分市场的吸引力程度，根据自己的实力和竞争优势选择进入一个或者多个市场。经市场调查分析，公司对细分市场进行了评估如表3-3所示（</w:t>
      </w:r>
      <w:r>
        <w:rPr>
          <w:rFonts w:hint="eastAsia" w:ascii="宋体" w:hAnsi="宋体" w:eastAsia="宋体"/>
          <w:sz w:val="24"/>
          <w:szCs w:val="24"/>
        </w:rPr>
        <w:t>★</w:t>
      </w:r>
      <w:r>
        <w:rPr>
          <w:rFonts w:hint="eastAsia" w:ascii="仿宋_GB2312"/>
          <w:sz w:val="24"/>
          <w:szCs w:val="24"/>
        </w:rPr>
        <w:t>表示20%）。</w:t>
      </w:r>
    </w:p>
    <w:p>
      <w:pPr>
        <w:ind w:firstLine="0" w:firstLineChars="0"/>
        <w:jc w:val="center"/>
        <w:rPr>
          <w:rFonts w:ascii="仿宋_GB2312"/>
          <w:sz w:val="21"/>
          <w:szCs w:val="24"/>
        </w:rPr>
      </w:pPr>
      <w:r>
        <w:rPr>
          <w:rFonts w:hint="eastAsia" w:ascii="仿宋_GB2312"/>
          <w:sz w:val="21"/>
          <w:szCs w:val="24"/>
        </w:rPr>
        <w:t>表3-3 细分市场评估</w:t>
      </w:r>
    </w:p>
    <w:tbl>
      <w:tblPr>
        <w:tblStyle w:val="23"/>
        <w:tblW w:w="92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701"/>
        <w:gridCol w:w="1928"/>
        <w:gridCol w:w="1391"/>
        <w:gridCol w:w="13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134" w:type="dxa"/>
          </w:tcPr>
          <w:p>
            <w:pPr>
              <w:spacing w:line="240" w:lineRule="auto"/>
              <w:ind w:firstLine="0" w:firstLineChars="0"/>
              <w:jc w:val="center"/>
              <w:rPr>
                <w:rFonts w:ascii="仿宋_GB2312"/>
                <w:sz w:val="21"/>
                <w:szCs w:val="24"/>
              </w:rPr>
            </w:pPr>
            <w:r>
              <w:rPr>
                <w:rFonts w:hint="eastAsia" w:ascii="仿宋_GB2312"/>
                <w:sz w:val="21"/>
                <w:szCs w:val="24"/>
              </w:rPr>
              <w:t>用户年龄</w:t>
            </w:r>
          </w:p>
        </w:tc>
        <w:tc>
          <w:tcPr>
            <w:tcW w:w="1701" w:type="dxa"/>
          </w:tcPr>
          <w:p>
            <w:pPr>
              <w:spacing w:line="240" w:lineRule="auto"/>
              <w:ind w:firstLine="0" w:firstLineChars="0"/>
              <w:jc w:val="center"/>
              <w:rPr>
                <w:rFonts w:ascii="仿宋_GB2312"/>
                <w:sz w:val="21"/>
                <w:szCs w:val="24"/>
              </w:rPr>
            </w:pPr>
            <w:r>
              <w:rPr>
                <w:rFonts w:hint="eastAsia" w:ascii="仿宋_GB2312"/>
                <w:sz w:val="21"/>
                <w:szCs w:val="24"/>
              </w:rPr>
              <w:t>慢性病患者人数</w:t>
            </w:r>
          </w:p>
        </w:tc>
        <w:tc>
          <w:tcPr>
            <w:tcW w:w="1701" w:type="dxa"/>
          </w:tcPr>
          <w:p>
            <w:pPr>
              <w:spacing w:line="240" w:lineRule="auto"/>
              <w:ind w:firstLine="0" w:firstLineChars="0"/>
              <w:jc w:val="center"/>
              <w:rPr>
                <w:rFonts w:ascii="仿宋_GB2312"/>
                <w:sz w:val="21"/>
                <w:szCs w:val="24"/>
              </w:rPr>
            </w:pPr>
            <w:r>
              <w:rPr>
                <w:rFonts w:hint="eastAsia" w:ascii="仿宋_GB2312"/>
                <w:sz w:val="21"/>
                <w:szCs w:val="24"/>
              </w:rPr>
              <w:t>智能手机用户数</w:t>
            </w:r>
          </w:p>
        </w:tc>
        <w:tc>
          <w:tcPr>
            <w:tcW w:w="1928" w:type="dxa"/>
          </w:tcPr>
          <w:p>
            <w:pPr>
              <w:spacing w:line="240" w:lineRule="auto"/>
              <w:ind w:firstLine="0" w:firstLineChars="0"/>
              <w:jc w:val="center"/>
              <w:rPr>
                <w:rFonts w:ascii="仿宋_GB2312"/>
                <w:sz w:val="21"/>
                <w:szCs w:val="24"/>
              </w:rPr>
            </w:pPr>
            <w:r>
              <w:rPr>
                <w:rFonts w:hint="eastAsia" w:ascii="仿宋_GB2312"/>
                <w:sz w:val="21"/>
                <w:szCs w:val="24"/>
              </w:rPr>
              <w:t>自身健康关注程度</w:t>
            </w:r>
          </w:p>
        </w:tc>
        <w:tc>
          <w:tcPr>
            <w:tcW w:w="1391" w:type="dxa"/>
          </w:tcPr>
          <w:p>
            <w:pPr>
              <w:spacing w:line="240" w:lineRule="auto"/>
              <w:ind w:firstLine="0" w:firstLineChars="0"/>
              <w:jc w:val="center"/>
              <w:rPr>
                <w:rFonts w:ascii="仿宋_GB2312"/>
                <w:sz w:val="21"/>
                <w:szCs w:val="24"/>
              </w:rPr>
            </w:pPr>
            <w:r>
              <w:rPr>
                <w:rFonts w:hint="eastAsia" w:ascii="仿宋_GB2312"/>
                <w:sz w:val="21"/>
                <w:szCs w:val="24"/>
              </w:rPr>
              <w:t>空闲时间量</w:t>
            </w:r>
          </w:p>
        </w:tc>
        <w:tc>
          <w:tcPr>
            <w:tcW w:w="1348" w:type="dxa"/>
          </w:tcPr>
          <w:p>
            <w:pPr>
              <w:spacing w:line="240" w:lineRule="auto"/>
              <w:ind w:firstLine="0" w:firstLineChars="0"/>
              <w:jc w:val="center"/>
              <w:rPr>
                <w:rFonts w:ascii="仿宋_GB2312"/>
                <w:sz w:val="21"/>
                <w:szCs w:val="24"/>
              </w:rPr>
            </w:pPr>
            <w:r>
              <w:rPr>
                <w:rFonts w:hint="eastAsia" w:ascii="仿宋_GB2312"/>
                <w:sz w:val="21"/>
                <w:szCs w:val="24"/>
              </w:rPr>
              <w:t>竞争程度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134" w:type="dxa"/>
          </w:tcPr>
          <w:p>
            <w:pPr>
              <w:spacing w:line="240" w:lineRule="auto"/>
              <w:ind w:firstLine="0" w:firstLineChars="0"/>
              <w:jc w:val="center"/>
              <w:rPr>
                <w:rFonts w:ascii="仿宋_GB2312"/>
                <w:sz w:val="21"/>
                <w:szCs w:val="24"/>
              </w:rPr>
            </w:pPr>
            <w:r>
              <w:rPr>
                <w:rFonts w:hint="eastAsia" w:ascii="仿宋_GB2312"/>
                <w:sz w:val="21"/>
                <w:szCs w:val="24"/>
              </w:rPr>
              <w:t>少年</w:t>
            </w:r>
          </w:p>
        </w:tc>
        <w:tc>
          <w:tcPr>
            <w:tcW w:w="1701"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701"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928"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391"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348"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134" w:type="dxa"/>
          </w:tcPr>
          <w:p>
            <w:pPr>
              <w:spacing w:line="240" w:lineRule="auto"/>
              <w:ind w:firstLine="0" w:firstLineChars="0"/>
              <w:jc w:val="center"/>
              <w:rPr>
                <w:rFonts w:ascii="仿宋_GB2312"/>
                <w:sz w:val="21"/>
                <w:szCs w:val="24"/>
              </w:rPr>
            </w:pPr>
            <w:r>
              <w:rPr>
                <w:rFonts w:hint="eastAsia" w:ascii="仿宋_GB2312"/>
                <w:sz w:val="21"/>
                <w:szCs w:val="24"/>
              </w:rPr>
              <w:t>青年</w:t>
            </w:r>
          </w:p>
        </w:tc>
        <w:tc>
          <w:tcPr>
            <w:tcW w:w="1701"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701"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928"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391"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348"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134" w:type="dxa"/>
          </w:tcPr>
          <w:p>
            <w:pPr>
              <w:spacing w:line="240" w:lineRule="auto"/>
              <w:ind w:firstLine="0" w:firstLineChars="0"/>
              <w:jc w:val="center"/>
              <w:rPr>
                <w:rFonts w:ascii="仿宋_GB2312"/>
                <w:sz w:val="21"/>
                <w:szCs w:val="24"/>
              </w:rPr>
            </w:pPr>
            <w:r>
              <w:rPr>
                <w:rFonts w:hint="eastAsia" w:ascii="仿宋_GB2312"/>
                <w:sz w:val="21"/>
                <w:szCs w:val="24"/>
              </w:rPr>
              <w:t>中年</w:t>
            </w:r>
          </w:p>
        </w:tc>
        <w:tc>
          <w:tcPr>
            <w:tcW w:w="1701"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701"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928"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391"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348"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134" w:type="dxa"/>
          </w:tcPr>
          <w:p>
            <w:pPr>
              <w:spacing w:line="240" w:lineRule="auto"/>
              <w:ind w:firstLine="0" w:firstLineChars="0"/>
              <w:jc w:val="center"/>
              <w:rPr>
                <w:rFonts w:ascii="仿宋_GB2312"/>
                <w:sz w:val="21"/>
                <w:szCs w:val="24"/>
              </w:rPr>
            </w:pPr>
            <w:r>
              <w:rPr>
                <w:rFonts w:hint="eastAsia" w:ascii="仿宋_GB2312"/>
                <w:sz w:val="21"/>
                <w:szCs w:val="24"/>
              </w:rPr>
              <w:t>老年</w:t>
            </w:r>
          </w:p>
        </w:tc>
        <w:tc>
          <w:tcPr>
            <w:tcW w:w="1701"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701"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928"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391"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c>
          <w:tcPr>
            <w:tcW w:w="1348" w:type="dxa"/>
          </w:tcPr>
          <w:p>
            <w:pPr>
              <w:spacing w:line="240" w:lineRule="auto"/>
              <w:ind w:firstLine="0" w:firstLineChars="0"/>
              <w:jc w:val="center"/>
              <w:rPr>
                <w:rFonts w:ascii="仿宋_GB2312"/>
                <w:sz w:val="21"/>
                <w:szCs w:val="24"/>
              </w:rPr>
            </w:pPr>
            <w:r>
              <w:rPr>
                <w:rFonts w:hint="eastAsia" w:ascii="宋体" w:hAnsi="宋体" w:eastAsia="宋体"/>
                <w:sz w:val="21"/>
                <w:szCs w:val="24"/>
              </w:rPr>
              <w:t>★★</w:t>
            </w:r>
          </w:p>
        </w:tc>
      </w:tr>
    </w:tbl>
    <w:p>
      <w:pPr>
        <w:ind w:firstLine="0" w:firstLineChars="0"/>
        <w:jc w:val="center"/>
        <w:rPr>
          <w:rFonts w:ascii="仿宋_GB2312"/>
          <w:sz w:val="24"/>
          <w:szCs w:val="24"/>
        </w:rPr>
      </w:pPr>
      <w:r>
        <w:rPr>
          <w:rFonts w:hint="eastAsia" w:ascii="仿宋_GB2312"/>
          <w:sz w:val="24"/>
          <w:szCs w:val="24"/>
        </w:rPr>
        <w:t>根据市场调查、市场评估和公司发展战略，公司各阶段目标市场选择如下：</w:t>
      </w:r>
    </w:p>
    <w:p>
      <w:pPr>
        <w:ind w:firstLine="482"/>
        <w:jc w:val="left"/>
        <w:rPr>
          <w:rFonts w:ascii="仿宋_GB2312"/>
          <w:sz w:val="24"/>
          <w:szCs w:val="24"/>
        </w:rPr>
      </w:pPr>
      <w:r>
        <w:rPr>
          <w:rFonts w:hint="eastAsia" w:ascii="仿宋_GB2312"/>
          <w:b/>
          <w:sz w:val="24"/>
          <w:szCs w:val="24"/>
        </w:rPr>
        <w:t>前期：</w:t>
      </w:r>
      <w:r>
        <w:rPr>
          <w:rFonts w:hint="eastAsia" w:ascii="仿宋_GB2312"/>
          <w:sz w:val="24"/>
          <w:szCs w:val="24"/>
        </w:rPr>
        <w:t>由于慢性病患者中中老年群体比例高，智能手机普及率在不断上升，再加上中老年人有充裕的时间关注自身健康，因此中老年慢性病领域移动医疗市场广，公司选择中老年慢性病患者作为前期目标市场。</w:t>
      </w:r>
    </w:p>
    <w:p>
      <w:pPr>
        <w:ind w:firstLine="482"/>
        <w:jc w:val="left"/>
        <w:rPr>
          <w:rFonts w:ascii="仿宋_GB2312"/>
          <w:sz w:val="24"/>
          <w:szCs w:val="24"/>
        </w:rPr>
      </w:pPr>
      <w:r>
        <w:rPr>
          <w:rFonts w:hint="eastAsia" w:ascii="仿宋_GB2312"/>
          <w:b/>
          <w:sz w:val="24"/>
          <w:szCs w:val="24"/>
        </w:rPr>
        <w:t>中期：</w:t>
      </w:r>
      <w:r>
        <w:rPr>
          <w:rFonts w:hint="eastAsia" w:ascii="仿宋_GB2312"/>
          <w:sz w:val="24"/>
          <w:szCs w:val="24"/>
        </w:rPr>
        <w:t>除慢性病患者外的其他中老年群体，相对于其他年龄阶段人群有三方面的特征：一是身体机能下降，慢性病患病率高；二是对自身健康关注程度高；三是空闲时间量大。因此中期公司扩大面向群体，选择中老年人作为中期目标市场。</w:t>
      </w:r>
    </w:p>
    <w:p>
      <w:pPr>
        <w:ind w:firstLine="482"/>
        <w:jc w:val="left"/>
        <w:rPr>
          <w:rFonts w:ascii="仿宋_GB2312"/>
          <w:sz w:val="24"/>
          <w:szCs w:val="24"/>
        </w:rPr>
      </w:pPr>
      <w:r>
        <w:rPr>
          <w:rFonts w:hint="eastAsia" w:ascii="仿宋_GB2312"/>
          <w:b/>
          <w:sz w:val="24"/>
          <w:szCs w:val="24"/>
        </w:rPr>
        <w:t>后期：</w:t>
      </w:r>
      <w:r>
        <w:rPr>
          <w:rFonts w:hint="eastAsia" w:ascii="仿宋_GB2312"/>
          <w:sz w:val="24"/>
          <w:szCs w:val="24"/>
        </w:rPr>
        <w:t>平台在前期及中期积累了大量中老年用户，公司在中老年市场的业务已发展成熟，开始开拓更多其他年龄段人群市场。平台可利用前、中期积累的大量用户信息进行大数据分析，为更多用户提供个性化精准治疗服务，提高疾病诊治与预防的效益。</w:t>
      </w:r>
    </w:p>
    <w:p>
      <w:pPr>
        <w:tabs>
          <w:tab w:val="center" w:pos="4434"/>
        </w:tabs>
        <w:spacing w:line="500" w:lineRule="exact"/>
        <w:ind w:firstLine="0" w:firstLineChars="0"/>
        <w:jc w:val="left"/>
        <w:outlineLvl w:val="2"/>
        <w:rPr>
          <w:rFonts w:ascii="黑体" w:hAnsi="黑体" w:eastAsia="黑体" w:cs="Times New Roman"/>
        </w:rPr>
      </w:pPr>
      <w:bookmarkStart w:id="74" w:name="_Toc61100215"/>
      <w:r>
        <w:rPr>
          <w:rFonts w:hint="eastAsia" w:ascii="黑体" w:hAnsi="黑体" w:eastAsia="黑体" w:cs="Times New Roman"/>
        </w:rPr>
        <w:t>3.3.3市场定位</w:t>
      </w:r>
      <w:bookmarkEnd w:id="74"/>
    </w:p>
    <w:p>
      <w:pPr>
        <w:ind w:firstLine="480"/>
        <w:jc w:val="left"/>
        <w:rPr>
          <w:rFonts w:ascii="仿宋_GB2312"/>
          <w:sz w:val="24"/>
          <w:szCs w:val="24"/>
        </w:rPr>
      </w:pPr>
      <w:r>
        <w:rPr>
          <w:rFonts w:hint="eastAsia" w:ascii="仿宋_GB2312"/>
          <w:sz w:val="24"/>
          <w:szCs w:val="24"/>
        </w:rPr>
        <w:t>市场定位的实质是使本款APP与其他同类移动医疗APP严格区分开来，使用户明显感觉和认识到这种差别，从而让本APP在用户心目中占有特殊的位置。在选定目标市场之后，公司结合发展战略对目标市场进行定位。通过市场环境分析和目标市场选择，公司将定位分为三个阶段：</w:t>
      </w:r>
    </w:p>
    <w:p>
      <w:pPr>
        <w:ind w:firstLine="480"/>
        <w:jc w:val="left"/>
        <w:rPr>
          <w:rFonts w:ascii="仿宋_GB2312"/>
          <w:sz w:val="24"/>
          <w:szCs w:val="24"/>
        </w:rPr>
      </w:pPr>
      <w:r>
        <w:rPr>
          <w:rFonts w:hint="eastAsia" w:ascii="仿宋_GB2312"/>
          <w:sz w:val="24"/>
          <w:szCs w:val="24"/>
        </w:rPr>
        <w:t>前期：定位为以针对中老年慢性病患者为核心的优质、免费的医疗服务平台。</w:t>
      </w:r>
    </w:p>
    <w:p>
      <w:pPr>
        <w:ind w:firstLine="480"/>
        <w:jc w:val="left"/>
        <w:rPr>
          <w:rFonts w:ascii="仿宋_GB2312"/>
          <w:sz w:val="24"/>
          <w:szCs w:val="24"/>
        </w:rPr>
      </w:pPr>
      <w:r>
        <w:rPr>
          <w:rFonts w:hint="eastAsia" w:ascii="仿宋_GB2312"/>
          <w:sz w:val="24"/>
          <w:szCs w:val="24"/>
        </w:rPr>
        <w:t>中期：扩大目标用户群体，将APP定位为以针对中老年为核心的优质、便捷、全面的医疗服务平台。</w:t>
      </w:r>
    </w:p>
    <w:p>
      <w:pPr>
        <w:ind w:firstLine="480"/>
        <w:jc w:val="left"/>
        <w:rPr>
          <w:rFonts w:ascii="仿宋_GB2312"/>
          <w:sz w:val="24"/>
          <w:szCs w:val="24"/>
        </w:rPr>
      </w:pPr>
      <w:r>
        <w:rPr>
          <w:rFonts w:hint="eastAsia" w:ascii="仿宋_GB2312"/>
          <w:sz w:val="24"/>
          <w:szCs w:val="24"/>
        </w:rPr>
        <w:t>后期：利用已积累的流量和数据，将APP打造成为各年龄段人群提供医疗服务的最具影响力和知名度的APP。</w:t>
      </w:r>
    </w:p>
    <w:p>
      <w:pPr>
        <w:tabs>
          <w:tab w:val="center" w:pos="4434"/>
        </w:tabs>
        <w:spacing w:line="500" w:lineRule="exact"/>
        <w:ind w:firstLine="0" w:firstLineChars="0"/>
        <w:jc w:val="left"/>
        <w:outlineLvl w:val="2"/>
        <w:rPr>
          <w:rFonts w:ascii="黑体" w:hAnsi="黑体" w:eastAsia="黑体" w:cs="Times New Roman"/>
        </w:rPr>
      </w:pPr>
      <w:bookmarkStart w:id="75" w:name="_Toc61100216"/>
      <w:r>
        <w:rPr>
          <w:rFonts w:hint="eastAsia" w:ascii="黑体" w:hAnsi="黑体" w:eastAsia="黑体" w:cs="Times New Roman"/>
        </w:rPr>
        <w:t>3.3.4市场容量分析</w:t>
      </w:r>
      <w:bookmarkEnd w:id="75"/>
    </w:p>
    <w:p>
      <w:pPr>
        <w:ind w:firstLine="480"/>
        <w:jc w:val="left"/>
        <w:rPr>
          <w:rFonts w:ascii="仿宋_GB2312"/>
          <w:sz w:val="24"/>
          <w:szCs w:val="24"/>
        </w:rPr>
      </w:pPr>
      <w:r>
        <w:rPr>
          <w:rFonts w:hint="eastAsia" w:ascii="仿宋_GB2312"/>
          <w:sz w:val="24"/>
          <w:szCs w:val="24"/>
        </w:rPr>
        <w:t>由于我国慢性病移动医疗发展受中老年人文化程度影响程度高，因此中老年人口数量、文化程度和患慢性病比重可以作为评估慢性病移动医疗市场容量的重要指标。</w:t>
      </w:r>
    </w:p>
    <w:p>
      <w:pPr>
        <w:ind w:firstLine="482"/>
        <w:jc w:val="left"/>
        <w:rPr>
          <w:rFonts w:ascii="仿宋_GB2312"/>
          <w:b/>
          <w:sz w:val="24"/>
          <w:szCs w:val="24"/>
        </w:rPr>
      </w:pPr>
      <w:r>
        <w:rPr>
          <w:rFonts w:hint="eastAsia" w:ascii="仿宋_GB2312"/>
          <w:b/>
          <w:sz w:val="24"/>
          <w:szCs w:val="24"/>
        </w:rPr>
        <w:t>1.我国中老年人数量多</w:t>
      </w:r>
    </w:p>
    <w:p>
      <w:pPr>
        <w:ind w:firstLine="480"/>
        <w:jc w:val="left"/>
        <w:rPr>
          <w:rFonts w:ascii="仿宋_GB2312"/>
          <w:sz w:val="24"/>
          <w:szCs w:val="24"/>
        </w:rPr>
      </w:pPr>
      <w:r>
        <w:rPr>
          <w:rFonts w:hint="eastAsia" w:ascii="仿宋_GB2312"/>
          <w:sz w:val="24"/>
          <w:szCs w:val="24"/>
        </w:rPr>
        <w:t>根据我国第六次人口普查统计显示，我国是全世界唯一的一个老龄人口过亿的国家。中老年在总人口中占比不断上升，中国社会人口结构呈现老年状态。数据显示，2014年、2015年和2016年我国中老年人口（45岁以上）数量分别为50890万人、52647万人、54353万人，中老年人占总人口比重分别为37.2%、38.3%和39.3%（如图3-3所示）。</w:t>
      </w:r>
    </w:p>
    <w:p>
      <w:pPr>
        <w:ind w:firstLine="0" w:firstLineChars="0"/>
        <w:jc w:val="center"/>
        <w:rPr>
          <w:rFonts w:ascii="仿宋_GB2312"/>
          <w:sz w:val="21"/>
          <w:szCs w:val="24"/>
        </w:rPr>
      </w:pPr>
      <w:r>
        <w:rPr>
          <w:rFonts w:ascii="仿宋_GB2312"/>
          <w:sz w:val="21"/>
          <w:szCs w:val="24"/>
        </w:rPr>
        <w:drawing>
          <wp:inline distT="0" distB="0" distL="0" distR="0">
            <wp:extent cx="4001135" cy="2231390"/>
            <wp:effectExtent l="0" t="0" r="0" b="0"/>
            <wp:docPr id="20" name="图片 20" descr="C:\Users\鲁佳\AppData\Local\Temp\16101783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鲁佳\AppData\Local\Temp\1610178390(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001703" cy="2232000"/>
                    </a:xfrm>
                    <a:prstGeom prst="rect">
                      <a:avLst/>
                    </a:prstGeom>
                    <a:noFill/>
                    <a:ln>
                      <a:noFill/>
                    </a:ln>
                  </pic:spPr>
                </pic:pic>
              </a:graphicData>
            </a:graphic>
          </wp:inline>
        </w:drawing>
      </w:r>
    </w:p>
    <w:p>
      <w:pPr>
        <w:ind w:firstLine="0" w:firstLineChars="0"/>
        <w:jc w:val="center"/>
        <w:rPr>
          <w:rFonts w:ascii="仿宋_GB2312"/>
          <w:sz w:val="21"/>
          <w:szCs w:val="24"/>
        </w:rPr>
      </w:pPr>
      <w:r>
        <w:rPr>
          <w:rFonts w:hint="eastAsia" w:ascii="仿宋_GB2312"/>
          <w:sz w:val="21"/>
          <w:szCs w:val="24"/>
        </w:rPr>
        <w:t>图3-3中老年（45岁以上）人口数量及占人口比例</w:t>
      </w:r>
    </w:p>
    <w:p>
      <w:pPr>
        <w:ind w:firstLine="482"/>
        <w:jc w:val="left"/>
        <w:rPr>
          <w:rFonts w:ascii="仿宋_GB2312"/>
          <w:b/>
          <w:sz w:val="24"/>
          <w:szCs w:val="24"/>
        </w:rPr>
      </w:pPr>
      <w:r>
        <w:rPr>
          <w:rFonts w:hint="eastAsia" w:ascii="仿宋_GB2312"/>
          <w:b/>
          <w:sz w:val="24"/>
          <w:szCs w:val="24"/>
        </w:rPr>
        <w:t>2.中老年人文化程度不断提高</w:t>
      </w:r>
    </w:p>
    <w:p>
      <w:pPr>
        <w:ind w:firstLine="480"/>
        <w:jc w:val="left"/>
        <w:rPr>
          <w:rFonts w:ascii="仿宋_GB2312"/>
          <w:sz w:val="24"/>
          <w:szCs w:val="24"/>
        </w:rPr>
      </w:pPr>
      <w:r>
        <w:rPr>
          <w:rFonts w:hint="eastAsia" w:ascii="仿宋_GB2312"/>
          <w:sz w:val="24"/>
          <w:szCs w:val="24"/>
        </w:rPr>
        <w:t>根据国家统计局公布的《2010年第六次全国人口普查主要数据公报（第1号）》显示，我国居民2010年的文盲率由6.72%下降为4.08%，下降了2.64个百分点。文盲率的下降表明，每一代的受教育程度都得到改善，人口文化水平不断提高，便于移动医疗的推广和普及（如图3-4所示）。</w:t>
      </w:r>
    </w:p>
    <w:p>
      <w:pPr>
        <w:ind w:firstLine="480"/>
        <w:jc w:val="center"/>
        <w:rPr>
          <w:rFonts w:ascii="仿宋_GB2312"/>
          <w:sz w:val="24"/>
          <w:szCs w:val="24"/>
        </w:rPr>
      </w:pPr>
      <w:r>
        <w:rPr>
          <w:rFonts w:ascii="仿宋_GB2312"/>
          <w:sz w:val="24"/>
          <w:szCs w:val="24"/>
        </w:rPr>
        <w:drawing>
          <wp:inline distT="0" distB="0" distL="0" distR="0">
            <wp:extent cx="3819525" cy="1892300"/>
            <wp:effectExtent l="0" t="0" r="0" b="0"/>
            <wp:docPr id="21" name="图片 21" descr="C:\Users\鲁佳\AppData\Local\Temp\16101784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鲁佳\AppData\Local\Temp\1610178428(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819525" cy="1892787"/>
                    </a:xfrm>
                    <a:prstGeom prst="rect">
                      <a:avLst/>
                    </a:prstGeom>
                    <a:noFill/>
                    <a:ln>
                      <a:noFill/>
                    </a:ln>
                  </pic:spPr>
                </pic:pic>
              </a:graphicData>
            </a:graphic>
          </wp:inline>
        </w:drawing>
      </w:r>
    </w:p>
    <w:p>
      <w:pPr>
        <w:ind w:firstLine="0" w:firstLineChars="0"/>
        <w:jc w:val="center"/>
        <w:rPr>
          <w:rFonts w:ascii="仿宋_GB2312"/>
          <w:sz w:val="21"/>
          <w:szCs w:val="24"/>
        </w:rPr>
      </w:pPr>
      <w:r>
        <w:rPr>
          <w:rFonts w:hint="eastAsia" w:ascii="仿宋_GB2312"/>
          <w:sz w:val="21"/>
          <w:szCs w:val="24"/>
        </w:rPr>
        <w:t>图3-4人口普查文盲情况</w:t>
      </w:r>
    </w:p>
    <w:p>
      <w:pPr>
        <w:ind w:firstLine="482"/>
        <w:jc w:val="left"/>
        <w:rPr>
          <w:rFonts w:ascii="仿宋_GB2312"/>
          <w:b/>
          <w:sz w:val="24"/>
          <w:szCs w:val="24"/>
        </w:rPr>
      </w:pPr>
      <w:r>
        <w:rPr>
          <w:rFonts w:hint="eastAsia" w:ascii="仿宋_GB2312"/>
          <w:b/>
          <w:sz w:val="24"/>
          <w:szCs w:val="24"/>
        </w:rPr>
        <w:t>3.中老年人患慢性病比重大</w:t>
      </w:r>
    </w:p>
    <w:p>
      <w:pPr>
        <w:ind w:firstLine="480"/>
        <w:jc w:val="left"/>
        <w:rPr>
          <w:rFonts w:ascii="仿宋_GB2312"/>
          <w:sz w:val="24"/>
          <w:szCs w:val="24"/>
        </w:rPr>
      </w:pPr>
      <w:r>
        <w:rPr>
          <w:rFonts w:hint="eastAsia" w:ascii="仿宋_GB2312"/>
          <w:sz w:val="24"/>
          <w:szCs w:val="24"/>
        </w:rPr>
        <w:t>老年人患慢性病比例较高，达到75.23％，平均每个老年人患有2-4种的慢性疾病。近年来，由于我国高龄老人迅速增加，总体健康状况下降，死亡人数将从解放初期的每年500万急剧增加到目前的1700万，其中三分之一是老年人。</w:t>
      </w:r>
    </w:p>
    <w:p>
      <w:pPr>
        <w:ind w:firstLine="480"/>
        <w:jc w:val="left"/>
        <w:rPr>
          <w:rFonts w:ascii="仿宋_GB2312"/>
          <w:sz w:val="24"/>
          <w:szCs w:val="24"/>
        </w:rPr>
      </w:pPr>
      <w:r>
        <w:rPr>
          <w:rFonts w:hint="eastAsia" w:ascii="仿宋_GB2312"/>
          <w:sz w:val="24"/>
          <w:szCs w:val="24"/>
        </w:rPr>
        <w:t>我国总人口中慢性病的患病率为169.8‰，而在老年人中总体患病率为540.3‰，城市竟高达789.3‰。中老年总体年均患病天数为64天，其中城市居民为78.9天(如表3-4所示)。</w:t>
      </w:r>
    </w:p>
    <w:p>
      <w:pPr>
        <w:ind w:firstLine="0" w:firstLineChars="0"/>
        <w:jc w:val="center"/>
        <w:rPr>
          <w:rFonts w:ascii="仿宋_GB2312"/>
          <w:sz w:val="21"/>
          <w:szCs w:val="24"/>
        </w:rPr>
      </w:pPr>
      <w:r>
        <w:rPr>
          <w:rFonts w:hint="eastAsia" w:ascii="仿宋_GB2312"/>
          <w:sz w:val="21"/>
          <w:szCs w:val="24"/>
        </w:rPr>
        <w:t>表3-4慢性病患病率情况</w:t>
      </w:r>
    </w:p>
    <w:tbl>
      <w:tblPr>
        <w:tblStyle w:val="28"/>
        <w:tblW w:w="9502" w:type="dxa"/>
        <w:jc w:val="center"/>
        <w:tblBorders>
          <w:top w:val="single" w:color="5B9BD5" w:themeColor="accent1" w:sz="8" w:space="0"/>
          <w:left w:val="single" w:color="5B9BD5" w:themeColor="accent1" w:sz="8" w:space="0"/>
          <w:bottom w:val="single" w:color="5B9BD5" w:themeColor="accent1" w:sz="8" w:space="0"/>
          <w:right w:val="single" w:color="5B9BD5"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154"/>
        <w:gridCol w:w="1277"/>
        <w:gridCol w:w="1276"/>
        <w:gridCol w:w="1276"/>
        <w:gridCol w:w="1173"/>
        <w:gridCol w:w="1173"/>
        <w:gridCol w:w="1173"/>
      </w:tblGrid>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54" w:type="dxa"/>
            <w:vMerge w:val="restart"/>
            <w:shd w:val="clear" w:color="auto" w:fill="5B9BD5" w:themeFill="accent1"/>
            <w:vAlign w:val="center"/>
          </w:tcPr>
          <w:p>
            <w:pPr>
              <w:spacing w:before="0" w:after="0" w:line="240" w:lineRule="auto"/>
              <w:ind w:firstLine="0" w:firstLineChars="0"/>
              <w:jc w:val="center"/>
              <w:rPr>
                <w:rFonts w:ascii="仿宋_GB2312"/>
                <w:b/>
                <w:bCs/>
                <w:color w:val="FFFFFF" w:themeColor="background1"/>
                <w:sz w:val="21"/>
                <w:szCs w:val="24"/>
                <w14:textFill>
                  <w14:solidFill>
                    <w14:schemeClr w14:val="bg1"/>
                  </w14:solidFill>
                </w14:textFill>
              </w:rPr>
            </w:pPr>
          </w:p>
        </w:tc>
        <w:tc>
          <w:tcPr>
            <w:tcW w:w="3829" w:type="dxa"/>
            <w:gridSpan w:val="3"/>
            <w:shd w:val="clear" w:color="auto" w:fill="5B9BD5" w:themeFill="accent1"/>
            <w:vAlign w:val="center"/>
          </w:tcPr>
          <w:p>
            <w:pPr>
              <w:spacing w:before="0" w:after="0" w:line="240" w:lineRule="auto"/>
              <w:ind w:firstLine="0" w:firstLineChars="0"/>
              <w:jc w:val="center"/>
              <w:rPr>
                <w:rFonts w:ascii="仿宋_GB2312"/>
                <w:b/>
                <w:bCs/>
                <w:color w:val="FFFFFF" w:themeColor="background1"/>
                <w:sz w:val="21"/>
                <w:szCs w:val="24"/>
                <w14:textFill>
                  <w14:solidFill>
                    <w14:schemeClr w14:val="bg1"/>
                  </w14:solidFill>
                </w14:textFill>
              </w:rPr>
            </w:pPr>
            <w:r>
              <w:rPr>
                <w:rFonts w:hint="eastAsia" w:ascii="仿宋_GB2312"/>
                <w:b/>
                <w:bCs/>
                <w:color w:val="FFFFFF" w:themeColor="background1"/>
                <w:sz w:val="21"/>
                <w:szCs w:val="24"/>
                <w14:textFill>
                  <w14:solidFill>
                    <w14:schemeClr w14:val="bg1"/>
                  </w14:solidFill>
                </w14:textFill>
              </w:rPr>
              <w:t>60岁及以上人群</w:t>
            </w:r>
          </w:p>
        </w:tc>
        <w:tc>
          <w:tcPr>
            <w:tcW w:w="3519" w:type="dxa"/>
            <w:gridSpan w:val="3"/>
            <w:shd w:val="clear" w:color="auto" w:fill="5B9BD5" w:themeFill="accent1"/>
            <w:vAlign w:val="center"/>
          </w:tcPr>
          <w:p>
            <w:pPr>
              <w:spacing w:before="0" w:after="0" w:line="240" w:lineRule="auto"/>
              <w:ind w:firstLine="0" w:firstLineChars="0"/>
              <w:jc w:val="center"/>
              <w:rPr>
                <w:rFonts w:ascii="仿宋_GB2312"/>
                <w:b/>
                <w:bCs/>
                <w:color w:val="FFFFFF" w:themeColor="background1"/>
                <w:sz w:val="21"/>
                <w:szCs w:val="24"/>
                <w14:textFill>
                  <w14:solidFill>
                    <w14:schemeClr w14:val="bg1"/>
                  </w14:solidFill>
                </w14:textFill>
              </w:rPr>
            </w:pPr>
            <w:r>
              <w:rPr>
                <w:rFonts w:ascii="仿宋_GB2312"/>
                <w:b/>
                <w:bCs/>
                <w:color w:val="FFFFFF" w:themeColor="background1"/>
                <w:sz w:val="21"/>
                <w:szCs w:val="24"/>
                <w14:textFill>
                  <w14:solidFill>
                    <w14:schemeClr w14:val="bg1"/>
                  </w14:solidFill>
                </w14:textFill>
              </w:rPr>
              <w:t>全体人群</w:t>
            </w:r>
          </w:p>
        </w:tc>
      </w:tr>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54" w:type="dxa"/>
            <w:vMerge w:val="continue"/>
            <w:tcBorders>
              <w:top w:val="single" w:color="5B9BD5" w:themeColor="accent1" w:sz="8" w:space="0"/>
              <w:left w:val="single" w:color="5B9BD5" w:themeColor="accent1" w:sz="8" w:space="0"/>
              <w:bottom w:val="single" w:color="5B9BD5" w:themeColor="accent1" w:sz="8" w:space="0"/>
              <w:insideH w:val="single" w:sz="8" w:space="0"/>
            </w:tcBorders>
            <w:vAlign w:val="center"/>
          </w:tcPr>
          <w:p>
            <w:pPr>
              <w:spacing w:line="240" w:lineRule="auto"/>
              <w:ind w:firstLine="0" w:firstLineChars="0"/>
              <w:jc w:val="center"/>
              <w:rPr>
                <w:rFonts w:ascii="仿宋_GB2312"/>
                <w:b/>
                <w:bCs/>
                <w:sz w:val="21"/>
                <w:szCs w:val="24"/>
              </w:rPr>
            </w:pPr>
          </w:p>
        </w:tc>
        <w:tc>
          <w:tcPr>
            <w:tcW w:w="1277" w:type="dxa"/>
            <w:tcBorders>
              <w:top w:val="single" w:color="5B9BD5" w:themeColor="accent1" w:sz="8" w:space="0"/>
              <w:bottom w:val="single" w:color="5B9BD5" w:themeColor="accent1" w:sz="8" w:space="0"/>
              <w:insideH w:val="single" w:sz="8" w:space="0"/>
            </w:tcBorders>
            <w:vAlign w:val="center"/>
          </w:tcPr>
          <w:p>
            <w:pPr>
              <w:spacing w:line="240" w:lineRule="auto"/>
              <w:ind w:firstLine="0" w:firstLineChars="0"/>
              <w:jc w:val="center"/>
              <w:rPr>
                <w:rFonts w:ascii="仿宋_GB2312"/>
                <w:sz w:val="21"/>
                <w:szCs w:val="24"/>
              </w:rPr>
            </w:pPr>
            <w:r>
              <w:rPr>
                <w:rFonts w:ascii="仿宋_GB2312"/>
                <w:sz w:val="21"/>
                <w:szCs w:val="24"/>
              </w:rPr>
              <w:t>总体</w:t>
            </w:r>
          </w:p>
        </w:tc>
        <w:tc>
          <w:tcPr>
            <w:tcW w:w="1276" w:type="dxa"/>
            <w:tcBorders>
              <w:top w:val="single" w:color="5B9BD5" w:themeColor="accent1" w:sz="8" w:space="0"/>
              <w:bottom w:val="single" w:color="5B9BD5" w:themeColor="accent1" w:sz="8" w:space="0"/>
              <w:insideH w:val="single" w:sz="8" w:space="0"/>
            </w:tcBorders>
            <w:vAlign w:val="center"/>
          </w:tcPr>
          <w:p>
            <w:pPr>
              <w:spacing w:line="240" w:lineRule="auto"/>
              <w:ind w:firstLine="0" w:firstLineChars="0"/>
              <w:jc w:val="center"/>
              <w:rPr>
                <w:rFonts w:ascii="仿宋_GB2312"/>
                <w:sz w:val="21"/>
                <w:szCs w:val="24"/>
              </w:rPr>
            </w:pPr>
            <w:r>
              <w:rPr>
                <w:rFonts w:ascii="仿宋_GB2312"/>
                <w:sz w:val="21"/>
                <w:szCs w:val="24"/>
              </w:rPr>
              <w:t>城市</w:t>
            </w:r>
          </w:p>
        </w:tc>
        <w:tc>
          <w:tcPr>
            <w:tcW w:w="1276" w:type="dxa"/>
            <w:tcBorders>
              <w:top w:val="single" w:color="5B9BD5" w:themeColor="accent1" w:sz="8" w:space="0"/>
              <w:bottom w:val="single" w:color="5B9BD5" w:themeColor="accent1" w:sz="8" w:space="0"/>
              <w:insideH w:val="single" w:sz="8" w:space="0"/>
            </w:tcBorders>
            <w:vAlign w:val="center"/>
          </w:tcPr>
          <w:p>
            <w:pPr>
              <w:spacing w:line="240" w:lineRule="auto"/>
              <w:ind w:firstLine="0" w:firstLineChars="0"/>
              <w:jc w:val="center"/>
              <w:rPr>
                <w:rFonts w:ascii="仿宋_GB2312"/>
                <w:sz w:val="21"/>
                <w:szCs w:val="24"/>
              </w:rPr>
            </w:pPr>
            <w:r>
              <w:rPr>
                <w:rFonts w:ascii="仿宋_GB2312"/>
                <w:sz w:val="21"/>
                <w:szCs w:val="24"/>
              </w:rPr>
              <w:t>农村</w:t>
            </w:r>
          </w:p>
        </w:tc>
        <w:tc>
          <w:tcPr>
            <w:tcW w:w="1173" w:type="dxa"/>
            <w:tcBorders>
              <w:top w:val="single" w:color="5B9BD5" w:themeColor="accent1" w:sz="8" w:space="0"/>
              <w:bottom w:val="single" w:color="5B9BD5" w:themeColor="accent1" w:sz="8" w:space="0"/>
              <w:insideH w:val="single" w:sz="8" w:space="0"/>
            </w:tcBorders>
            <w:vAlign w:val="center"/>
          </w:tcPr>
          <w:p>
            <w:pPr>
              <w:spacing w:line="240" w:lineRule="auto"/>
              <w:ind w:firstLine="0" w:firstLineChars="0"/>
              <w:jc w:val="center"/>
              <w:rPr>
                <w:rFonts w:ascii="仿宋_GB2312"/>
                <w:sz w:val="21"/>
                <w:szCs w:val="24"/>
              </w:rPr>
            </w:pPr>
            <w:r>
              <w:rPr>
                <w:rFonts w:ascii="仿宋_GB2312"/>
                <w:sz w:val="21"/>
                <w:szCs w:val="24"/>
              </w:rPr>
              <w:t>总体</w:t>
            </w:r>
          </w:p>
        </w:tc>
        <w:tc>
          <w:tcPr>
            <w:tcW w:w="1173" w:type="dxa"/>
            <w:tcBorders>
              <w:top w:val="single" w:color="5B9BD5" w:themeColor="accent1" w:sz="8" w:space="0"/>
              <w:bottom w:val="single" w:color="5B9BD5" w:themeColor="accent1" w:sz="8" w:space="0"/>
              <w:insideH w:val="single" w:sz="8" w:space="0"/>
            </w:tcBorders>
            <w:vAlign w:val="center"/>
          </w:tcPr>
          <w:p>
            <w:pPr>
              <w:spacing w:line="240" w:lineRule="auto"/>
              <w:ind w:firstLine="0" w:firstLineChars="0"/>
              <w:jc w:val="center"/>
              <w:rPr>
                <w:rFonts w:ascii="仿宋_GB2312"/>
                <w:sz w:val="21"/>
                <w:szCs w:val="24"/>
              </w:rPr>
            </w:pPr>
            <w:r>
              <w:rPr>
                <w:rFonts w:ascii="仿宋_GB2312"/>
                <w:sz w:val="21"/>
                <w:szCs w:val="24"/>
              </w:rPr>
              <w:t>城市</w:t>
            </w:r>
          </w:p>
        </w:tc>
        <w:tc>
          <w:tcPr>
            <w:tcW w:w="1173" w:type="dxa"/>
            <w:tcBorders>
              <w:top w:val="single" w:color="5B9BD5" w:themeColor="accent1" w:sz="8" w:space="0"/>
              <w:bottom w:val="single" w:color="5B9BD5" w:themeColor="accent1" w:sz="8" w:space="0"/>
              <w:right w:val="single" w:color="5B9BD5" w:themeColor="accent1" w:sz="8" w:space="0"/>
              <w:insideH w:val="single" w:sz="8" w:space="0"/>
            </w:tcBorders>
            <w:vAlign w:val="center"/>
          </w:tcPr>
          <w:p>
            <w:pPr>
              <w:spacing w:line="240" w:lineRule="auto"/>
              <w:ind w:firstLine="0" w:firstLineChars="0"/>
              <w:jc w:val="center"/>
              <w:rPr>
                <w:rFonts w:ascii="仿宋_GB2312"/>
                <w:sz w:val="21"/>
                <w:szCs w:val="24"/>
              </w:rPr>
            </w:pPr>
            <w:r>
              <w:rPr>
                <w:rFonts w:ascii="仿宋_GB2312"/>
                <w:sz w:val="21"/>
                <w:szCs w:val="24"/>
              </w:rPr>
              <w:t>农村</w:t>
            </w:r>
          </w:p>
        </w:tc>
      </w:tr>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54" w:type="dxa"/>
            <w:vAlign w:val="center"/>
          </w:tcPr>
          <w:p>
            <w:pPr>
              <w:spacing w:line="240" w:lineRule="auto"/>
              <w:ind w:firstLine="0" w:firstLineChars="0"/>
              <w:jc w:val="center"/>
              <w:rPr>
                <w:rFonts w:ascii="仿宋_GB2312"/>
                <w:b/>
                <w:bCs/>
                <w:sz w:val="21"/>
                <w:szCs w:val="24"/>
              </w:rPr>
            </w:pPr>
            <w:r>
              <w:rPr>
                <w:rFonts w:ascii="仿宋_GB2312"/>
                <w:b/>
                <w:bCs/>
                <w:sz w:val="21"/>
                <w:szCs w:val="24"/>
              </w:rPr>
              <w:t>慢性病患病率</w:t>
            </w:r>
            <w:r>
              <w:rPr>
                <w:rFonts w:hint="eastAsia" w:ascii="仿宋_GB2312"/>
                <w:b/>
                <w:bCs/>
                <w:sz w:val="21"/>
                <w:szCs w:val="24"/>
              </w:rPr>
              <w:t>（%）</w:t>
            </w:r>
          </w:p>
        </w:tc>
        <w:tc>
          <w:tcPr>
            <w:tcW w:w="1277" w:type="dxa"/>
            <w:vAlign w:val="center"/>
          </w:tcPr>
          <w:p>
            <w:pPr>
              <w:spacing w:line="240" w:lineRule="auto"/>
              <w:ind w:firstLine="0" w:firstLineChars="0"/>
              <w:jc w:val="center"/>
              <w:rPr>
                <w:rFonts w:ascii="仿宋_GB2312"/>
                <w:sz w:val="21"/>
                <w:szCs w:val="24"/>
              </w:rPr>
            </w:pPr>
            <w:r>
              <w:rPr>
                <w:rFonts w:hint="eastAsia" w:ascii="仿宋_GB2312"/>
                <w:sz w:val="21"/>
                <w:szCs w:val="24"/>
              </w:rPr>
              <w:t>540.3</w:t>
            </w:r>
          </w:p>
        </w:tc>
        <w:tc>
          <w:tcPr>
            <w:tcW w:w="1276" w:type="dxa"/>
            <w:vAlign w:val="center"/>
          </w:tcPr>
          <w:p>
            <w:pPr>
              <w:spacing w:line="240" w:lineRule="auto"/>
              <w:ind w:firstLine="0" w:firstLineChars="0"/>
              <w:jc w:val="center"/>
              <w:rPr>
                <w:rFonts w:ascii="仿宋_GB2312"/>
                <w:sz w:val="21"/>
                <w:szCs w:val="24"/>
              </w:rPr>
            </w:pPr>
            <w:r>
              <w:rPr>
                <w:rFonts w:hint="eastAsia" w:ascii="仿宋_GB2312"/>
                <w:sz w:val="21"/>
                <w:szCs w:val="24"/>
              </w:rPr>
              <w:t>789.3</w:t>
            </w:r>
          </w:p>
        </w:tc>
        <w:tc>
          <w:tcPr>
            <w:tcW w:w="1276" w:type="dxa"/>
            <w:vAlign w:val="center"/>
          </w:tcPr>
          <w:p>
            <w:pPr>
              <w:spacing w:line="240" w:lineRule="auto"/>
              <w:ind w:firstLine="0" w:firstLineChars="0"/>
              <w:jc w:val="center"/>
              <w:rPr>
                <w:rFonts w:ascii="仿宋_GB2312"/>
                <w:sz w:val="21"/>
                <w:szCs w:val="24"/>
              </w:rPr>
            </w:pPr>
            <w:r>
              <w:rPr>
                <w:rFonts w:hint="eastAsia" w:ascii="仿宋_GB2312"/>
                <w:sz w:val="21"/>
                <w:szCs w:val="24"/>
              </w:rPr>
              <w:t>398.2</w:t>
            </w:r>
          </w:p>
        </w:tc>
        <w:tc>
          <w:tcPr>
            <w:tcW w:w="1173" w:type="dxa"/>
            <w:vAlign w:val="center"/>
          </w:tcPr>
          <w:p>
            <w:pPr>
              <w:spacing w:line="240" w:lineRule="auto"/>
              <w:ind w:firstLine="0" w:firstLineChars="0"/>
              <w:jc w:val="center"/>
              <w:rPr>
                <w:rFonts w:ascii="仿宋_GB2312"/>
                <w:sz w:val="21"/>
                <w:szCs w:val="24"/>
              </w:rPr>
            </w:pPr>
            <w:r>
              <w:rPr>
                <w:rFonts w:hint="eastAsia" w:ascii="仿宋_GB2312"/>
                <w:sz w:val="21"/>
                <w:szCs w:val="24"/>
              </w:rPr>
              <w:t>169.8</w:t>
            </w:r>
          </w:p>
        </w:tc>
        <w:tc>
          <w:tcPr>
            <w:tcW w:w="1173" w:type="dxa"/>
            <w:vAlign w:val="center"/>
          </w:tcPr>
          <w:p>
            <w:pPr>
              <w:spacing w:line="240" w:lineRule="auto"/>
              <w:ind w:firstLine="0" w:firstLineChars="0"/>
              <w:jc w:val="center"/>
              <w:rPr>
                <w:rFonts w:ascii="仿宋_GB2312"/>
                <w:sz w:val="21"/>
                <w:szCs w:val="24"/>
              </w:rPr>
            </w:pPr>
            <w:r>
              <w:rPr>
                <w:rFonts w:hint="eastAsia" w:ascii="仿宋_GB2312"/>
                <w:sz w:val="21"/>
                <w:szCs w:val="24"/>
              </w:rPr>
              <w:t>285.8</w:t>
            </w:r>
          </w:p>
        </w:tc>
        <w:tc>
          <w:tcPr>
            <w:tcW w:w="1173" w:type="dxa"/>
            <w:vAlign w:val="center"/>
          </w:tcPr>
          <w:p>
            <w:pPr>
              <w:spacing w:line="240" w:lineRule="auto"/>
              <w:ind w:firstLine="0" w:firstLineChars="0"/>
              <w:jc w:val="center"/>
              <w:rPr>
                <w:rFonts w:ascii="仿宋_GB2312"/>
                <w:sz w:val="21"/>
                <w:szCs w:val="24"/>
              </w:rPr>
            </w:pPr>
            <w:r>
              <w:rPr>
                <w:rFonts w:hint="eastAsia" w:ascii="仿宋_GB2312"/>
                <w:sz w:val="21"/>
                <w:szCs w:val="24"/>
              </w:rPr>
              <w:t>130.7</w:t>
            </w:r>
          </w:p>
        </w:tc>
      </w:tr>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54" w:type="dxa"/>
            <w:tcBorders>
              <w:top w:val="single" w:color="5B9BD5" w:themeColor="accent1" w:sz="8" w:space="0"/>
              <w:left w:val="single" w:color="5B9BD5" w:themeColor="accent1" w:sz="8" w:space="0"/>
              <w:bottom w:val="single" w:color="5B9BD5" w:themeColor="accent1" w:sz="8" w:space="0"/>
              <w:insideH w:val="single" w:sz="8" w:space="0"/>
            </w:tcBorders>
            <w:vAlign w:val="center"/>
          </w:tcPr>
          <w:p>
            <w:pPr>
              <w:spacing w:line="240" w:lineRule="auto"/>
              <w:ind w:firstLine="0" w:firstLineChars="0"/>
              <w:jc w:val="center"/>
              <w:rPr>
                <w:rFonts w:ascii="仿宋_GB2312"/>
                <w:b/>
                <w:bCs/>
                <w:sz w:val="21"/>
                <w:szCs w:val="24"/>
              </w:rPr>
            </w:pPr>
            <w:r>
              <w:rPr>
                <w:rFonts w:ascii="仿宋_GB2312"/>
                <w:b/>
                <w:bCs/>
                <w:sz w:val="21"/>
                <w:szCs w:val="24"/>
              </w:rPr>
              <w:t>年人均患病天数</w:t>
            </w:r>
            <w:r>
              <w:rPr>
                <w:rFonts w:hint="eastAsia" w:ascii="仿宋_GB2312"/>
                <w:b/>
                <w:bCs/>
                <w:sz w:val="21"/>
                <w:szCs w:val="24"/>
              </w:rPr>
              <w:t>（天）</w:t>
            </w:r>
          </w:p>
        </w:tc>
        <w:tc>
          <w:tcPr>
            <w:tcW w:w="1277" w:type="dxa"/>
            <w:tcBorders>
              <w:top w:val="single" w:color="5B9BD5" w:themeColor="accent1" w:sz="8" w:space="0"/>
              <w:bottom w:val="single" w:color="5B9BD5" w:themeColor="accent1" w:sz="8" w:space="0"/>
              <w:insideH w:val="single" w:sz="8" w:space="0"/>
            </w:tcBorders>
            <w:vAlign w:val="center"/>
          </w:tcPr>
          <w:p>
            <w:pPr>
              <w:spacing w:line="240" w:lineRule="auto"/>
              <w:ind w:firstLine="0" w:firstLineChars="0"/>
              <w:jc w:val="center"/>
              <w:rPr>
                <w:rFonts w:ascii="仿宋_GB2312"/>
                <w:sz w:val="21"/>
                <w:szCs w:val="24"/>
              </w:rPr>
            </w:pPr>
            <w:r>
              <w:rPr>
                <w:rFonts w:hint="eastAsia" w:ascii="仿宋_GB2312"/>
                <w:sz w:val="21"/>
                <w:szCs w:val="24"/>
              </w:rPr>
              <w:t>64.0</w:t>
            </w:r>
          </w:p>
        </w:tc>
        <w:tc>
          <w:tcPr>
            <w:tcW w:w="1276" w:type="dxa"/>
            <w:tcBorders>
              <w:top w:val="single" w:color="5B9BD5" w:themeColor="accent1" w:sz="8" w:space="0"/>
              <w:bottom w:val="single" w:color="5B9BD5" w:themeColor="accent1" w:sz="8" w:space="0"/>
              <w:insideH w:val="single" w:sz="8" w:space="0"/>
            </w:tcBorders>
            <w:vAlign w:val="center"/>
          </w:tcPr>
          <w:p>
            <w:pPr>
              <w:spacing w:line="240" w:lineRule="auto"/>
              <w:ind w:firstLine="0" w:firstLineChars="0"/>
              <w:jc w:val="center"/>
              <w:rPr>
                <w:rFonts w:ascii="仿宋_GB2312"/>
                <w:sz w:val="21"/>
                <w:szCs w:val="24"/>
              </w:rPr>
            </w:pPr>
            <w:r>
              <w:rPr>
                <w:rFonts w:hint="eastAsia" w:ascii="仿宋_GB2312"/>
                <w:sz w:val="21"/>
                <w:szCs w:val="24"/>
              </w:rPr>
              <w:t>78.9</w:t>
            </w:r>
          </w:p>
        </w:tc>
        <w:tc>
          <w:tcPr>
            <w:tcW w:w="1276" w:type="dxa"/>
            <w:tcBorders>
              <w:top w:val="single" w:color="5B9BD5" w:themeColor="accent1" w:sz="8" w:space="0"/>
              <w:bottom w:val="single" w:color="5B9BD5" w:themeColor="accent1" w:sz="8" w:space="0"/>
              <w:insideH w:val="single" w:sz="8" w:space="0"/>
            </w:tcBorders>
            <w:vAlign w:val="center"/>
          </w:tcPr>
          <w:p>
            <w:pPr>
              <w:spacing w:line="240" w:lineRule="auto"/>
              <w:ind w:firstLine="0" w:firstLineChars="0"/>
              <w:jc w:val="center"/>
              <w:rPr>
                <w:rFonts w:ascii="仿宋_GB2312"/>
                <w:sz w:val="21"/>
                <w:szCs w:val="24"/>
              </w:rPr>
            </w:pPr>
            <w:r>
              <w:rPr>
                <w:rFonts w:hint="eastAsia" w:ascii="仿宋_GB2312"/>
                <w:sz w:val="21"/>
                <w:szCs w:val="24"/>
              </w:rPr>
              <w:t>39.8</w:t>
            </w:r>
          </w:p>
        </w:tc>
        <w:tc>
          <w:tcPr>
            <w:tcW w:w="1173" w:type="dxa"/>
            <w:tcBorders>
              <w:top w:val="single" w:color="5B9BD5" w:themeColor="accent1" w:sz="8" w:space="0"/>
              <w:bottom w:val="single" w:color="5B9BD5" w:themeColor="accent1" w:sz="8" w:space="0"/>
              <w:insideH w:val="single" w:sz="8" w:space="0"/>
            </w:tcBorders>
            <w:vAlign w:val="center"/>
          </w:tcPr>
          <w:p>
            <w:pPr>
              <w:spacing w:line="240" w:lineRule="auto"/>
              <w:ind w:firstLine="0" w:firstLineChars="0"/>
              <w:jc w:val="center"/>
              <w:rPr>
                <w:rFonts w:ascii="仿宋_GB2312"/>
                <w:sz w:val="21"/>
                <w:szCs w:val="24"/>
              </w:rPr>
            </w:pPr>
            <w:r>
              <w:rPr>
                <w:rFonts w:hint="eastAsia" w:ascii="仿宋_GB2312"/>
                <w:sz w:val="21"/>
                <w:szCs w:val="24"/>
              </w:rPr>
              <w:t>17.0</w:t>
            </w:r>
          </w:p>
        </w:tc>
        <w:tc>
          <w:tcPr>
            <w:tcW w:w="1173" w:type="dxa"/>
            <w:tcBorders>
              <w:top w:val="single" w:color="5B9BD5" w:themeColor="accent1" w:sz="8" w:space="0"/>
              <w:bottom w:val="single" w:color="5B9BD5" w:themeColor="accent1" w:sz="8" w:space="0"/>
              <w:insideH w:val="single" w:sz="8" w:space="0"/>
            </w:tcBorders>
            <w:vAlign w:val="center"/>
          </w:tcPr>
          <w:p>
            <w:pPr>
              <w:spacing w:line="240" w:lineRule="auto"/>
              <w:ind w:firstLine="0" w:firstLineChars="0"/>
              <w:jc w:val="center"/>
              <w:rPr>
                <w:rFonts w:ascii="仿宋_GB2312"/>
                <w:sz w:val="21"/>
                <w:szCs w:val="24"/>
              </w:rPr>
            </w:pPr>
            <w:r>
              <w:rPr>
                <w:rFonts w:hint="eastAsia" w:ascii="仿宋_GB2312"/>
                <w:sz w:val="21"/>
                <w:szCs w:val="24"/>
              </w:rPr>
              <w:t>28.6</w:t>
            </w:r>
          </w:p>
        </w:tc>
        <w:tc>
          <w:tcPr>
            <w:tcW w:w="1173" w:type="dxa"/>
            <w:tcBorders>
              <w:top w:val="single" w:color="5B9BD5" w:themeColor="accent1" w:sz="8" w:space="0"/>
              <w:bottom w:val="single" w:color="5B9BD5" w:themeColor="accent1" w:sz="8" w:space="0"/>
              <w:right w:val="single" w:color="5B9BD5" w:themeColor="accent1" w:sz="8" w:space="0"/>
              <w:insideH w:val="single" w:sz="8" w:space="0"/>
            </w:tcBorders>
            <w:vAlign w:val="center"/>
          </w:tcPr>
          <w:p>
            <w:pPr>
              <w:spacing w:line="240" w:lineRule="auto"/>
              <w:ind w:firstLine="0" w:firstLineChars="0"/>
              <w:jc w:val="center"/>
              <w:rPr>
                <w:rFonts w:ascii="仿宋_GB2312"/>
                <w:sz w:val="21"/>
                <w:szCs w:val="24"/>
              </w:rPr>
            </w:pPr>
            <w:r>
              <w:rPr>
                <w:rFonts w:hint="eastAsia" w:ascii="仿宋_GB2312"/>
                <w:sz w:val="21"/>
                <w:szCs w:val="24"/>
              </w:rPr>
              <w:t>13.1</w:t>
            </w:r>
          </w:p>
        </w:tc>
      </w:tr>
    </w:tbl>
    <w:p>
      <w:pPr>
        <w:ind w:firstLine="480"/>
        <w:jc w:val="left"/>
        <w:rPr>
          <w:rFonts w:ascii="仿宋_GB2312"/>
          <w:sz w:val="21"/>
          <w:szCs w:val="24"/>
        </w:rPr>
      </w:pPr>
      <w:r>
        <w:rPr>
          <w:rFonts w:hint="eastAsia" w:ascii="仿宋_GB2312"/>
          <w:sz w:val="24"/>
          <w:szCs w:val="24"/>
        </w:rPr>
        <w:t>在65岁以上人口中，主要患有白内障、抑郁症、糖尿病、老年性痴呆疾病，而且有42％的老年人同时患有两种以上疾病。其中以高血压、心脑血管疾病、呼吸系统疾病的患病率较高，且有逐年增长的趋势（如表3-5</w:t>
      </w:r>
      <w:r>
        <w:rPr>
          <w:rFonts w:hint="eastAsia" w:ascii="仿宋_GB2312"/>
          <w:sz w:val="21"/>
          <w:szCs w:val="24"/>
        </w:rPr>
        <w:t>所示）。</w:t>
      </w:r>
    </w:p>
    <w:p>
      <w:pPr>
        <w:ind w:firstLine="0" w:firstLineChars="0"/>
        <w:jc w:val="center"/>
        <w:rPr>
          <w:rFonts w:ascii="仿宋_GB2312"/>
          <w:sz w:val="21"/>
          <w:szCs w:val="24"/>
        </w:rPr>
      </w:pPr>
      <w:r>
        <w:rPr>
          <w:rFonts w:hint="eastAsia" w:ascii="仿宋_GB2312"/>
          <w:sz w:val="21"/>
          <w:szCs w:val="24"/>
        </w:rPr>
        <w:t>表3-5影响不同年龄组人群的主要健康问题</w:t>
      </w:r>
    </w:p>
    <w:tbl>
      <w:tblPr>
        <w:tblStyle w:val="33"/>
        <w:tblW w:w="9502" w:type="dxa"/>
        <w:jc w:val="center"/>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Layout w:type="autofit"/>
        <w:tblCellMar>
          <w:top w:w="0" w:type="dxa"/>
          <w:left w:w="108" w:type="dxa"/>
          <w:bottom w:w="0" w:type="dxa"/>
          <w:right w:w="108" w:type="dxa"/>
        </w:tblCellMar>
      </w:tblPr>
      <w:tblGrid>
        <w:gridCol w:w="1757"/>
        <w:gridCol w:w="1134"/>
        <w:gridCol w:w="1134"/>
        <w:gridCol w:w="5477"/>
      </w:tblGrid>
      <w:tr>
        <w:tblPrEx>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Ex>
        <w:trPr>
          <w:jc w:val="center"/>
        </w:trPr>
        <w:tc>
          <w:tcPr>
            <w:tcW w:w="1757" w:type="dxa"/>
            <w:vMerge w:val="restart"/>
            <w:tcBorders>
              <w:top w:val="single" w:color="4472C4" w:themeColor="accent5" w:sz="8" w:space="0"/>
              <w:left w:val="single" w:color="4472C4" w:themeColor="accent5" w:sz="8" w:space="0"/>
              <w:bottom w:val="single" w:color="4472C4" w:themeColor="accent5" w:sz="18" w:space="0"/>
              <w:right w:val="single" w:color="auto" w:sz="8" w:space="0"/>
              <w:insideH w:val="single" w:sz="18" w:space="0"/>
              <w:insideV w:val="single" w:sz="8" w:space="0"/>
            </w:tcBorders>
            <w:vAlign w:val="center"/>
          </w:tcPr>
          <w:p>
            <w:pPr>
              <w:spacing w:before="0" w:after="0" w:line="240" w:lineRule="auto"/>
              <w:ind w:firstLine="0" w:firstLineChars="0"/>
              <w:jc w:val="center"/>
              <w:rPr>
                <w:rFonts w:ascii="仿宋_GB2312" w:cstheme="majorBidi"/>
                <w:b/>
                <w:bCs/>
                <w:sz w:val="21"/>
                <w:szCs w:val="24"/>
              </w:rPr>
            </w:pPr>
            <w:r>
              <w:rPr>
                <w:rFonts w:ascii="仿宋_GB2312" w:cstheme="majorBidi"/>
                <w:b/>
                <w:bCs/>
                <w:sz w:val="21"/>
                <w:szCs w:val="24"/>
              </w:rPr>
              <w:t>年龄组</w:t>
            </w:r>
          </w:p>
        </w:tc>
        <w:tc>
          <w:tcPr>
            <w:tcW w:w="2268" w:type="dxa"/>
            <w:gridSpan w:val="2"/>
            <w:tcBorders>
              <w:top w:val="single" w:color="4472C4" w:themeColor="accent5" w:sz="8" w:space="0"/>
              <w:bottom w:val="single" w:color="4472C4" w:themeColor="accent5" w:sz="18" w:space="0"/>
              <w:right w:val="single" w:color="auto" w:sz="8" w:space="0"/>
              <w:insideH w:val="single" w:sz="18" w:space="0"/>
              <w:insideV w:val="single" w:sz="8" w:space="0"/>
            </w:tcBorders>
            <w:vAlign w:val="center"/>
          </w:tcPr>
          <w:p>
            <w:pPr>
              <w:spacing w:before="0" w:after="0" w:line="240" w:lineRule="auto"/>
              <w:ind w:firstLine="0" w:firstLineChars="0"/>
              <w:jc w:val="center"/>
              <w:rPr>
                <w:rFonts w:ascii="仿宋_GB2312" w:cstheme="majorBidi"/>
                <w:b/>
                <w:bCs/>
                <w:sz w:val="21"/>
                <w:szCs w:val="24"/>
              </w:rPr>
            </w:pPr>
            <w:r>
              <w:rPr>
                <w:rFonts w:ascii="仿宋_GB2312" w:cstheme="majorBidi"/>
                <w:b/>
                <w:bCs/>
                <w:sz w:val="21"/>
                <w:szCs w:val="24"/>
              </w:rPr>
              <w:t>人口</w:t>
            </w:r>
            <w:r>
              <w:rPr>
                <w:rFonts w:hint="eastAsia" w:ascii="仿宋_GB2312" w:cstheme="majorBidi"/>
                <w:b/>
                <w:bCs/>
                <w:sz w:val="21"/>
                <w:szCs w:val="24"/>
              </w:rPr>
              <w:t>（万）</w:t>
            </w:r>
          </w:p>
        </w:tc>
        <w:tc>
          <w:tcPr>
            <w:tcW w:w="5477" w:type="dxa"/>
            <w:vMerge w:val="restart"/>
            <w:tcBorders>
              <w:top w:val="single" w:color="4472C4" w:themeColor="accent5" w:sz="8" w:space="0"/>
              <w:bottom w:val="single" w:color="4472C4" w:themeColor="accent5" w:sz="18" w:space="0"/>
              <w:right w:val="single" w:color="4472C4" w:themeColor="accent5" w:sz="8" w:space="0"/>
              <w:insideH w:val="single" w:sz="18" w:space="0"/>
              <w:insideV w:val="single" w:sz="8" w:space="0"/>
            </w:tcBorders>
            <w:vAlign w:val="center"/>
          </w:tcPr>
          <w:p>
            <w:pPr>
              <w:spacing w:before="0" w:after="0" w:line="240" w:lineRule="auto"/>
              <w:ind w:firstLine="0" w:firstLineChars="0"/>
              <w:jc w:val="center"/>
              <w:rPr>
                <w:rFonts w:ascii="仿宋_GB2312" w:cstheme="majorBidi"/>
                <w:b/>
                <w:bCs/>
                <w:sz w:val="21"/>
                <w:szCs w:val="24"/>
              </w:rPr>
            </w:pPr>
            <w:r>
              <w:rPr>
                <w:rFonts w:ascii="仿宋_GB2312" w:cstheme="majorBidi"/>
                <w:b/>
                <w:bCs/>
                <w:sz w:val="21"/>
                <w:szCs w:val="24"/>
              </w:rPr>
              <w:t>主要疾病</w:t>
            </w:r>
          </w:p>
        </w:tc>
      </w:tr>
      <w:tr>
        <w:tblPrEx>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Ex>
        <w:trPr>
          <w:jc w:val="center"/>
        </w:trPr>
        <w:tc>
          <w:tcPr>
            <w:tcW w:w="1757" w:type="dxa"/>
            <w:vMerge w:val="continue"/>
            <w:vAlign w:val="center"/>
          </w:tcPr>
          <w:p>
            <w:pPr>
              <w:spacing w:line="240" w:lineRule="auto"/>
              <w:ind w:firstLine="0" w:firstLineChars="0"/>
              <w:jc w:val="center"/>
              <w:rPr>
                <w:rFonts w:ascii="仿宋_GB2312" w:cstheme="majorBidi"/>
                <w:b/>
                <w:bCs/>
                <w:sz w:val="21"/>
                <w:szCs w:val="24"/>
              </w:rPr>
            </w:pPr>
          </w:p>
        </w:tc>
        <w:tc>
          <w:tcPr>
            <w:tcW w:w="1134" w:type="dxa"/>
            <w:vAlign w:val="center"/>
          </w:tcPr>
          <w:p>
            <w:pPr>
              <w:spacing w:line="240" w:lineRule="auto"/>
              <w:ind w:firstLine="0" w:firstLineChars="0"/>
              <w:jc w:val="center"/>
              <w:rPr>
                <w:rFonts w:ascii="仿宋_GB2312" w:cs="Times New Roman"/>
                <w:sz w:val="21"/>
                <w:szCs w:val="24"/>
              </w:rPr>
            </w:pPr>
            <w:r>
              <w:rPr>
                <w:rFonts w:hint="eastAsia" w:ascii="仿宋_GB2312" w:cs="Times New Roman"/>
                <w:sz w:val="21"/>
                <w:szCs w:val="24"/>
              </w:rPr>
              <w:t>1990年</w:t>
            </w:r>
          </w:p>
        </w:tc>
        <w:tc>
          <w:tcPr>
            <w:tcW w:w="1134" w:type="dxa"/>
            <w:vAlign w:val="center"/>
          </w:tcPr>
          <w:p>
            <w:pPr>
              <w:spacing w:line="240" w:lineRule="auto"/>
              <w:ind w:firstLine="0" w:firstLineChars="0"/>
              <w:jc w:val="center"/>
              <w:rPr>
                <w:rFonts w:ascii="仿宋_GB2312" w:cs="Times New Roman"/>
                <w:sz w:val="21"/>
                <w:szCs w:val="24"/>
              </w:rPr>
            </w:pPr>
            <w:r>
              <w:rPr>
                <w:rFonts w:hint="eastAsia" w:ascii="仿宋_GB2312" w:cs="Times New Roman"/>
                <w:sz w:val="21"/>
                <w:szCs w:val="24"/>
              </w:rPr>
              <w:t>2015年</w:t>
            </w:r>
          </w:p>
        </w:tc>
        <w:tc>
          <w:tcPr>
            <w:tcW w:w="5477" w:type="dxa"/>
            <w:vMerge w:val="continue"/>
            <w:vAlign w:val="center"/>
          </w:tcPr>
          <w:p>
            <w:pPr>
              <w:spacing w:line="240" w:lineRule="auto"/>
              <w:ind w:firstLine="0" w:firstLineChars="0"/>
              <w:jc w:val="center"/>
              <w:rPr>
                <w:rFonts w:ascii="仿宋_GB2312" w:cs="Times New Roman"/>
                <w:sz w:val="21"/>
                <w:szCs w:val="24"/>
              </w:rPr>
            </w:pPr>
          </w:p>
        </w:tc>
      </w:tr>
      <w:tr>
        <w:tblPrEx>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Ex>
        <w:trPr>
          <w:jc w:val="center"/>
        </w:trPr>
        <w:tc>
          <w:tcPr>
            <w:tcW w:w="1757" w:type="dxa"/>
            <w:vAlign w:val="center"/>
          </w:tcPr>
          <w:p>
            <w:pPr>
              <w:spacing w:line="240" w:lineRule="auto"/>
              <w:ind w:firstLine="0" w:firstLineChars="0"/>
              <w:jc w:val="center"/>
              <w:rPr>
                <w:rFonts w:ascii="仿宋_GB2312" w:cstheme="majorBidi"/>
                <w:b/>
                <w:bCs/>
                <w:sz w:val="21"/>
                <w:szCs w:val="24"/>
              </w:rPr>
            </w:pPr>
            <w:r>
              <w:rPr>
                <w:rFonts w:ascii="仿宋_GB2312" w:cstheme="majorBidi"/>
                <w:b/>
                <w:bCs/>
                <w:sz w:val="21"/>
                <w:szCs w:val="24"/>
              </w:rPr>
              <w:t>中年</w:t>
            </w:r>
            <w:r>
              <w:rPr>
                <w:rFonts w:hint="eastAsia" w:ascii="仿宋_GB2312" w:cstheme="majorBidi"/>
                <w:b/>
                <w:bCs/>
                <w:sz w:val="21"/>
                <w:szCs w:val="24"/>
              </w:rPr>
              <w:t>（45-64岁）</w:t>
            </w:r>
          </w:p>
        </w:tc>
        <w:tc>
          <w:tcPr>
            <w:tcW w:w="1134" w:type="dxa"/>
            <w:vAlign w:val="center"/>
          </w:tcPr>
          <w:p>
            <w:pPr>
              <w:spacing w:line="240" w:lineRule="auto"/>
              <w:ind w:firstLine="0" w:firstLineChars="0"/>
              <w:jc w:val="center"/>
              <w:rPr>
                <w:rFonts w:ascii="仿宋_GB2312" w:cs="Times New Roman"/>
                <w:sz w:val="21"/>
                <w:szCs w:val="24"/>
              </w:rPr>
            </w:pPr>
            <w:r>
              <w:rPr>
                <w:rFonts w:hint="eastAsia" w:ascii="仿宋_GB2312" w:cs="Times New Roman"/>
                <w:sz w:val="21"/>
                <w:szCs w:val="24"/>
              </w:rPr>
              <w:t>17039</w:t>
            </w:r>
          </w:p>
        </w:tc>
        <w:tc>
          <w:tcPr>
            <w:tcW w:w="1134" w:type="dxa"/>
            <w:vAlign w:val="center"/>
          </w:tcPr>
          <w:p>
            <w:pPr>
              <w:spacing w:line="240" w:lineRule="auto"/>
              <w:ind w:firstLine="0" w:firstLineChars="0"/>
              <w:jc w:val="center"/>
              <w:rPr>
                <w:rFonts w:ascii="仿宋_GB2312" w:cs="Times New Roman"/>
                <w:sz w:val="21"/>
                <w:szCs w:val="24"/>
              </w:rPr>
            </w:pPr>
            <w:r>
              <w:rPr>
                <w:rFonts w:hint="eastAsia" w:ascii="仿宋_GB2312" w:cs="Times New Roman"/>
                <w:sz w:val="21"/>
                <w:szCs w:val="24"/>
              </w:rPr>
              <w:t>40975</w:t>
            </w:r>
          </w:p>
        </w:tc>
        <w:tc>
          <w:tcPr>
            <w:tcW w:w="5477" w:type="dxa"/>
            <w:vAlign w:val="center"/>
          </w:tcPr>
          <w:p>
            <w:pPr>
              <w:spacing w:line="240" w:lineRule="auto"/>
              <w:ind w:firstLine="0" w:firstLineChars="0"/>
              <w:jc w:val="center"/>
              <w:rPr>
                <w:rFonts w:ascii="仿宋_GB2312" w:cs="Times New Roman"/>
                <w:sz w:val="21"/>
                <w:szCs w:val="24"/>
              </w:rPr>
            </w:pPr>
            <w:r>
              <w:rPr>
                <w:rFonts w:hint="eastAsia" w:ascii="仿宋_GB2312" w:cs="Times New Roman"/>
                <w:sz w:val="21"/>
                <w:szCs w:val="24"/>
              </w:rPr>
              <w:t>恶性肿瘤、心脏病、脑血管病、糖尿病、慢性阻塞性肺病</w:t>
            </w:r>
          </w:p>
        </w:tc>
      </w:tr>
      <w:tr>
        <w:tblPrEx>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CellMar>
            <w:top w:w="0" w:type="dxa"/>
            <w:left w:w="108" w:type="dxa"/>
            <w:bottom w:w="0" w:type="dxa"/>
            <w:right w:w="108" w:type="dxa"/>
          </w:tblCellMar>
        </w:tblPrEx>
        <w:trPr>
          <w:jc w:val="center"/>
        </w:trPr>
        <w:tc>
          <w:tcPr>
            <w:tcW w:w="1757" w:type="dxa"/>
            <w:vAlign w:val="center"/>
          </w:tcPr>
          <w:p>
            <w:pPr>
              <w:spacing w:line="240" w:lineRule="auto"/>
              <w:ind w:firstLine="0" w:firstLineChars="0"/>
              <w:jc w:val="center"/>
              <w:rPr>
                <w:rFonts w:ascii="仿宋_GB2312" w:cstheme="majorBidi"/>
                <w:b/>
                <w:bCs/>
                <w:sz w:val="21"/>
                <w:szCs w:val="24"/>
              </w:rPr>
            </w:pPr>
            <w:r>
              <w:rPr>
                <w:rFonts w:ascii="仿宋_GB2312" w:cstheme="majorBidi"/>
                <w:b/>
                <w:bCs/>
                <w:sz w:val="21"/>
                <w:szCs w:val="24"/>
              </w:rPr>
              <w:t>老年</w:t>
            </w:r>
            <w:r>
              <w:rPr>
                <w:rFonts w:hint="eastAsia" w:ascii="仿宋_GB2312" w:cstheme="majorBidi"/>
                <w:b/>
                <w:bCs/>
                <w:sz w:val="21"/>
                <w:szCs w:val="24"/>
              </w:rPr>
              <w:t>（65岁以上）</w:t>
            </w:r>
          </w:p>
        </w:tc>
        <w:tc>
          <w:tcPr>
            <w:tcW w:w="1134" w:type="dxa"/>
            <w:vAlign w:val="center"/>
          </w:tcPr>
          <w:p>
            <w:pPr>
              <w:spacing w:line="240" w:lineRule="auto"/>
              <w:ind w:firstLine="0" w:firstLineChars="0"/>
              <w:jc w:val="center"/>
              <w:rPr>
                <w:rFonts w:ascii="仿宋_GB2312" w:cs="Times New Roman"/>
                <w:sz w:val="21"/>
                <w:szCs w:val="24"/>
              </w:rPr>
            </w:pPr>
            <w:r>
              <w:rPr>
                <w:rFonts w:hint="eastAsia" w:ascii="仿宋_GB2312" w:cs="Times New Roman"/>
                <w:sz w:val="21"/>
                <w:szCs w:val="24"/>
              </w:rPr>
              <w:t>6299</w:t>
            </w:r>
          </w:p>
        </w:tc>
        <w:tc>
          <w:tcPr>
            <w:tcW w:w="1134" w:type="dxa"/>
            <w:vAlign w:val="center"/>
          </w:tcPr>
          <w:p>
            <w:pPr>
              <w:spacing w:line="240" w:lineRule="auto"/>
              <w:ind w:firstLine="0" w:firstLineChars="0"/>
              <w:jc w:val="center"/>
              <w:rPr>
                <w:rFonts w:ascii="仿宋_GB2312" w:cs="Times New Roman"/>
                <w:sz w:val="21"/>
                <w:szCs w:val="24"/>
              </w:rPr>
            </w:pPr>
            <w:r>
              <w:rPr>
                <w:rFonts w:hint="eastAsia" w:ascii="仿宋_GB2312" w:cs="Times New Roman"/>
                <w:sz w:val="21"/>
                <w:szCs w:val="24"/>
              </w:rPr>
              <w:t>19711</w:t>
            </w:r>
          </w:p>
        </w:tc>
        <w:tc>
          <w:tcPr>
            <w:tcW w:w="5477" w:type="dxa"/>
            <w:vAlign w:val="center"/>
          </w:tcPr>
          <w:p>
            <w:pPr>
              <w:spacing w:line="240" w:lineRule="auto"/>
              <w:ind w:firstLine="0" w:firstLineChars="0"/>
              <w:jc w:val="center"/>
              <w:rPr>
                <w:rFonts w:ascii="仿宋_GB2312" w:cs="Times New Roman"/>
                <w:sz w:val="21"/>
                <w:szCs w:val="24"/>
              </w:rPr>
            </w:pPr>
            <w:r>
              <w:rPr>
                <w:rFonts w:hint="eastAsia" w:ascii="仿宋_GB2312" w:cs="Times New Roman"/>
                <w:sz w:val="21"/>
                <w:szCs w:val="24"/>
              </w:rPr>
              <w:t>白内障、抑郁症、糖尿病、老年性痴呆</w:t>
            </w:r>
          </w:p>
        </w:tc>
      </w:tr>
    </w:tbl>
    <w:p>
      <w:pPr>
        <w:ind w:firstLine="0" w:firstLineChars="0"/>
        <w:jc w:val="left"/>
        <w:rPr>
          <w:rFonts w:ascii="仿宋_GB2312"/>
          <w:sz w:val="21"/>
          <w:szCs w:val="24"/>
        </w:rPr>
      </w:pPr>
      <w:r>
        <w:rPr>
          <w:rFonts w:hint="eastAsia" w:ascii="仿宋_GB2312"/>
          <w:sz w:val="21"/>
          <w:szCs w:val="24"/>
        </w:rPr>
        <w:t>摘自：团结出版社李京文主编《中国社会前景》（2001）P41</w:t>
      </w:r>
    </w:p>
    <w:p>
      <w:pPr>
        <w:ind w:firstLine="480"/>
        <w:jc w:val="left"/>
        <w:rPr>
          <w:rFonts w:ascii="仿宋_GB2312"/>
          <w:sz w:val="24"/>
          <w:szCs w:val="24"/>
        </w:rPr>
      </w:pPr>
      <w:r>
        <w:rPr>
          <w:rFonts w:hint="eastAsia" w:ascii="仿宋_GB2312"/>
          <w:sz w:val="24"/>
          <w:szCs w:val="24"/>
        </w:rPr>
        <w:t>综上所述，公司面向中老年慢性病研发的APP项目市场容量巨大，前景广阔。</w:t>
      </w:r>
    </w:p>
    <w:p>
      <w:pPr>
        <w:ind w:firstLine="480"/>
        <w:jc w:val="left"/>
        <w:rPr>
          <w:rFonts w:ascii="仿宋_GB2312"/>
          <w:sz w:val="24"/>
          <w:szCs w:val="24"/>
        </w:rPr>
      </w:pPr>
    </w:p>
    <w:p>
      <w:pPr>
        <w:pStyle w:val="84"/>
        <w:ind w:firstLine="0" w:firstLineChars="0"/>
        <w:outlineLvl w:val="1"/>
        <w:rPr>
          <w:rFonts w:ascii="黑体" w:hAnsi="黑体"/>
          <w:b w:val="0"/>
          <w:sz w:val="30"/>
          <w:szCs w:val="30"/>
        </w:rPr>
      </w:pPr>
      <w:bookmarkStart w:id="76" w:name="_Toc61100217"/>
      <w:r>
        <w:rPr>
          <w:rFonts w:hint="eastAsia" w:ascii="黑体" w:hAnsi="黑体"/>
          <w:b w:val="0"/>
          <w:sz w:val="30"/>
          <w:szCs w:val="30"/>
        </w:rPr>
        <w:t>3.4目标用户分析</w:t>
      </w:r>
      <w:bookmarkEnd w:id="76"/>
    </w:p>
    <w:p>
      <w:pPr>
        <w:ind w:firstLine="480"/>
        <w:jc w:val="left"/>
        <w:rPr>
          <w:rFonts w:ascii="仿宋_GB2312"/>
          <w:sz w:val="24"/>
          <w:szCs w:val="24"/>
        </w:rPr>
      </w:pPr>
      <w:r>
        <w:rPr>
          <w:rFonts w:hint="eastAsia" w:ascii="仿宋_GB2312"/>
          <w:sz w:val="24"/>
          <w:szCs w:val="24"/>
        </w:rPr>
        <w:t>未来10年是我国慢性病防控的关键时期，因此，公司选择在前期以中老年慢性病患者为市场切入点，中后期扩大面向群体至各年龄段群体。综合考虑市场现状后，公司从用户情况、需求及行为特征三方面对目标用户进行分析。</w:t>
      </w:r>
    </w:p>
    <w:p>
      <w:pPr>
        <w:tabs>
          <w:tab w:val="center" w:pos="4434"/>
        </w:tabs>
        <w:spacing w:line="500" w:lineRule="exact"/>
        <w:ind w:firstLine="0" w:firstLineChars="0"/>
        <w:jc w:val="left"/>
        <w:outlineLvl w:val="2"/>
        <w:rPr>
          <w:rFonts w:ascii="黑体" w:hAnsi="黑体" w:eastAsia="黑体" w:cs="Times New Roman"/>
        </w:rPr>
      </w:pPr>
      <w:bookmarkStart w:id="77" w:name="_Toc61100218"/>
      <w:r>
        <w:rPr>
          <w:rFonts w:hint="eastAsia" w:ascii="黑体" w:hAnsi="黑体" w:eastAsia="黑体" w:cs="Times New Roman"/>
        </w:rPr>
        <w:t>3.4.1目标用户情况分析</w:t>
      </w:r>
      <w:bookmarkEnd w:id="77"/>
    </w:p>
    <w:p>
      <w:pPr>
        <w:ind w:firstLine="482"/>
        <w:jc w:val="left"/>
        <w:rPr>
          <w:rFonts w:ascii="仿宋_GB2312"/>
          <w:b/>
          <w:sz w:val="24"/>
          <w:szCs w:val="24"/>
        </w:rPr>
      </w:pPr>
      <w:r>
        <w:rPr>
          <w:rFonts w:hint="eastAsia" w:ascii="仿宋_GB2312"/>
          <w:b/>
          <w:sz w:val="24"/>
          <w:szCs w:val="24"/>
        </w:rPr>
        <w:t>1.中老年慢性病患者多且发病率高</w:t>
      </w:r>
    </w:p>
    <w:p>
      <w:pPr>
        <w:ind w:firstLine="480"/>
        <w:jc w:val="left"/>
        <w:rPr>
          <w:rFonts w:ascii="仿宋_GB2312"/>
          <w:sz w:val="24"/>
          <w:szCs w:val="24"/>
        </w:rPr>
      </w:pPr>
      <w:r>
        <w:rPr>
          <w:rFonts w:hint="eastAsia" w:ascii="仿宋_GB2312"/>
          <w:sz w:val="24"/>
          <w:szCs w:val="24"/>
        </w:rPr>
        <w:t>截至2018年年底，我国60岁以上老年人口数量已达24090万人。老年人随着年龄的增长和机体的自然衰退，更易遭受疾病侵袭。而慢性病由于其本身病程长、治愈率低的特殊性，在老年人群众呈现高发状态。根据国家卫计委发表的《中国疾病控制预防工作进展（2018）》显示，慢性病导致的死亡人数已占到全国总死亡的86.6%，导致疾病占总疾病负担的近70%，中老年慢性病防治刻不容缓。</w:t>
      </w:r>
    </w:p>
    <w:p>
      <w:pPr>
        <w:ind w:firstLine="482"/>
        <w:jc w:val="left"/>
        <w:rPr>
          <w:rFonts w:ascii="仿宋_GB2312"/>
          <w:b/>
          <w:sz w:val="24"/>
          <w:szCs w:val="24"/>
        </w:rPr>
      </w:pPr>
      <w:r>
        <w:rPr>
          <w:rFonts w:hint="eastAsia" w:ascii="仿宋_GB2312"/>
          <w:b/>
          <w:sz w:val="24"/>
          <w:szCs w:val="24"/>
        </w:rPr>
        <w:t>2.青年人身体素质下降，亚健康普遍化。</w:t>
      </w:r>
    </w:p>
    <w:p>
      <w:pPr>
        <w:ind w:firstLine="480"/>
        <w:jc w:val="left"/>
        <w:rPr>
          <w:rFonts w:ascii="仿宋_GB2312"/>
          <w:sz w:val="24"/>
          <w:szCs w:val="24"/>
        </w:rPr>
      </w:pPr>
      <w:r>
        <w:rPr>
          <w:rFonts w:hint="eastAsia" w:ascii="仿宋_GB2312"/>
          <w:sz w:val="24"/>
          <w:szCs w:val="24"/>
        </w:rPr>
        <w:t>由于人们生活节奏加快，精神压力大，饮食不良，久坐不动，加之环境污染加剧，青年人身体素质明显下降，慢性病逐渐年轻化。亚健康已成普遍现象，这使得青年人越来越关注自身健康。</w:t>
      </w:r>
    </w:p>
    <w:p>
      <w:pPr>
        <w:tabs>
          <w:tab w:val="center" w:pos="4434"/>
        </w:tabs>
        <w:spacing w:line="500" w:lineRule="exact"/>
        <w:ind w:firstLine="0" w:firstLineChars="0"/>
        <w:jc w:val="left"/>
        <w:outlineLvl w:val="2"/>
        <w:rPr>
          <w:rFonts w:ascii="黑体" w:hAnsi="黑体" w:eastAsia="黑体" w:cs="Times New Roman"/>
        </w:rPr>
      </w:pPr>
      <w:bookmarkStart w:id="78" w:name="_Toc61100219"/>
      <w:r>
        <w:rPr>
          <w:rFonts w:hint="eastAsia" w:ascii="黑体" w:hAnsi="黑体" w:eastAsia="黑体" w:cs="Times New Roman"/>
        </w:rPr>
        <w:t>3.4.2目标用户需求及行为特征分析</w:t>
      </w:r>
      <w:bookmarkEnd w:id="78"/>
    </w:p>
    <w:p>
      <w:pPr>
        <w:ind w:firstLine="480"/>
        <w:jc w:val="left"/>
        <w:rPr>
          <w:rFonts w:ascii="仿宋_GB2312"/>
          <w:sz w:val="24"/>
          <w:szCs w:val="24"/>
        </w:rPr>
      </w:pPr>
      <w:r>
        <w:rPr>
          <w:rFonts w:hint="eastAsia" w:ascii="仿宋_GB2312"/>
          <w:sz w:val="24"/>
          <w:szCs w:val="24"/>
        </w:rPr>
        <w:t>公司从慢性病患者群体的典型行为、发病因素、医疗需求及医疗模式等方面，对目标用户需求及行为特征进行分析。</w:t>
      </w:r>
    </w:p>
    <w:p>
      <w:pPr>
        <w:ind w:firstLine="482"/>
        <w:jc w:val="left"/>
        <w:rPr>
          <w:rFonts w:ascii="仿宋_GB2312"/>
          <w:b/>
          <w:sz w:val="24"/>
          <w:szCs w:val="24"/>
        </w:rPr>
      </w:pPr>
      <w:r>
        <w:rPr>
          <w:rFonts w:ascii="仿宋_GB2312"/>
          <w:b/>
          <w:sz w:val="24"/>
          <w:szCs w:val="24"/>
        </w:rPr>
        <w:t xml:space="preserve"> </w:t>
      </w:r>
      <w:r>
        <w:rPr>
          <w:rFonts w:hint="eastAsia" w:ascii="仿宋_GB2312"/>
          <w:b/>
          <w:sz w:val="24"/>
          <w:szCs w:val="24"/>
        </w:rPr>
        <w:t>1.慢性病高发与饮食结构、生活方式等因素息息相关</w:t>
      </w:r>
    </w:p>
    <w:p>
      <w:pPr>
        <w:ind w:firstLine="480"/>
        <w:jc w:val="left"/>
        <w:rPr>
          <w:rFonts w:ascii="仿宋_GB2312"/>
          <w:sz w:val="24"/>
          <w:szCs w:val="24"/>
        </w:rPr>
      </w:pPr>
      <w:r>
        <w:rPr>
          <w:rFonts w:hint="eastAsia" w:ascii="仿宋_GB2312"/>
          <w:sz w:val="24"/>
          <w:szCs w:val="24"/>
        </w:rPr>
        <w:t>我国慢性病患者逐年增多，除人口老龄化因素外，最重要的因素就是人们不良的生活习惯。国家卫计委宣传司司长毛群安曾指出,饮食结构不合理、缺乏锻炼、烟酒消费等不良生活习惯是造成高血压、糖尿病等慢病高发的重要原因。因此对慢性病人群而言，培养预防和实时监控自身身体状况的习惯是十分重要的。</w:t>
      </w:r>
    </w:p>
    <w:p>
      <w:pPr>
        <w:ind w:firstLine="482"/>
        <w:jc w:val="left"/>
        <w:rPr>
          <w:rFonts w:ascii="仿宋_GB2312"/>
          <w:b/>
          <w:sz w:val="24"/>
          <w:szCs w:val="24"/>
        </w:rPr>
      </w:pPr>
      <w:r>
        <w:rPr>
          <w:rFonts w:hint="eastAsia" w:ascii="仿宋_GB2312"/>
          <w:b/>
          <w:sz w:val="24"/>
          <w:szCs w:val="24"/>
        </w:rPr>
        <w:t>2.老龄化趋势与生活水平的提高释放医疗需求</w:t>
      </w:r>
    </w:p>
    <w:p>
      <w:pPr>
        <w:ind w:firstLine="480"/>
        <w:jc w:val="left"/>
        <w:rPr>
          <w:rFonts w:ascii="仿宋_GB2312"/>
          <w:sz w:val="24"/>
          <w:szCs w:val="24"/>
        </w:rPr>
      </w:pPr>
      <w:r>
        <w:rPr>
          <w:rFonts w:hint="eastAsia" w:ascii="仿宋_GB2312"/>
          <w:sz w:val="24"/>
          <w:szCs w:val="24"/>
        </w:rPr>
        <w:t>中国老龄化趋势加剧导致医疗保健需求增长。国务院办公厅发布的《社会养老服务体系建设规划》预计2020-2050年中国将进入加速老龄化阶段。到2050年，老龄人口总量将超过4亿，老龄化水平达到30%。人口老龄化提升了各种慢性疾病发病率，从而推动医疗需求的快速增长。</w:t>
      </w:r>
    </w:p>
    <w:p>
      <w:pPr>
        <w:ind w:firstLine="480"/>
        <w:jc w:val="left"/>
        <w:rPr>
          <w:rFonts w:ascii="仿宋_GB2312"/>
          <w:sz w:val="24"/>
          <w:szCs w:val="24"/>
        </w:rPr>
      </w:pPr>
      <w:r>
        <w:rPr>
          <w:rFonts w:hint="eastAsia" w:ascii="仿宋_GB2312"/>
          <w:sz w:val="24"/>
          <w:szCs w:val="24"/>
        </w:rPr>
        <w:t>同时，我国居民的生活水平稳步提升，人们对健康的关注也随之增加。2018年居民人均可支配收入达到28228元，比上年增长8.7%。其中，人均医疗保健消费支出达到1685元。</w:t>
      </w:r>
    </w:p>
    <w:p>
      <w:pPr>
        <w:ind w:firstLine="482"/>
        <w:jc w:val="left"/>
        <w:rPr>
          <w:rFonts w:ascii="仿宋_GB2312"/>
          <w:b/>
          <w:sz w:val="24"/>
          <w:szCs w:val="24"/>
        </w:rPr>
      </w:pPr>
      <w:r>
        <w:rPr>
          <w:rFonts w:hint="eastAsia" w:ascii="仿宋_GB2312"/>
          <w:b/>
          <w:sz w:val="24"/>
          <w:szCs w:val="24"/>
        </w:rPr>
        <w:t>3.亚健康人群大幅增加</w:t>
      </w:r>
    </w:p>
    <w:p>
      <w:pPr>
        <w:ind w:firstLine="480"/>
        <w:jc w:val="left"/>
        <w:rPr>
          <w:rFonts w:ascii="仿宋_GB2312"/>
          <w:sz w:val="24"/>
          <w:szCs w:val="24"/>
        </w:rPr>
      </w:pPr>
      <w:r>
        <w:rPr>
          <w:rFonts w:hint="eastAsia" w:ascii="仿宋_GB2312"/>
          <w:sz w:val="24"/>
          <w:szCs w:val="24"/>
        </w:rPr>
        <w:t>2018年9月30日发布的《城市蓝皮书：中国城市发展报告No.9——迈向健康城市之路》数据表明中国亚健康人群已超过75%，且在各年龄段的分布也较为均匀；与营养相关的慢性病，如糖尿病、心脑血管病、肿瘤等已占死亡原因的80%。居民的健康需求已由传统、单一的医疗治疗型向疾病预防型、保健型和健康促进型转变。</w:t>
      </w:r>
    </w:p>
    <w:p>
      <w:pPr>
        <w:ind w:firstLine="482"/>
        <w:jc w:val="left"/>
        <w:rPr>
          <w:rFonts w:ascii="仿宋_GB2312"/>
          <w:b/>
          <w:sz w:val="24"/>
          <w:szCs w:val="24"/>
        </w:rPr>
      </w:pPr>
      <w:r>
        <w:rPr>
          <w:rFonts w:hint="eastAsia" w:ascii="仿宋_GB2312"/>
          <w:b/>
          <w:sz w:val="24"/>
          <w:szCs w:val="24"/>
        </w:rPr>
        <w:t>4.传统医疗模式难以满足用户需求</w:t>
      </w:r>
    </w:p>
    <w:p>
      <w:pPr>
        <w:ind w:firstLine="480"/>
        <w:jc w:val="left"/>
        <w:rPr>
          <w:rFonts w:ascii="仿宋_GB2312"/>
          <w:sz w:val="24"/>
          <w:szCs w:val="24"/>
        </w:rPr>
      </w:pPr>
      <w:r>
        <w:rPr>
          <w:rFonts w:hint="eastAsia" w:ascii="仿宋_GB2312"/>
          <w:sz w:val="24"/>
          <w:szCs w:val="24"/>
        </w:rPr>
        <w:t>由于我国医疗资源分配不均，医疗信息破碎，人们对大型公立医院偏好明显，看病耗时耗力等因素，慢性病患者的诊疗多数仍依托于综合性三甲医院的专科医师，经专科医生短暂诊治后，患者回到社区难以完成后期管理。由此移动医疗应运而生，用户急需优质、便捷的线上医疗服务平台来实现疾病的自我预防与控制。现今，国内外均认识到防治慢性病，提高老年人健康状况，加强中青年人身体素质的重要性。而现今我国的医疗资源难以实现对每一位慢性病患者进行病情实时监控和帮助潜在患者预防。</w:t>
      </w:r>
    </w:p>
    <w:p>
      <w:pPr>
        <w:ind w:firstLine="480"/>
        <w:jc w:val="left"/>
        <w:rPr>
          <w:rFonts w:ascii="仿宋_GB2312"/>
          <w:sz w:val="24"/>
          <w:szCs w:val="24"/>
        </w:rPr>
      </w:pPr>
      <w:r>
        <w:rPr>
          <w:rFonts w:hint="eastAsia" w:ascii="仿宋_GB2312"/>
          <w:sz w:val="24"/>
          <w:szCs w:val="24"/>
        </w:rPr>
        <w:t>移动医疗APP顺应互联网时代潮流，改变传统医疗模式，用户“足不出户”就可预防、监测、控制病情，享受优质、便捷、可持续的医疗服务。因此，公司在不同发展阶段，将用户分别定位在中老年人慢性病患者、中老年人、各年龄段群体，最大限度地为各类用户提供个性化医疗服务。</w:t>
      </w:r>
    </w:p>
    <w:p>
      <w:pPr>
        <w:ind w:firstLine="480"/>
        <w:jc w:val="left"/>
        <w:rPr>
          <w:rFonts w:ascii="仿宋_GB2312"/>
          <w:sz w:val="24"/>
          <w:szCs w:val="24"/>
        </w:rPr>
      </w:pPr>
      <w:r>
        <w:rPr>
          <w:rFonts w:ascii="仿宋_GB2312"/>
          <w:sz w:val="24"/>
          <w:szCs w:val="24"/>
        </w:rPr>
        <w:t xml:space="preserve"> </w:t>
      </w:r>
    </w:p>
    <w:p>
      <w:pPr>
        <w:ind w:firstLine="480"/>
        <w:jc w:val="left"/>
        <w:rPr>
          <w:rFonts w:ascii="仿宋_GB2312"/>
          <w:sz w:val="24"/>
          <w:szCs w:val="24"/>
        </w:rPr>
      </w:pPr>
    </w:p>
    <w:p>
      <w:pPr>
        <w:ind w:firstLine="480"/>
        <w:jc w:val="left"/>
        <w:rPr>
          <w:rFonts w:ascii="仿宋_GB2312"/>
          <w:sz w:val="24"/>
          <w:szCs w:val="24"/>
        </w:rPr>
        <w:sectPr>
          <w:pgSz w:w="11906" w:h="16838"/>
          <w:pgMar w:top="1440" w:right="1800" w:bottom="1440" w:left="1800" w:header="851" w:footer="992" w:gutter="0"/>
          <w:cols w:space="425" w:num="1"/>
          <w:docGrid w:type="lines" w:linePitch="381" w:charSpace="0"/>
        </w:sectPr>
      </w:pPr>
    </w:p>
    <w:bookmarkEnd w:id="69"/>
    <w:p>
      <w:pPr>
        <w:pStyle w:val="83"/>
        <w:ind w:firstLine="180" w:firstLineChars="45"/>
        <w:outlineLvl w:val="0"/>
        <w:rPr>
          <w:rFonts w:ascii="黑体" w:hAnsi="黑体" w:eastAsia="黑体"/>
          <w:sz w:val="40"/>
          <w:szCs w:val="40"/>
        </w:rPr>
      </w:pPr>
      <w:bookmarkStart w:id="79" w:name="_Toc5364968"/>
      <w:bookmarkStart w:id="80" w:name="_Toc4504571"/>
      <w:bookmarkStart w:id="81" w:name="_Toc61100220"/>
      <w:r>
        <w:rPr>
          <w:rFonts w:hint="eastAsia" w:ascii="黑体" w:hAnsi="黑体" w:eastAsia="黑体"/>
          <w:sz w:val="40"/>
          <w:szCs w:val="40"/>
        </w:rPr>
        <w:t>第四章 公司战略</w:t>
      </w:r>
      <w:bookmarkEnd w:id="79"/>
      <w:bookmarkEnd w:id="80"/>
      <w:bookmarkEnd w:id="81"/>
    </w:p>
    <w:p>
      <w:pPr>
        <w:pStyle w:val="84"/>
        <w:ind w:firstLine="0" w:firstLineChars="0"/>
        <w:outlineLvl w:val="1"/>
        <w:rPr>
          <w:rFonts w:ascii="黑体" w:hAnsi="黑体"/>
          <w:b w:val="0"/>
          <w:sz w:val="30"/>
          <w:szCs w:val="30"/>
        </w:rPr>
      </w:pPr>
      <w:bookmarkStart w:id="82" w:name="_Toc20629"/>
      <w:bookmarkStart w:id="83" w:name="_Toc5364969"/>
      <w:bookmarkStart w:id="84" w:name="_Toc4504572"/>
      <w:bookmarkStart w:id="85" w:name="_Toc61100221"/>
      <w:r>
        <w:rPr>
          <w:rFonts w:hint="eastAsia" w:ascii="黑体" w:hAnsi="黑体"/>
          <w:b w:val="0"/>
          <w:sz w:val="30"/>
          <w:szCs w:val="30"/>
        </w:rPr>
        <w:t>4.1</w:t>
      </w:r>
      <w:bookmarkEnd w:id="82"/>
      <w:r>
        <w:rPr>
          <w:rFonts w:hint="eastAsia" w:ascii="黑体" w:hAnsi="黑体"/>
          <w:b w:val="0"/>
          <w:sz w:val="30"/>
          <w:szCs w:val="30"/>
        </w:rPr>
        <w:t>公司</w:t>
      </w:r>
      <w:bookmarkEnd w:id="83"/>
      <w:bookmarkEnd w:id="84"/>
      <w:r>
        <w:rPr>
          <w:rFonts w:hint="eastAsia" w:ascii="黑体" w:hAnsi="黑体"/>
          <w:b w:val="0"/>
          <w:sz w:val="30"/>
          <w:szCs w:val="30"/>
        </w:rPr>
        <w:t>介绍</w:t>
      </w:r>
      <w:bookmarkEnd w:id="85"/>
    </w:p>
    <w:p>
      <w:pPr>
        <w:ind w:firstLine="482"/>
        <w:jc w:val="left"/>
        <w:rPr>
          <w:sz w:val="24"/>
          <w:szCs w:val="24"/>
        </w:rPr>
      </w:pPr>
      <w:r>
        <w:rPr>
          <w:rFonts w:hint="eastAsia"/>
          <w:b/>
          <w:sz w:val="24"/>
          <w:szCs w:val="24"/>
        </w:rPr>
        <w:t>1.公司名称：</w:t>
      </w:r>
      <w:r>
        <w:rPr>
          <w:rFonts w:hint="eastAsia"/>
          <w:sz w:val="24"/>
          <w:szCs w:val="24"/>
        </w:rPr>
        <w:t>云惠医健康咨询有限公司</w:t>
      </w:r>
    </w:p>
    <w:p>
      <w:pPr>
        <w:ind w:firstLine="482"/>
        <w:jc w:val="left"/>
        <w:rPr>
          <w:sz w:val="24"/>
          <w:szCs w:val="24"/>
        </w:rPr>
      </w:pPr>
      <w:r>
        <w:rPr>
          <w:rFonts w:hint="eastAsia"/>
          <w:b/>
          <w:sz w:val="24"/>
          <w:szCs w:val="24"/>
        </w:rPr>
        <w:t>2.公司目标：</w:t>
      </w:r>
      <w:bookmarkStart w:id="86" w:name="_Hlk5321603"/>
      <w:r>
        <w:rPr>
          <w:rFonts w:hint="eastAsia"/>
          <w:sz w:val="24"/>
          <w:szCs w:val="24"/>
        </w:rPr>
        <w:t>打造成为全球知名互联网医疗服务平台</w:t>
      </w:r>
    </w:p>
    <w:p>
      <w:pPr>
        <w:ind w:firstLine="482"/>
        <w:jc w:val="left"/>
        <w:rPr>
          <w:sz w:val="24"/>
          <w:szCs w:val="24"/>
        </w:rPr>
      </w:pPr>
      <w:r>
        <w:rPr>
          <w:rFonts w:hint="eastAsia"/>
          <w:b/>
          <w:sz w:val="24"/>
          <w:szCs w:val="24"/>
        </w:rPr>
        <w:t>3.公司使命：</w:t>
      </w:r>
      <w:r>
        <w:rPr>
          <w:rFonts w:hint="eastAsia"/>
          <w:sz w:val="24"/>
          <w:szCs w:val="24"/>
        </w:rPr>
        <w:t>高效整合医疗资源，创新医疗知识共享，</w:t>
      </w:r>
    </w:p>
    <w:p>
      <w:pPr>
        <w:ind w:firstLine="1920" w:firstLineChars="800"/>
        <w:jc w:val="left"/>
        <w:rPr>
          <w:sz w:val="24"/>
          <w:szCs w:val="24"/>
        </w:rPr>
      </w:pPr>
      <w:r>
        <w:rPr>
          <w:rFonts w:hint="eastAsia"/>
          <w:sz w:val="24"/>
          <w:szCs w:val="24"/>
        </w:rPr>
        <w:t>科学防治慢性疾病，智慧提升人类幸福。</w:t>
      </w:r>
    </w:p>
    <w:p>
      <w:pPr>
        <w:ind w:firstLine="482"/>
        <w:jc w:val="left"/>
        <w:rPr>
          <w:sz w:val="24"/>
          <w:szCs w:val="24"/>
        </w:rPr>
      </w:pPr>
      <w:r>
        <w:rPr>
          <w:rFonts w:hint="eastAsia"/>
          <w:b/>
          <w:sz w:val="24"/>
          <w:szCs w:val="24"/>
        </w:rPr>
        <w:t>4.公司理念：</w:t>
      </w:r>
      <w:r>
        <w:rPr>
          <w:rFonts w:hint="eastAsia"/>
          <w:sz w:val="24"/>
          <w:szCs w:val="24"/>
        </w:rPr>
        <w:t>平等、学习、创新和尊重知识</w:t>
      </w:r>
    </w:p>
    <w:p>
      <w:pPr>
        <w:ind w:firstLine="482"/>
        <w:jc w:val="left"/>
        <w:rPr>
          <w:sz w:val="24"/>
          <w:szCs w:val="24"/>
        </w:rPr>
      </w:pPr>
      <w:r>
        <w:rPr>
          <w:rFonts w:hint="eastAsia"/>
          <w:b/>
          <w:sz w:val="24"/>
          <w:szCs w:val="24"/>
        </w:rPr>
        <w:t>5.公司精神：</w:t>
      </w:r>
      <w:r>
        <w:rPr>
          <w:rFonts w:hint="eastAsia"/>
          <w:sz w:val="24"/>
          <w:szCs w:val="24"/>
        </w:rPr>
        <w:t>求实创新，用心服务。</w:t>
      </w:r>
      <w:bookmarkEnd w:id="86"/>
    </w:p>
    <w:p>
      <w:pPr>
        <w:ind w:firstLine="480"/>
        <w:jc w:val="left"/>
        <w:rPr>
          <w:sz w:val="24"/>
          <w:szCs w:val="24"/>
        </w:rPr>
      </w:pPr>
      <w:r>
        <w:rPr>
          <w:sz w:val="24"/>
          <w:szCs w:val="24"/>
        </w:rPr>
        <w:drawing>
          <wp:anchor distT="0" distB="0" distL="114300" distR="114300" simplePos="0" relativeHeight="251670528" behindDoc="0" locked="0" layoutInCell="1" allowOverlap="1">
            <wp:simplePos x="0" y="0"/>
            <wp:positionH relativeFrom="column">
              <wp:posOffset>1266825</wp:posOffset>
            </wp:positionH>
            <wp:positionV relativeFrom="paragraph">
              <wp:posOffset>280035</wp:posOffset>
            </wp:positionV>
            <wp:extent cx="1085850" cy="95250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7">
                      <a:extLst>
                        <a:ext uri="{28A0092B-C50C-407E-A947-70E740481C1C}">
                          <a14:useLocalDpi xmlns:a14="http://schemas.microsoft.com/office/drawing/2010/main" val="0"/>
                        </a:ext>
                      </a:extLst>
                    </a:blip>
                    <a:srcRect b="25926"/>
                    <a:stretch>
                      <a:fillRect/>
                    </a:stretch>
                  </pic:blipFill>
                  <pic:spPr>
                    <a:xfrm>
                      <a:off x="0" y="0"/>
                      <a:ext cx="1085850" cy="952500"/>
                    </a:xfrm>
                    <a:prstGeom prst="rect">
                      <a:avLst/>
                    </a:prstGeom>
                    <a:noFill/>
                    <a:ln>
                      <a:noFill/>
                    </a:ln>
                  </pic:spPr>
                </pic:pic>
              </a:graphicData>
            </a:graphic>
          </wp:anchor>
        </w:drawing>
      </w:r>
      <w:r>
        <w:rPr>
          <w:rFonts w:hint="eastAsia"/>
          <w:b/>
          <w:sz w:val="24"/>
          <w:szCs w:val="24"/>
        </w:rPr>
        <w:t>6.公司logo：</w:t>
      </w:r>
      <w:r>
        <w:rPr>
          <w:sz w:val="24"/>
          <w:szCs w:val="24"/>
        </w:rPr>
        <w:t xml:space="preserve"> </w:t>
      </w:r>
    </w:p>
    <w:p>
      <w:pPr>
        <w:ind w:firstLine="0" w:firstLineChars="0"/>
        <w:jc w:val="left"/>
        <w:rPr>
          <w:sz w:val="24"/>
          <w:szCs w:val="24"/>
        </w:rPr>
      </w:pPr>
      <w:r>
        <w:rPr>
          <w:rFonts w:hint="eastAsia"/>
          <w:sz w:val="24"/>
          <w:szCs w:val="24"/>
        </w:rPr>
        <w:t>Logo设计内涵：</w:t>
      </w:r>
    </w:p>
    <w:p>
      <w:pPr>
        <w:ind w:firstLine="480"/>
        <w:jc w:val="left"/>
        <w:rPr>
          <w:sz w:val="24"/>
          <w:szCs w:val="24"/>
        </w:rPr>
      </w:pPr>
      <w:r>
        <w:rPr>
          <w:rFonts w:hint="eastAsia"/>
          <w:sz w:val="24"/>
          <w:szCs w:val="24"/>
        </w:rPr>
        <w:t>1.Logo主体由房屋、无线网络标志、红色“+”和两只手组成。</w:t>
      </w:r>
    </w:p>
    <w:p>
      <w:pPr>
        <w:ind w:firstLine="480"/>
        <w:jc w:val="left"/>
        <w:rPr>
          <w:sz w:val="24"/>
          <w:szCs w:val="24"/>
        </w:rPr>
      </w:pPr>
      <w:r>
        <w:rPr>
          <w:rFonts w:hint="eastAsia"/>
          <w:sz w:val="24"/>
          <w:szCs w:val="24"/>
        </w:rPr>
        <w:t>（1）房屋：象征“e+医”APP平台可以为足不出户的用户提供温馨如家的医疗服务。</w:t>
      </w:r>
    </w:p>
    <w:p>
      <w:pPr>
        <w:ind w:firstLine="480"/>
        <w:jc w:val="left"/>
        <w:rPr>
          <w:sz w:val="24"/>
          <w:szCs w:val="24"/>
        </w:rPr>
      </w:pPr>
      <w:r>
        <w:rPr>
          <w:rFonts w:hint="eastAsia"/>
          <w:sz w:val="24"/>
          <w:szCs w:val="24"/>
        </w:rPr>
        <w:t>（2）两只手：一只是医生之手，另一只是用户之手，代表医生和用户以和谐互助的姿态，共同维护知识共享、交流互助、优质高效的“e+医”服务平台。</w:t>
      </w:r>
    </w:p>
    <w:p>
      <w:pPr>
        <w:ind w:firstLine="480"/>
        <w:jc w:val="left"/>
        <w:rPr>
          <w:sz w:val="24"/>
          <w:szCs w:val="24"/>
        </w:rPr>
      </w:pPr>
      <w:r>
        <w:rPr>
          <w:rFonts w:hint="eastAsia"/>
          <w:sz w:val="24"/>
          <w:szCs w:val="24"/>
        </w:rPr>
        <w:t>（3）无线网络标志、红色“+”：与公司团队名称“e+医”相呼应，代表公司致力于结合医疗和互联网，着力打造优质的互联网+移动医疗服务平台。</w:t>
      </w:r>
    </w:p>
    <w:p>
      <w:pPr>
        <w:ind w:firstLine="480"/>
        <w:jc w:val="left"/>
        <w:rPr>
          <w:sz w:val="24"/>
          <w:szCs w:val="24"/>
        </w:rPr>
      </w:pPr>
      <w:r>
        <w:rPr>
          <w:rFonts w:hint="eastAsia"/>
          <w:sz w:val="24"/>
          <w:szCs w:val="24"/>
        </w:rPr>
        <w:t>2.Logo由红、蓝两色构成。主色调为蓝色，代表温馨和安宁，象征着公司旨在形成温馨的医疗互助生态圈，提升用户幸福感；红色代表积极和健康，象征着公司致力于打造医疗资源高效利用、医疗服务模式超前的医疗服务平台，传达出云惠医健康咨询有限公司用心服务用户，用心创造价值的文化司理念。</w:t>
      </w:r>
    </w:p>
    <w:p>
      <w:pPr>
        <w:ind w:firstLine="480"/>
        <w:jc w:val="left"/>
        <w:rPr>
          <w:sz w:val="24"/>
          <w:szCs w:val="24"/>
        </w:rPr>
      </w:pPr>
    </w:p>
    <w:p>
      <w:pPr>
        <w:pStyle w:val="84"/>
        <w:ind w:firstLine="0" w:firstLineChars="0"/>
        <w:outlineLvl w:val="1"/>
        <w:rPr>
          <w:rFonts w:ascii="黑体" w:hAnsi="黑体"/>
          <w:b w:val="0"/>
          <w:sz w:val="30"/>
          <w:szCs w:val="30"/>
        </w:rPr>
      </w:pPr>
      <w:bookmarkStart w:id="87" w:name="_Toc61100222"/>
      <w:r>
        <w:rPr>
          <w:rFonts w:hint="eastAsia" w:ascii="黑体" w:hAnsi="黑体"/>
          <w:b w:val="0"/>
          <w:sz w:val="30"/>
          <w:szCs w:val="30"/>
        </w:rPr>
        <w:t>4.2公司发展战略</w:t>
      </w:r>
      <w:bookmarkEnd w:id="87"/>
    </w:p>
    <w:p>
      <w:pPr>
        <w:ind w:firstLine="480"/>
        <w:jc w:val="left"/>
        <w:rPr>
          <w:sz w:val="24"/>
          <w:szCs w:val="24"/>
        </w:rPr>
      </w:pPr>
      <w:r>
        <w:rPr>
          <w:rFonts w:hint="eastAsia"/>
          <w:sz w:val="24"/>
          <w:szCs w:val="24"/>
        </w:rPr>
        <w:t>根据市场环境分析，公司将发展战略规划为三个阶段（如图4-1所示）。</w:t>
      </w:r>
    </w:p>
    <w:p>
      <w:pPr>
        <w:ind w:firstLine="0" w:firstLineChars="0"/>
        <w:jc w:val="center"/>
        <w:rPr>
          <w:rFonts w:ascii="仿宋_GB2312"/>
          <w:sz w:val="21"/>
          <w:szCs w:val="24"/>
        </w:rPr>
      </w:pPr>
      <w:bookmarkStart w:id="88" w:name="_Toc330"/>
      <w:r>
        <w:rPr>
          <w:rFonts w:ascii="仿宋_GB2312"/>
          <w:sz w:val="21"/>
          <w:szCs w:val="24"/>
        </w:rPr>
        <w:drawing>
          <wp:anchor distT="0" distB="0" distL="114300" distR="114300" simplePos="0" relativeHeight="251660288" behindDoc="1" locked="0" layoutInCell="1" allowOverlap="1">
            <wp:simplePos x="0" y="0"/>
            <wp:positionH relativeFrom="margin">
              <wp:posOffset>-372110</wp:posOffset>
            </wp:positionH>
            <wp:positionV relativeFrom="paragraph">
              <wp:posOffset>219075</wp:posOffset>
            </wp:positionV>
            <wp:extent cx="6086475" cy="3105150"/>
            <wp:effectExtent l="0" t="38100" r="28575" b="0"/>
            <wp:wrapSquare wrapText="bothSides"/>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anchor>
        </w:drawing>
      </w:r>
      <w:r>
        <w:rPr>
          <w:rFonts w:hint="eastAsia" w:ascii="仿宋_GB2312"/>
          <w:sz w:val="21"/>
          <w:szCs w:val="24"/>
        </w:rPr>
        <w:t>图4-1公司发展战略</w:t>
      </w:r>
      <w:bookmarkEnd w:id="88"/>
    </w:p>
    <w:p>
      <w:pPr>
        <w:tabs>
          <w:tab w:val="center" w:pos="4434"/>
        </w:tabs>
        <w:spacing w:line="500" w:lineRule="exact"/>
        <w:ind w:firstLine="0" w:firstLineChars="0"/>
        <w:jc w:val="left"/>
        <w:outlineLvl w:val="2"/>
        <w:rPr>
          <w:rFonts w:ascii="黑体" w:hAnsi="黑体" w:eastAsia="黑体" w:cs="Times New Roman"/>
        </w:rPr>
      </w:pPr>
      <w:bookmarkStart w:id="89" w:name="_Toc61100223"/>
      <w:r>
        <w:rPr>
          <w:rFonts w:hint="eastAsia" w:ascii="黑体" w:hAnsi="黑体" w:eastAsia="黑体" w:cs="Times New Roman"/>
        </w:rPr>
        <w:t>4.2.1初期战略</w:t>
      </w:r>
      <w:bookmarkEnd w:id="89"/>
    </w:p>
    <w:p>
      <w:pPr>
        <w:ind w:firstLine="482"/>
        <w:jc w:val="left"/>
        <w:rPr>
          <w:b/>
          <w:sz w:val="24"/>
          <w:szCs w:val="24"/>
        </w:rPr>
      </w:pPr>
      <w:r>
        <w:rPr>
          <w:rFonts w:hint="eastAsia"/>
          <w:b/>
          <w:sz w:val="24"/>
          <w:szCs w:val="24"/>
        </w:rPr>
        <w:t>1.战略目标</w:t>
      </w:r>
    </w:p>
    <w:p>
      <w:pPr>
        <w:ind w:firstLine="480"/>
        <w:jc w:val="left"/>
        <w:rPr>
          <w:sz w:val="24"/>
          <w:szCs w:val="24"/>
        </w:rPr>
      </w:pPr>
      <w:r>
        <w:rPr>
          <w:rFonts w:hint="eastAsia"/>
          <w:sz w:val="24"/>
          <w:szCs w:val="24"/>
        </w:rPr>
        <w:t>利用免费策略和风险资金补贴策略，扩大医生入驻量和用户下载量。充分利用医生竞争性分级策略的刺激机制，提高医生服务质量，将高质量的服务真正融化到中老年慢性病患者的生活中。通过竞争性分级免费策略，刺激用户以“病毒式营销”方式推广APP，达到增加用户注册量和激励用户分享治疗经历的目标，从而将平台打造成知识分享、信息共享、医疗资源良性循环的医疗生态圈。</w:t>
      </w:r>
    </w:p>
    <w:p>
      <w:pPr>
        <w:ind w:firstLine="482"/>
        <w:jc w:val="left"/>
        <w:rPr>
          <w:b/>
          <w:sz w:val="24"/>
          <w:szCs w:val="24"/>
        </w:rPr>
      </w:pPr>
      <w:r>
        <w:rPr>
          <w:rFonts w:hint="eastAsia"/>
          <w:b/>
          <w:sz w:val="24"/>
          <w:szCs w:val="24"/>
        </w:rPr>
        <w:t>2.主要任务</w:t>
      </w:r>
    </w:p>
    <w:p>
      <w:pPr>
        <w:ind w:firstLine="480"/>
        <w:jc w:val="left"/>
        <w:rPr>
          <w:sz w:val="24"/>
          <w:szCs w:val="24"/>
        </w:rPr>
      </w:pPr>
      <w:r>
        <w:rPr>
          <w:rFonts w:hint="eastAsia"/>
          <w:sz w:val="24"/>
          <w:szCs w:val="24"/>
        </w:rPr>
        <w:t>（1）完善医生竞争性分级策略，提高医生服务质量。</w:t>
      </w:r>
    </w:p>
    <w:p>
      <w:pPr>
        <w:ind w:firstLine="480"/>
        <w:jc w:val="left"/>
        <w:rPr>
          <w:sz w:val="24"/>
          <w:szCs w:val="24"/>
        </w:rPr>
      </w:pPr>
      <w:r>
        <w:rPr>
          <w:rFonts w:hint="eastAsia"/>
          <w:sz w:val="24"/>
          <w:szCs w:val="24"/>
        </w:rPr>
        <w:t>通过实施医生竞争性分级刺激策略，不断激励医生提高医疗服务质量，保证稳定的用户量、医疗资源和优化的医疗服务，提升用户满意度，达到提升平台可信度的效果。</w:t>
      </w:r>
    </w:p>
    <w:p>
      <w:pPr>
        <w:ind w:firstLine="480"/>
        <w:jc w:val="left"/>
        <w:rPr>
          <w:sz w:val="24"/>
          <w:szCs w:val="24"/>
        </w:rPr>
      </w:pPr>
      <w:r>
        <w:rPr>
          <w:rFonts w:hint="eastAsia"/>
          <w:sz w:val="24"/>
          <w:szCs w:val="24"/>
        </w:rPr>
        <w:t>（2）完善用户竞争性分级免费策略，增加用户注册量。</w:t>
      </w:r>
    </w:p>
    <w:p>
      <w:pPr>
        <w:ind w:firstLine="480"/>
        <w:jc w:val="left"/>
        <w:rPr>
          <w:sz w:val="24"/>
          <w:szCs w:val="24"/>
        </w:rPr>
      </w:pPr>
      <w:r>
        <w:rPr>
          <w:rFonts w:hint="eastAsia"/>
          <w:sz w:val="24"/>
          <w:szCs w:val="24"/>
        </w:rPr>
        <w:t>不断调整和优化用户竞争性分级免费策略，吸引中老年用户注册，提升平台的关注度。利用竞争性分级免费策略，刺激用户邀请新用户注册和分享自身治疗经历，达到“病毒性营销”推广APP的效果，从而增加用户注册量。</w:t>
      </w:r>
    </w:p>
    <w:p>
      <w:pPr>
        <w:ind w:firstLine="480"/>
        <w:jc w:val="left"/>
        <w:rPr>
          <w:sz w:val="24"/>
          <w:szCs w:val="24"/>
        </w:rPr>
      </w:pPr>
      <w:r>
        <w:rPr>
          <w:rFonts w:hint="eastAsia"/>
          <w:sz w:val="24"/>
          <w:szCs w:val="24"/>
        </w:rPr>
        <w:t>（3）建立专业推广团队，开拓公司业务。</w:t>
      </w:r>
    </w:p>
    <w:p>
      <w:pPr>
        <w:ind w:firstLine="480"/>
        <w:jc w:val="left"/>
        <w:rPr>
          <w:sz w:val="24"/>
          <w:szCs w:val="24"/>
        </w:rPr>
      </w:pPr>
      <w:r>
        <w:rPr>
          <w:rFonts w:hint="eastAsia"/>
          <w:sz w:val="24"/>
          <w:szCs w:val="24"/>
        </w:rPr>
        <w:t>为了保障公司持续获得稳定增长的用户量和医疗资源，扩大公司业务，公司建立了医生推广团队、慢性病患者推广团队等专业推广团队，并制定了团队建设管理办法，全面加强团队人员管理。通过建立信息共享机制，促进团队间联动推广。通过培训不断强化推广人员的业务技能，提升整个推广团队的作为能力。</w:t>
      </w:r>
    </w:p>
    <w:p>
      <w:pPr>
        <w:ind w:firstLine="480"/>
        <w:jc w:val="left"/>
        <w:rPr>
          <w:sz w:val="24"/>
          <w:szCs w:val="24"/>
        </w:rPr>
      </w:pPr>
      <w:r>
        <w:rPr>
          <w:sz w:val="24"/>
          <w:szCs w:val="24"/>
        </w:rPr>
        <w:t xml:space="preserve"> </w:t>
      </w:r>
      <w:r>
        <w:rPr>
          <w:rFonts w:hint="eastAsia"/>
          <w:sz w:val="24"/>
          <w:szCs w:val="24"/>
        </w:rPr>
        <w:t>（4）拓宽APP推广渠道，促进公司快速发展。</w:t>
      </w:r>
    </w:p>
    <w:p>
      <w:pPr>
        <w:ind w:firstLine="480"/>
        <w:jc w:val="left"/>
        <w:rPr>
          <w:sz w:val="24"/>
          <w:szCs w:val="24"/>
        </w:rPr>
      </w:pPr>
      <w:r>
        <w:rPr>
          <w:rFonts w:hint="eastAsia"/>
          <w:sz w:val="24"/>
          <w:szCs w:val="24"/>
        </w:rPr>
        <w:t>在维护现有渠道的基础上，大力拓展其他推广渠道，逐步建立线上线下双渠道系统，完善公司渠道建设。公司通过研发技术入股等形式与其他企业开展合作，不断向中老人及慢性病关爱人群市场开拓，扩大市场规模，促进公司快速发展。</w:t>
      </w:r>
    </w:p>
    <w:p>
      <w:pPr>
        <w:tabs>
          <w:tab w:val="center" w:pos="4434"/>
        </w:tabs>
        <w:spacing w:line="500" w:lineRule="exact"/>
        <w:ind w:firstLine="0" w:firstLineChars="0"/>
        <w:jc w:val="left"/>
        <w:outlineLvl w:val="2"/>
        <w:rPr>
          <w:rFonts w:ascii="黑体" w:hAnsi="黑体" w:eastAsia="黑体" w:cs="Times New Roman"/>
        </w:rPr>
      </w:pPr>
      <w:bookmarkStart w:id="90" w:name="_Toc61100224"/>
      <w:r>
        <w:rPr>
          <w:rFonts w:hint="eastAsia" w:ascii="黑体" w:hAnsi="黑体" w:eastAsia="黑体" w:cs="Times New Roman"/>
        </w:rPr>
        <w:t>4.2.2中期战略</w:t>
      </w:r>
      <w:bookmarkEnd w:id="90"/>
    </w:p>
    <w:p>
      <w:pPr>
        <w:ind w:firstLine="482"/>
        <w:jc w:val="left"/>
        <w:rPr>
          <w:b/>
          <w:sz w:val="24"/>
          <w:szCs w:val="24"/>
        </w:rPr>
      </w:pPr>
      <w:r>
        <w:rPr>
          <w:rFonts w:hint="eastAsia"/>
          <w:b/>
          <w:sz w:val="24"/>
          <w:szCs w:val="24"/>
        </w:rPr>
        <w:t>1.战略目标</w:t>
      </w:r>
    </w:p>
    <w:p>
      <w:pPr>
        <w:ind w:firstLine="480"/>
        <w:jc w:val="left"/>
        <w:rPr>
          <w:sz w:val="24"/>
          <w:szCs w:val="24"/>
        </w:rPr>
      </w:pPr>
      <w:r>
        <w:rPr>
          <w:rFonts w:hint="eastAsia"/>
          <w:sz w:val="24"/>
          <w:szCs w:val="24"/>
        </w:rPr>
        <w:t>完善服务模式，扩展服务功能。服务功能趋于多样化和个性化。逐步推出会诊室、治疗处方、医疗方案和在线药房等一系列盈利项目，提升公司的盈利点，使公司逐步进入盈利阶段。</w:t>
      </w:r>
    </w:p>
    <w:p>
      <w:pPr>
        <w:ind w:firstLine="482"/>
        <w:jc w:val="left"/>
        <w:rPr>
          <w:b/>
          <w:sz w:val="24"/>
          <w:szCs w:val="24"/>
        </w:rPr>
      </w:pPr>
      <w:r>
        <w:rPr>
          <w:rFonts w:hint="eastAsia"/>
          <w:b/>
          <w:sz w:val="24"/>
          <w:szCs w:val="24"/>
        </w:rPr>
        <w:t>2.主要任务</w:t>
      </w:r>
    </w:p>
    <w:p>
      <w:pPr>
        <w:ind w:firstLine="480"/>
        <w:jc w:val="left"/>
        <w:rPr>
          <w:sz w:val="24"/>
          <w:szCs w:val="24"/>
        </w:rPr>
      </w:pPr>
      <w:r>
        <w:rPr>
          <w:rFonts w:hint="eastAsia"/>
          <w:sz w:val="24"/>
          <w:szCs w:val="24"/>
        </w:rPr>
        <w:t>（1）推出付费服务功能，增加公司盈利点。</w:t>
      </w:r>
    </w:p>
    <w:p>
      <w:pPr>
        <w:ind w:firstLine="480"/>
        <w:jc w:val="left"/>
        <w:rPr>
          <w:sz w:val="24"/>
          <w:szCs w:val="24"/>
        </w:rPr>
      </w:pPr>
      <w:r>
        <w:rPr>
          <w:rFonts w:hint="eastAsia"/>
          <w:sz w:val="24"/>
          <w:szCs w:val="24"/>
        </w:rPr>
        <w:t>在免费咨询指导的基础上，推出会诊室、治疗处方、医疗方案和在线药房等个性化、多样化的付费功能。通过为患者提供从医疗咨询、病情了解、处方开具、治疗疗效、诊后回访、治疗方案制定、长期跟踪等一站式的服务，将用户的治疗环节链接成一个有机整体，用科学、标准的治疗程序提升治疗疗效，从而提升用户满意度。</w:t>
      </w:r>
    </w:p>
    <w:p>
      <w:pPr>
        <w:ind w:firstLine="480"/>
        <w:jc w:val="left"/>
        <w:rPr>
          <w:sz w:val="24"/>
          <w:szCs w:val="24"/>
        </w:rPr>
      </w:pPr>
      <w:r>
        <w:rPr>
          <w:rFonts w:hint="eastAsia"/>
          <w:sz w:val="24"/>
          <w:szCs w:val="24"/>
        </w:rPr>
        <w:t>（2）治疗经验知识化，培育公司核心竞争力。</w:t>
      </w:r>
    </w:p>
    <w:p>
      <w:pPr>
        <w:ind w:firstLine="480"/>
        <w:jc w:val="left"/>
        <w:rPr>
          <w:sz w:val="24"/>
          <w:szCs w:val="24"/>
        </w:rPr>
      </w:pPr>
      <w:r>
        <w:rPr>
          <w:rFonts w:hint="eastAsia"/>
          <w:sz w:val="24"/>
          <w:szCs w:val="24"/>
        </w:rPr>
        <w:t>公司初期，主要提供医患之间的医疗咨询服务、医医之间和患患之间的交流学习。中期通过探索实践“一站式”服务模式，从医疗咨询、病情了解、处方开具、治疗疗效、诊后回访、治疗方案制定、长期跟踪等服务过程中不断积累康复治疗的经验，并加以吸收、理解、掌握和运用，转化为平台知识，不断优化升级服务模式，创立产品品牌，培育公司核心竞争力。</w:t>
      </w:r>
    </w:p>
    <w:p>
      <w:pPr>
        <w:ind w:firstLine="480"/>
        <w:jc w:val="left"/>
        <w:rPr>
          <w:sz w:val="24"/>
          <w:szCs w:val="24"/>
        </w:rPr>
      </w:pPr>
      <w:r>
        <w:rPr>
          <w:sz w:val="24"/>
          <w:szCs w:val="24"/>
        </w:rPr>
        <w:t xml:space="preserve"> </w:t>
      </w:r>
      <w:r>
        <w:rPr>
          <w:rFonts w:hint="eastAsia"/>
          <w:sz w:val="24"/>
          <w:szCs w:val="24"/>
        </w:rPr>
        <w:t>（3）走品牌化发展道路，形成行业内比较优势。</w:t>
      </w:r>
    </w:p>
    <w:p>
      <w:pPr>
        <w:ind w:firstLine="480"/>
        <w:jc w:val="left"/>
        <w:rPr>
          <w:sz w:val="24"/>
          <w:szCs w:val="24"/>
        </w:rPr>
      </w:pPr>
      <w:r>
        <w:rPr>
          <w:rFonts w:hint="eastAsia"/>
          <w:sz w:val="24"/>
          <w:szCs w:val="24"/>
        </w:rPr>
        <w:t>重点打造公司优质医疗服务、医疗知识共享和医疗资源良性循环的品牌形象，塑造服务优势，积累品牌知识；完善一站式服务模式体系，传播品牌形象。通过人员推广、事件推广、媒体宣传、网络广告等手段，推广公司一站式服务模式，扩大公司知名度，提高市场占有率，使公司及其服务获得市场美誉，树立公司品牌形象。</w:t>
      </w:r>
    </w:p>
    <w:p>
      <w:pPr>
        <w:ind w:firstLine="480"/>
        <w:jc w:val="left"/>
        <w:rPr>
          <w:sz w:val="24"/>
          <w:szCs w:val="24"/>
        </w:rPr>
      </w:pPr>
      <w:r>
        <w:rPr>
          <w:rFonts w:hint="eastAsia"/>
          <w:sz w:val="24"/>
          <w:szCs w:val="24"/>
        </w:rPr>
        <w:t>（4）完善体制机制建设，规范公司服务模式管理。</w:t>
      </w:r>
    </w:p>
    <w:p>
      <w:pPr>
        <w:ind w:firstLine="480"/>
        <w:jc w:val="left"/>
        <w:rPr>
          <w:sz w:val="24"/>
          <w:szCs w:val="24"/>
        </w:rPr>
      </w:pPr>
      <w:r>
        <w:rPr>
          <w:rFonts w:hint="eastAsia"/>
          <w:sz w:val="24"/>
          <w:szCs w:val="24"/>
        </w:rPr>
        <w:t>通过实施“以用户为中心”制度，保障稳定的用户量和医疗资源；建立用户回访团队，实施专人负责制，维系客户关系；建立安全和可靠的标准服务制度，对医疗服务全过程进行溯源管理，保障医疗服务质量安全；通过实施股权激励，吸纳广大医生和企业员工入股，将医生和员工的利益与公司利益紧密地联系在一起，构筑利益共同体，充分有效发挥医生和员工的积极性与创造性，实现公司发展目标。</w:t>
      </w:r>
    </w:p>
    <w:p>
      <w:pPr>
        <w:tabs>
          <w:tab w:val="center" w:pos="4434"/>
        </w:tabs>
        <w:spacing w:line="500" w:lineRule="exact"/>
        <w:ind w:firstLine="0" w:firstLineChars="0"/>
        <w:jc w:val="left"/>
        <w:outlineLvl w:val="2"/>
        <w:rPr>
          <w:rFonts w:ascii="黑体" w:hAnsi="黑体" w:eastAsia="黑体" w:cs="Times New Roman"/>
        </w:rPr>
      </w:pPr>
      <w:bookmarkStart w:id="91" w:name="_Toc61100225"/>
      <w:r>
        <w:rPr>
          <w:rFonts w:hint="eastAsia" w:ascii="黑体" w:hAnsi="黑体" w:eastAsia="黑体" w:cs="Times New Roman"/>
        </w:rPr>
        <w:t>4.2.3后期战略</w:t>
      </w:r>
      <w:bookmarkEnd w:id="91"/>
    </w:p>
    <w:p>
      <w:pPr>
        <w:ind w:firstLine="482"/>
        <w:jc w:val="left"/>
        <w:rPr>
          <w:b/>
          <w:sz w:val="24"/>
          <w:szCs w:val="24"/>
        </w:rPr>
      </w:pPr>
      <w:r>
        <w:rPr>
          <w:rFonts w:hint="eastAsia"/>
          <w:b/>
          <w:sz w:val="24"/>
          <w:szCs w:val="24"/>
        </w:rPr>
        <w:t>1.战略目标</w:t>
      </w:r>
    </w:p>
    <w:p>
      <w:pPr>
        <w:ind w:firstLine="480"/>
        <w:jc w:val="left"/>
        <w:rPr>
          <w:sz w:val="24"/>
          <w:szCs w:val="24"/>
        </w:rPr>
      </w:pPr>
      <w:r>
        <w:rPr>
          <w:rFonts w:hint="eastAsia"/>
          <w:sz w:val="24"/>
          <w:szCs w:val="24"/>
        </w:rPr>
        <w:t>扩大服务群体和品牌效应，除中老年慢性病外，向非慢性病和其他年龄层扩展，完善移动医疗产业体系，坚持服务领先战略和个性化战略。构建数字化移动医疗平台，通过开发利用中老年慢性病患者各项身体指标数据，打造成病情分析、健康预测的精准医疗平台，引领数字化移动医疗发展。</w:t>
      </w:r>
    </w:p>
    <w:p>
      <w:pPr>
        <w:ind w:firstLine="480"/>
        <w:jc w:val="left"/>
        <w:rPr>
          <w:sz w:val="24"/>
          <w:szCs w:val="24"/>
        </w:rPr>
      </w:pPr>
      <w:r>
        <w:rPr>
          <w:rFonts w:hint="eastAsia"/>
          <w:sz w:val="24"/>
          <w:szCs w:val="24"/>
        </w:rPr>
        <w:t>2.主要任务</w:t>
      </w:r>
    </w:p>
    <w:p>
      <w:pPr>
        <w:ind w:firstLine="480"/>
        <w:jc w:val="left"/>
        <w:rPr>
          <w:sz w:val="24"/>
          <w:szCs w:val="24"/>
        </w:rPr>
      </w:pPr>
      <w:r>
        <w:rPr>
          <w:rFonts w:hint="eastAsia"/>
          <w:sz w:val="24"/>
          <w:szCs w:val="24"/>
        </w:rPr>
        <w:t>（1）构建数字化移动医疗平台，实施数据指标科学分析。</w:t>
      </w:r>
    </w:p>
    <w:p>
      <w:pPr>
        <w:ind w:firstLine="480"/>
        <w:jc w:val="left"/>
        <w:rPr>
          <w:sz w:val="24"/>
          <w:szCs w:val="24"/>
        </w:rPr>
      </w:pPr>
      <w:r>
        <w:rPr>
          <w:rFonts w:hint="eastAsia"/>
          <w:sz w:val="24"/>
          <w:szCs w:val="24"/>
        </w:rPr>
        <w:t>通过建设大数据应用平台，利用无线穿戴医疗检测设备，对用户进行无时间限制和空间限制的医疗检查和检测，对用户的身体指标进行科学合理的大数据分析，定期为用户提供身体指标分析、健康预防建议。随着穿戴无线医疗检测设备用户的增加和数据拥有量的扩大，数据的科学性和分析的准确性将逐步提升，数字化移动医疗APP将成为用户“身体状况的晴雨表”。</w:t>
      </w:r>
    </w:p>
    <w:p>
      <w:pPr>
        <w:ind w:firstLine="480"/>
        <w:jc w:val="left"/>
        <w:rPr>
          <w:sz w:val="24"/>
          <w:szCs w:val="24"/>
        </w:rPr>
      </w:pPr>
      <w:r>
        <w:rPr>
          <w:rFonts w:hint="eastAsia"/>
          <w:sz w:val="24"/>
          <w:szCs w:val="24"/>
        </w:rPr>
        <w:t>（2）服务群体多元化，服务功能多样化。</w:t>
      </w:r>
    </w:p>
    <w:p>
      <w:pPr>
        <w:ind w:firstLine="480"/>
        <w:jc w:val="left"/>
        <w:rPr>
          <w:sz w:val="24"/>
          <w:szCs w:val="24"/>
        </w:rPr>
      </w:pPr>
      <w:r>
        <w:rPr>
          <w:rFonts w:hint="eastAsia"/>
          <w:sz w:val="24"/>
          <w:szCs w:val="24"/>
        </w:rPr>
        <w:t>公司发展趋于成熟，用户群体将不断扩大，用户所需服务功能将呈现多元化、个性化的发展趋势。为了满足不同用户群体的真实需要，公司将关注对象从中老年扩展到其他年龄层的群体，打造完整医疗服务产业链，形成功能多样化、服务群体多元化的基本格局。</w:t>
      </w:r>
    </w:p>
    <w:p>
      <w:pPr>
        <w:ind w:firstLine="480"/>
        <w:jc w:val="left"/>
        <w:rPr>
          <w:sz w:val="24"/>
          <w:szCs w:val="24"/>
        </w:rPr>
      </w:pPr>
      <w:r>
        <w:rPr>
          <w:rFonts w:hint="eastAsia"/>
          <w:sz w:val="24"/>
          <w:szCs w:val="24"/>
        </w:rPr>
        <w:t>（3）建立知识创新机制，提升公司核心竞争力。</w:t>
      </w:r>
    </w:p>
    <w:p>
      <w:pPr>
        <w:ind w:firstLine="480"/>
        <w:jc w:val="left"/>
        <w:rPr>
          <w:sz w:val="24"/>
          <w:szCs w:val="24"/>
        </w:rPr>
      </w:pPr>
      <w:r>
        <w:rPr>
          <w:rFonts w:hint="eastAsia"/>
          <w:sz w:val="24"/>
          <w:szCs w:val="24"/>
        </w:rPr>
        <w:t>公司通过建立知识创新机制，在为慢性病患者提供医疗服务过程中不断积累经验，通过整合、共享经验，不断将零散的经验系统化、知识化，探索新的规律,追求新的发展。通过将知识不断地应用到新的领域,不断提升公司核心竞争力,使公司获得经营成功。也为进一步完善公司移动医疗知识体系提供了内在动力。</w:t>
      </w:r>
    </w:p>
    <w:p>
      <w:pPr>
        <w:ind w:firstLine="480"/>
        <w:jc w:val="left"/>
        <w:rPr>
          <w:sz w:val="24"/>
          <w:szCs w:val="24"/>
        </w:rPr>
      </w:pPr>
      <w:r>
        <w:rPr>
          <w:rFonts w:hint="eastAsia"/>
          <w:sz w:val="24"/>
          <w:szCs w:val="24"/>
        </w:rPr>
        <w:t>（4）持续传播品牌形象，打造数字化移动医疗国际品牌。</w:t>
      </w:r>
    </w:p>
    <w:p>
      <w:pPr>
        <w:ind w:firstLine="480"/>
        <w:jc w:val="left"/>
        <w:rPr>
          <w:sz w:val="24"/>
          <w:szCs w:val="24"/>
        </w:rPr>
      </w:pPr>
      <w:r>
        <w:rPr>
          <w:rFonts w:hint="eastAsia"/>
          <w:sz w:val="24"/>
          <w:szCs w:val="24"/>
        </w:rPr>
        <w:t>通过产业营销、关系营销、社会营销等全方位营销策略，不断扩大企业品牌效应，在全国范围内全面推广与运用“一站式”服务模式，强化公司品牌形象，打造医疗咨询、病情了解、处方开具、治疗疗效、诊后回访、治疗方案制定、长期跟踪一站式的医疗服务模式，努力建成国内著名数字化移动医疗的创新服务模式，引领数字化移动医疗快速发展，使公司品牌享誉全球。</w:t>
      </w:r>
    </w:p>
    <w:p>
      <w:pPr>
        <w:ind w:firstLine="480"/>
        <w:jc w:val="left"/>
        <w:rPr>
          <w:sz w:val="24"/>
          <w:szCs w:val="24"/>
        </w:rPr>
      </w:pPr>
      <w:r>
        <w:rPr>
          <w:rFonts w:hint="eastAsia"/>
          <w:sz w:val="24"/>
          <w:szCs w:val="24"/>
        </w:rPr>
        <w:t>（5）组建专门工作小组，筹备公司上市工作。</w:t>
      </w:r>
    </w:p>
    <w:p>
      <w:pPr>
        <w:ind w:firstLine="480"/>
        <w:jc w:val="left"/>
        <w:rPr>
          <w:sz w:val="24"/>
          <w:szCs w:val="24"/>
        </w:rPr>
        <w:sectPr>
          <w:pgSz w:w="11906" w:h="16838"/>
          <w:pgMar w:top="1440" w:right="1800" w:bottom="1440" w:left="1800" w:header="851" w:footer="992" w:gutter="0"/>
          <w:cols w:space="425" w:num="1"/>
          <w:docGrid w:type="lines" w:linePitch="381" w:charSpace="0"/>
        </w:sectPr>
      </w:pPr>
      <w:r>
        <w:rPr>
          <w:rFonts w:hint="eastAsia"/>
          <w:sz w:val="24"/>
          <w:szCs w:val="24"/>
        </w:rPr>
        <w:t>经过初期和中期发展，公司争取在创业板块上市，向社会公众出售公司股票。公司组建专门工作小组，筹备公司上市工作。</w:t>
      </w:r>
    </w:p>
    <w:p>
      <w:pPr>
        <w:pStyle w:val="83"/>
        <w:ind w:firstLine="180" w:firstLineChars="45"/>
        <w:outlineLvl w:val="0"/>
        <w:rPr>
          <w:rFonts w:ascii="黑体" w:hAnsi="黑体" w:eastAsia="黑体"/>
          <w:sz w:val="40"/>
          <w:szCs w:val="40"/>
        </w:rPr>
      </w:pPr>
      <w:bookmarkStart w:id="92" w:name="_Toc28682"/>
      <w:bookmarkStart w:id="93" w:name="_Toc61100226"/>
      <w:bookmarkStart w:id="94" w:name="_Toc5364974"/>
      <w:bookmarkStart w:id="95" w:name="_Toc4504577"/>
      <w:r>
        <w:rPr>
          <w:rFonts w:hint="eastAsia" w:ascii="黑体" w:hAnsi="黑体" w:eastAsia="黑体"/>
          <w:sz w:val="40"/>
          <w:szCs w:val="40"/>
        </w:rPr>
        <w:t>第五章 营销策略</w:t>
      </w:r>
      <w:bookmarkEnd w:id="92"/>
      <w:bookmarkEnd w:id="93"/>
      <w:bookmarkEnd w:id="94"/>
      <w:bookmarkEnd w:id="95"/>
    </w:p>
    <w:p>
      <w:pPr>
        <w:ind w:firstLine="560"/>
        <w:jc w:val="left"/>
        <w:rPr>
          <w:sz w:val="24"/>
          <w:szCs w:val="24"/>
        </w:rPr>
      </w:pPr>
      <w:r>
        <w:drawing>
          <wp:anchor distT="0" distB="0" distL="114300" distR="114300" simplePos="0" relativeHeight="251671552" behindDoc="0" locked="0" layoutInCell="1" allowOverlap="1">
            <wp:simplePos x="0" y="0"/>
            <wp:positionH relativeFrom="column">
              <wp:posOffset>-724535</wp:posOffset>
            </wp:positionH>
            <wp:positionV relativeFrom="paragraph">
              <wp:posOffset>840105</wp:posOffset>
            </wp:positionV>
            <wp:extent cx="6467475" cy="3324225"/>
            <wp:effectExtent l="0" t="0" r="0" b="47625"/>
            <wp:wrapSquare wrapText="bothSides"/>
            <wp:docPr id="7" name="图示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anchor>
        </w:drawing>
      </w:r>
      <w:r>
        <w:rPr>
          <w:rFonts w:hint="eastAsia"/>
          <w:sz w:val="24"/>
          <w:szCs w:val="24"/>
        </w:rPr>
        <w:t>营销策略指的是企业针对选定的目标市场，综合考虑环境、能力、竞争状况等因素，制定和实施不同的营销组合，以完成企业的目标与任务（如图5-1所示）</w:t>
      </w:r>
    </w:p>
    <w:p>
      <w:pPr>
        <w:pStyle w:val="84"/>
        <w:ind w:firstLine="0" w:firstLineChars="0"/>
        <w:jc w:val="center"/>
        <w:rPr>
          <w:rFonts w:ascii="仿宋_GB2312" w:eastAsia="仿宋_GB2312"/>
          <w:b w:val="0"/>
          <w:sz w:val="21"/>
          <w:szCs w:val="24"/>
        </w:rPr>
      </w:pPr>
      <w:bookmarkStart w:id="96" w:name="_Toc29920"/>
      <w:bookmarkStart w:id="97" w:name="_Toc4504583"/>
      <w:bookmarkStart w:id="98" w:name="_Toc5364980"/>
      <w:r>
        <w:rPr>
          <w:rFonts w:ascii="仿宋_GB2312" w:eastAsia="仿宋_GB2312"/>
          <w:b w:val="0"/>
          <w:sz w:val="21"/>
          <w:szCs w:val="24"/>
        </w:rPr>
        <w:t>图</w:t>
      </w:r>
      <w:r>
        <w:rPr>
          <w:rFonts w:hint="eastAsia" w:ascii="仿宋_GB2312" w:eastAsia="仿宋_GB2312"/>
          <w:b w:val="0"/>
          <w:sz w:val="21"/>
          <w:szCs w:val="24"/>
        </w:rPr>
        <w:t>5-1 营销方法</w:t>
      </w:r>
    </w:p>
    <w:bookmarkEnd w:id="96"/>
    <w:bookmarkEnd w:id="97"/>
    <w:bookmarkEnd w:id="98"/>
    <w:p>
      <w:pPr>
        <w:pStyle w:val="84"/>
        <w:ind w:firstLine="0" w:firstLineChars="0"/>
        <w:outlineLvl w:val="1"/>
        <w:rPr>
          <w:rFonts w:ascii="黑体" w:hAnsi="黑体"/>
          <w:b w:val="0"/>
          <w:sz w:val="30"/>
          <w:szCs w:val="30"/>
        </w:rPr>
      </w:pPr>
      <w:bookmarkStart w:id="99" w:name="_Toc61100227"/>
      <w:r>
        <w:rPr>
          <w:rFonts w:hint="eastAsia" w:ascii="黑体" w:hAnsi="黑体"/>
          <w:b w:val="0"/>
          <w:sz w:val="30"/>
          <w:szCs w:val="30"/>
        </w:rPr>
        <w:t>5.1前期营销策略</w:t>
      </w:r>
      <w:bookmarkEnd w:id="99"/>
    </w:p>
    <w:p>
      <w:pPr>
        <w:ind w:firstLine="482"/>
        <w:rPr>
          <w:b/>
          <w:sz w:val="24"/>
          <w:szCs w:val="24"/>
        </w:rPr>
      </w:pPr>
      <w:r>
        <w:rPr>
          <w:rFonts w:hint="eastAsia"/>
          <w:b/>
          <w:sz w:val="24"/>
          <w:szCs w:val="24"/>
        </w:rPr>
        <w:t>营销目标：</w:t>
      </w:r>
    </w:p>
    <w:p>
      <w:pPr>
        <w:ind w:firstLine="480"/>
        <w:rPr>
          <w:sz w:val="24"/>
          <w:szCs w:val="24"/>
        </w:rPr>
      </w:pPr>
      <w:r>
        <w:rPr>
          <w:rFonts w:hint="eastAsia"/>
          <w:sz w:val="24"/>
          <w:szCs w:val="24"/>
        </w:rPr>
        <w:t>1.针对中老年慢性病患者，主要通过线上营销的方式，获取APP流量及下载量，提高市场占有率。</w:t>
      </w:r>
    </w:p>
    <w:p>
      <w:pPr>
        <w:ind w:firstLine="480"/>
        <w:rPr>
          <w:sz w:val="24"/>
          <w:szCs w:val="24"/>
        </w:rPr>
      </w:pPr>
      <w:r>
        <w:rPr>
          <w:rFonts w:hint="eastAsia"/>
          <w:sz w:val="24"/>
          <w:szCs w:val="24"/>
        </w:rPr>
        <w:t>2.针对医生，主要通过线下营销的方式，提高公司知名度，实现公司初期战略目标。</w:t>
      </w:r>
    </w:p>
    <w:p>
      <w:pPr>
        <w:tabs>
          <w:tab w:val="center" w:pos="4434"/>
        </w:tabs>
        <w:spacing w:line="500" w:lineRule="exact"/>
        <w:ind w:firstLine="0" w:firstLineChars="0"/>
        <w:jc w:val="left"/>
        <w:outlineLvl w:val="2"/>
        <w:rPr>
          <w:rFonts w:ascii="黑体" w:hAnsi="黑体" w:eastAsia="黑体" w:cs="Times New Roman"/>
        </w:rPr>
      </w:pPr>
      <w:bookmarkStart w:id="100" w:name="_Toc61100228"/>
      <w:r>
        <w:rPr>
          <w:rFonts w:hint="eastAsia" w:ascii="黑体" w:hAnsi="黑体" w:eastAsia="黑体" w:cs="Times New Roman"/>
        </w:rPr>
        <w:t>5.1.1线上营销</w:t>
      </w:r>
      <w:bookmarkEnd w:id="100"/>
    </w:p>
    <w:p>
      <w:pPr>
        <w:ind w:firstLine="480"/>
        <w:rPr>
          <w:sz w:val="24"/>
          <w:szCs w:val="24"/>
        </w:rPr>
      </w:pPr>
      <w:r>
        <w:rPr>
          <w:rFonts w:hint="eastAsia"/>
          <w:sz w:val="24"/>
          <w:szCs w:val="24"/>
        </w:rPr>
        <w:t>1.手机应用市场推广</w:t>
      </w:r>
    </w:p>
    <w:p>
      <w:pPr>
        <w:ind w:firstLine="480"/>
        <w:rPr>
          <w:sz w:val="24"/>
          <w:szCs w:val="24"/>
        </w:rPr>
      </w:pPr>
      <w:r>
        <w:rPr>
          <w:rFonts w:hint="eastAsia"/>
          <w:sz w:val="24"/>
          <w:szCs w:val="24"/>
        </w:rPr>
        <w:t>应用市场具有用户群集中、用户质量高、数量庞大、表现形式最为专业等特点，可以较快地为本APP开拓网络市场，获取高流量和高下载量。因此，我们可以通过在各类应用市场上付费推广来吸引流量，例如应用宝之类的第三方应用市场；小米商店、华为商店、苹果的APPstore等各大手机品牌应用商店；移动MM、联通沃商店、电信天翼之类的电信运营商应用市场。</w:t>
      </w:r>
    </w:p>
    <w:p>
      <w:pPr>
        <w:ind w:firstLine="480"/>
        <w:rPr>
          <w:sz w:val="24"/>
          <w:szCs w:val="24"/>
        </w:rPr>
      </w:pPr>
      <w:r>
        <w:rPr>
          <w:rFonts w:hint="eastAsia"/>
          <w:sz w:val="24"/>
          <w:szCs w:val="24"/>
        </w:rPr>
        <w:t>2.病毒式营销推广</w:t>
      </w:r>
    </w:p>
    <w:p>
      <w:pPr>
        <w:ind w:firstLine="480"/>
        <w:rPr>
          <w:sz w:val="24"/>
          <w:szCs w:val="24"/>
        </w:rPr>
      </w:pPr>
      <w:r>
        <w:rPr>
          <w:rFonts w:hint="eastAsia"/>
          <w:sz w:val="24"/>
          <w:szCs w:val="24"/>
        </w:rPr>
        <w:t>平台通过采用竞争性分级免费策略引导并刺激医生和用户主动宣传APP，例如医生和用户邀请好友注册，或分享APP到其他社交平台都能获得相应的奖励积分。公司利用积分激励的方法，鼓励用户不断宣传，来帮助APP达到口碑相传的目的，形成病毒式营销，大幅降低营销成本。</w:t>
      </w:r>
    </w:p>
    <w:p>
      <w:pPr>
        <w:ind w:firstLine="480"/>
        <w:rPr>
          <w:sz w:val="24"/>
          <w:szCs w:val="24"/>
        </w:rPr>
      </w:pPr>
      <w:r>
        <w:rPr>
          <w:rFonts w:hint="eastAsia"/>
          <w:sz w:val="24"/>
          <w:szCs w:val="24"/>
        </w:rPr>
        <w:t>3.利用搜索引擎关键词推广</w:t>
      </w:r>
    </w:p>
    <w:p>
      <w:pPr>
        <w:ind w:firstLine="480"/>
        <w:rPr>
          <w:sz w:val="24"/>
          <w:szCs w:val="24"/>
        </w:rPr>
      </w:pPr>
      <w:r>
        <w:rPr>
          <w:rFonts w:hint="eastAsia"/>
          <w:sz w:val="24"/>
          <w:szCs w:val="24"/>
        </w:rPr>
        <w:t>通过与百度等知名搜索引擎公司合作，在其搜索结果页面投放网页链接广告，按照投放广告天数收取广告费。通过对比各大搜索网站，公司选择在手机百度上以“移动医疗APP”、“慢性病APP”、“中老年APP”为关键词进行搜索引擎关键词推广。</w:t>
      </w:r>
    </w:p>
    <w:p>
      <w:pPr>
        <w:ind w:firstLine="480"/>
        <w:rPr>
          <w:sz w:val="24"/>
          <w:szCs w:val="24"/>
        </w:rPr>
      </w:pPr>
      <w:r>
        <w:rPr>
          <w:sz w:val="24"/>
          <w:szCs w:val="24"/>
        </w:rPr>
        <w:t xml:space="preserve"> </w:t>
      </w:r>
      <w:r>
        <w:rPr>
          <w:rFonts w:hint="eastAsia"/>
          <w:sz w:val="24"/>
          <w:szCs w:val="24"/>
        </w:rPr>
        <w:t>4.e+医公众号推广</w:t>
      </w:r>
    </w:p>
    <w:p>
      <w:pPr>
        <w:ind w:firstLine="480"/>
        <w:rPr>
          <w:sz w:val="24"/>
          <w:szCs w:val="24"/>
        </w:rPr>
      </w:pPr>
      <w:r>
        <w:rPr>
          <w:rFonts w:hint="eastAsia"/>
          <w:sz w:val="24"/>
          <w:szCs w:val="24"/>
        </w:rPr>
        <w:t>e+医公众号（订阅号）是云惠医健康咨询有限公司运营管理的官方号，主要提供专业的慢性病健康科普和医疗健康资讯，包括：发布国家医疗政策解读、当下社会中老年慢性疾病现状、慢性病防治“小贴士”和慢性病健康知识类等文章，如《国务院办公厅印发&lt;关于促进“互联网+医疗健康发展的意见&gt;》、《慢性病||肝硬化不容小视！》、《慢性病||你的肠胃发出警报了！》等，增加中老年慢性病患者对本公众号的关注，从而达到宣传推广本APP的目的。</w:t>
      </w:r>
    </w:p>
    <w:p>
      <w:pPr>
        <w:ind w:firstLine="480"/>
        <w:rPr>
          <w:sz w:val="24"/>
          <w:szCs w:val="24"/>
        </w:rPr>
      </w:pPr>
      <w:r>
        <w:rPr>
          <w:rFonts w:hint="eastAsia"/>
          <w:sz w:val="24"/>
          <w:szCs w:val="24"/>
        </w:rPr>
        <w:t>5.与微信公众号合作进行软文和硬性广告的推广</w:t>
      </w:r>
    </w:p>
    <w:p>
      <w:pPr>
        <w:ind w:firstLine="480"/>
        <w:rPr>
          <w:sz w:val="24"/>
          <w:szCs w:val="24"/>
        </w:rPr>
      </w:pPr>
      <w:r>
        <w:rPr>
          <w:rFonts w:hint="eastAsia"/>
          <w:sz w:val="24"/>
          <w:szCs w:val="24"/>
        </w:rPr>
        <w:t>与中老年人会关注的一些养生健康类、慢性病管理类微信公众号合作，在这类公众号上投放硬性广告宣传，或雇用专业写手撰写“文字广告”进行软文推广，精准定位中老年慢性病患者，达到宣传目的。</w:t>
      </w:r>
    </w:p>
    <w:p>
      <w:pPr>
        <w:ind w:firstLine="480"/>
        <w:rPr>
          <w:sz w:val="24"/>
          <w:szCs w:val="24"/>
        </w:rPr>
      </w:pPr>
      <w:r>
        <w:rPr>
          <w:rFonts w:hint="eastAsia"/>
          <w:sz w:val="24"/>
          <w:szCs w:val="24"/>
        </w:rPr>
        <w:t>6.微信朋友圈推广</w:t>
      </w:r>
    </w:p>
    <w:p>
      <w:pPr>
        <w:ind w:firstLine="480"/>
        <w:rPr>
          <w:sz w:val="24"/>
          <w:szCs w:val="24"/>
        </w:rPr>
      </w:pPr>
      <w:r>
        <w:rPr>
          <w:rFonts w:hint="eastAsia"/>
          <w:sz w:val="24"/>
          <w:szCs w:val="24"/>
        </w:rPr>
        <w:t>通过在微信朋友圈付费投放广告，可以有效增加APP人气，吸引更多人关注并下载APP。</w:t>
      </w:r>
    </w:p>
    <w:p>
      <w:pPr>
        <w:tabs>
          <w:tab w:val="center" w:pos="4434"/>
        </w:tabs>
        <w:spacing w:line="500" w:lineRule="exact"/>
        <w:ind w:firstLine="0" w:firstLineChars="0"/>
        <w:jc w:val="left"/>
        <w:outlineLvl w:val="2"/>
        <w:rPr>
          <w:rFonts w:ascii="黑体" w:hAnsi="黑体" w:eastAsia="黑体" w:cs="Times New Roman"/>
        </w:rPr>
      </w:pPr>
      <w:bookmarkStart w:id="101" w:name="_Toc61100229"/>
      <w:r>
        <w:rPr>
          <w:rFonts w:hint="eastAsia" w:ascii="黑体" w:hAnsi="黑体" w:eastAsia="黑体" w:cs="Times New Roman"/>
        </w:rPr>
        <w:t>5.1.2线下营销</w:t>
      </w:r>
      <w:bookmarkEnd w:id="101"/>
    </w:p>
    <w:p>
      <w:pPr>
        <w:ind w:firstLine="482"/>
        <w:rPr>
          <w:b/>
          <w:sz w:val="24"/>
          <w:szCs w:val="24"/>
        </w:rPr>
      </w:pPr>
      <w:r>
        <w:rPr>
          <w:rFonts w:hint="eastAsia"/>
          <w:b/>
          <w:sz w:val="24"/>
          <w:szCs w:val="24"/>
        </w:rPr>
        <w:t>与医生面对面推广</w:t>
      </w:r>
    </w:p>
    <w:p>
      <w:pPr>
        <w:ind w:firstLine="480"/>
        <w:rPr>
          <w:sz w:val="24"/>
          <w:szCs w:val="24"/>
        </w:rPr>
      </w:pPr>
      <w:r>
        <w:rPr>
          <w:rFonts w:hint="eastAsia"/>
          <w:sz w:val="24"/>
          <w:szCs w:val="24"/>
        </w:rPr>
        <w:t>医生版APP的用户群是医生。一方面，医生作为高级知识分子，工作环境特殊，相较于普通人更加追求细节，在工作过程中潜移默化地形成了防御心理和求稳心态；另一方面，繁忙的工作让大部分医生无暇了解新鲜事物。所以，面对医生群体，推广团队需要花费更多的时间和精力。</w:t>
      </w:r>
    </w:p>
    <w:p>
      <w:pPr>
        <w:ind w:firstLine="480"/>
        <w:rPr>
          <w:sz w:val="24"/>
          <w:szCs w:val="24"/>
        </w:rPr>
      </w:pPr>
      <w:r>
        <w:rPr>
          <w:rFonts w:hint="eastAsia"/>
          <w:sz w:val="24"/>
          <w:szCs w:val="24"/>
        </w:rPr>
        <w:t>因此，公司可以采取面对面推广的方式来改善这种情况。医生作为特殊群体，面对面交流是最直接有效的推广方式。推广人员通过到各医院各科室，向医生演示APP的功能和使用方法、分析APP能为医生带来的利益，耐心地为医生介绍以解除医生的心理防备，从而获得医生信任，增加入驻医生数量，达到宣传推广的目的。</w:t>
      </w:r>
    </w:p>
    <w:p>
      <w:pPr>
        <w:pStyle w:val="84"/>
        <w:ind w:firstLine="0" w:firstLineChars="0"/>
        <w:outlineLvl w:val="1"/>
        <w:rPr>
          <w:rFonts w:ascii="黑体" w:hAnsi="黑体"/>
          <w:b w:val="0"/>
          <w:sz w:val="30"/>
          <w:szCs w:val="30"/>
        </w:rPr>
      </w:pPr>
      <w:bookmarkStart w:id="102" w:name="_Toc61100230"/>
      <w:r>
        <w:rPr>
          <w:rFonts w:hint="eastAsia" w:ascii="黑体" w:hAnsi="黑体"/>
          <w:b w:val="0"/>
          <w:sz w:val="30"/>
          <w:szCs w:val="30"/>
        </w:rPr>
        <w:t>5.2中后期营销策略</w:t>
      </w:r>
      <w:bookmarkEnd w:id="102"/>
    </w:p>
    <w:p>
      <w:pPr>
        <w:ind w:firstLine="482"/>
        <w:rPr>
          <w:b/>
          <w:sz w:val="24"/>
          <w:szCs w:val="24"/>
        </w:rPr>
      </w:pPr>
      <w:r>
        <w:rPr>
          <w:rFonts w:hint="eastAsia"/>
          <w:b/>
          <w:sz w:val="24"/>
          <w:szCs w:val="24"/>
        </w:rPr>
        <w:t>营销目标：</w:t>
      </w:r>
    </w:p>
    <w:p>
      <w:pPr>
        <w:ind w:firstLine="480"/>
        <w:rPr>
          <w:sz w:val="24"/>
          <w:szCs w:val="24"/>
        </w:rPr>
      </w:pPr>
      <w:r>
        <w:rPr>
          <w:rFonts w:hint="eastAsia"/>
          <w:sz w:val="24"/>
          <w:szCs w:val="24"/>
        </w:rPr>
        <w:t>1.线上营销继续沿用前期营销方式，加大病毒式营销的力度，以鼓励老用户邀请新用户的方式，降低营销成本。</w:t>
      </w:r>
    </w:p>
    <w:p>
      <w:pPr>
        <w:ind w:firstLine="480"/>
        <w:rPr>
          <w:sz w:val="24"/>
          <w:szCs w:val="24"/>
        </w:rPr>
      </w:pPr>
      <w:r>
        <w:rPr>
          <w:rFonts w:hint="eastAsia"/>
          <w:sz w:val="24"/>
          <w:szCs w:val="24"/>
        </w:rPr>
        <w:t>2.线下营销以开展面向用户和医生的各种营销活动为主，强化品牌形象，持续吸引用户，继续扩大市场规模。</w:t>
      </w:r>
    </w:p>
    <w:p>
      <w:pPr>
        <w:tabs>
          <w:tab w:val="center" w:pos="4434"/>
        </w:tabs>
        <w:spacing w:line="500" w:lineRule="exact"/>
        <w:ind w:firstLine="0" w:firstLineChars="0"/>
        <w:jc w:val="left"/>
        <w:outlineLvl w:val="2"/>
        <w:rPr>
          <w:rFonts w:ascii="黑体" w:hAnsi="黑体" w:eastAsia="黑体" w:cs="Times New Roman"/>
        </w:rPr>
      </w:pPr>
      <w:bookmarkStart w:id="103" w:name="_Toc61100231"/>
      <w:r>
        <w:rPr>
          <w:rFonts w:hint="eastAsia" w:ascii="黑体" w:hAnsi="黑体" w:eastAsia="黑体" w:cs="Times New Roman"/>
        </w:rPr>
        <w:t>5.2.1线上营销</w:t>
      </w:r>
      <w:bookmarkEnd w:id="103"/>
    </w:p>
    <w:p>
      <w:pPr>
        <w:ind w:firstLine="480"/>
        <w:rPr>
          <w:sz w:val="24"/>
          <w:szCs w:val="24"/>
        </w:rPr>
      </w:pPr>
      <w:r>
        <w:rPr>
          <w:rFonts w:hint="eastAsia"/>
          <w:sz w:val="24"/>
          <w:szCs w:val="24"/>
        </w:rPr>
        <w:t>1.加大病毒式营销的力度</w:t>
      </w:r>
    </w:p>
    <w:p>
      <w:pPr>
        <w:ind w:firstLine="480"/>
        <w:rPr>
          <w:sz w:val="24"/>
          <w:szCs w:val="24"/>
        </w:rPr>
      </w:pPr>
      <w:r>
        <w:rPr>
          <w:rFonts w:hint="eastAsia"/>
          <w:sz w:val="24"/>
          <w:szCs w:val="24"/>
        </w:rPr>
        <w:t>APP运营到中后期，用户基数远大于前期，病毒式营销的效果也远高于前期。此时，公司加大对医生和用户邀请好友注册，或分享APP到其他社交平台的奖励力度。公司依然利用“e豆”激励的方式，鼓励用户继续宣传，来帮助APP达到口碑相传的目的，降低营销成本。</w:t>
      </w:r>
    </w:p>
    <w:p>
      <w:pPr>
        <w:ind w:firstLine="480"/>
        <w:rPr>
          <w:sz w:val="24"/>
          <w:szCs w:val="24"/>
        </w:rPr>
      </w:pPr>
      <w:r>
        <w:rPr>
          <w:rFonts w:hint="eastAsia"/>
          <w:sz w:val="24"/>
          <w:szCs w:val="24"/>
        </w:rPr>
        <w:t>2.继续沿用前期营销方式</w:t>
      </w:r>
    </w:p>
    <w:p>
      <w:pPr>
        <w:ind w:firstLine="480"/>
        <w:rPr>
          <w:sz w:val="24"/>
          <w:szCs w:val="24"/>
        </w:rPr>
      </w:pPr>
      <w:r>
        <w:rPr>
          <w:rFonts w:hint="eastAsia"/>
          <w:sz w:val="24"/>
          <w:szCs w:val="24"/>
        </w:rPr>
        <w:t>继续沿用前期线上营销中“利用搜索引擎关键词推广”、“e+医”微信公众号推广、“与微信公众号合作进行软文和硬性广告的推广”和“微信朋友圈推广”的营销方式。</w:t>
      </w:r>
    </w:p>
    <w:p>
      <w:pPr>
        <w:tabs>
          <w:tab w:val="center" w:pos="4434"/>
        </w:tabs>
        <w:spacing w:line="500" w:lineRule="exact"/>
        <w:ind w:firstLine="0" w:firstLineChars="0"/>
        <w:jc w:val="left"/>
        <w:outlineLvl w:val="2"/>
        <w:rPr>
          <w:rFonts w:ascii="黑体" w:hAnsi="黑体" w:eastAsia="黑体" w:cs="Times New Roman"/>
        </w:rPr>
      </w:pPr>
      <w:r>
        <w:rPr>
          <w:rFonts w:ascii="黑体" w:hAnsi="黑体" w:eastAsia="黑体" w:cs="Times New Roman"/>
        </w:rPr>
        <w:t xml:space="preserve"> </w:t>
      </w:r>
      <w:bookmarkStart w:id="104" w:name="_Toc61100232"/>
      <w:r>
        <w:rPr>
          <w:rFonts w:hint="eastAsia" w:ascii="黑体" w:hAnsi="黑体" w:eastAsia="黑体" w:cs="Times New Roman"/>
        </w:rPr>
        <w:t>5.2.2线下营销</w:t>
      </w:r>
      <w:bookmarkEnd w:id="104"/>
    </w:p>
    <w:p>
      <w:pPr>
        <w:ind w:firstLine="482"/>
        <w:rPr>
          <w:b/>
          <w:sz w:val="24"/>
          <w:szCs w:val="24"/>
        </w:rPr>
      </w:pPr>
      <w:r>
        <w:rPr>
          <w:rFonts w:hint="eastAsia"/>
          <w:b/>
          <w:sz w:val="24"/>
          <w:szCs w:val="24"/>
        </w:rPr>
        <w:t>1.面向用户</w:t>
      </w:r>
    </w:p>
    <w:p>
      <w:pPr>
        <w:ind w:firstLine="480"/>
        <w:rPr>
          <w:sz w:val="24"/>
          <w:szCs w:val="24"/>
        </w:rPr>
      </w:pPr>
      <w:r>
        <w:rPr>
          <w:rFonts w:hint="eastAsia"/>
          <w:sz w:val="24"/>
          <w:szCs w:val="24"/>
        </w:rPr>
        <w:t>（1）纸媒宣传</w:t>
      </w:r>
    </w:p>
    <w:p>
      <w:pPr>
        <w:ind w:firstLine="480"/>
        <w:rPr>
          <w:sz w:val="24"/>
          <w:szCs w:val="24"/>
        </w:rPr>
      </w:pPr>
      <w:r>
        <w:rPr>
          <w:rFonts w:hint="eastAsia"/>
          <w:sz w:val="24"/>
          <w:szCs w:val="24"/>
        </w:rPr>
        <w:t>A.老年杂志：在老年杂志（《老年春秋》、《现代家庭》、《科学养生》等》）上刊登APP广告，介绍本APP的功能与特色服务，并附上相关慢性病的文章和治疗方案，从深度和广度上全方位对本APP进行推广。</w:t>
      </w:r>
    </w:p>
    <w:p>
      <w:pPr>
        <w:ind w:firstLine="480"/>
        <w:rPr>
          <w:sz w:val="24"/>
          <w:szCs w:val="24"/>
        </w:rPr>
      </w:pPr>
      <w:r>
        <w:rPr>
          <w:rFonts w:hint="eastAsia"/>
          <w:sz w:val="24"/>
          <w:szCs w:val="24"/>
        </w:rPr>
        <w:t>B.医学类杂志：在医学类杂志（《临床合理用药杂志》、《现代医药卫生》等）上刊登文章和广告，增加医生对本产品的了解，提高医生的入驻率。</w:t>
      </w:r>
    </w:p>
    <w:p>
      <w:pPr>
        <w:ind w:firstLine="480"/>
        <w:rPr>
          <w:sz w:val="24"/>
          <w:szCs w:val="24"/>
        </w:rPr>
      </w:pPr>
      <w:r>
        <w:rPr>
          <w:rFonts w:hint="eastAsia"/>
          <w:sz w:val="24"/>
          <w:szCs w:val="24"/>
        </w:rPr>
        <w:t>C.报纸：针对中老年人喜欢读报的习惯，在知名报纸上投放广告。</w:t>
      </w:r>
    </w:p>
    <w:p>
      <w:pPr>
        <w:ind w:firstLine="480"/>
        <w:rPr>
          <w:sz w:val="24"/>
          <w:szCs w:val="24"/>
        </w:rPr>
      </w:pPr>
      <w:r>
        <w:rPr>
          <w:rFonts w:hint="eastAsia"/>
          <w:sz w:val="24"/>
          <w:szCs w:val="24"/>
        </w:rPr>
        <w:t>（2）在老年大学内推广</w:t>
      </w:r>
    </w:p>
    <w:p>
      <w:pPr>
        <w:ind w:firstLine="480"/>
        <w:rPr>
          <w:sz w:val="24"/>
          <w:szCs w:val="24"/>
        </w:rPr>
      </w:pPr>
      <w:r>
        <w:rPr>
          <w:rFonts w:hint="eastAsia"/>
          <w:sz w:val="24"/>
          <w:szCs w:val="24"/>
        </w:rPr>
        <w:t>A.普通宣传：老年大学内多为45岁以上的中老年人，绝大部分的受教育程度较一般中老年人更高，对新事物的接受能力和使用手机的技能较高。公司可与老年大学校方合作，在校内集中宣传APP。既能赢得在校老年人的信任，又能获得更好的宣传效果。</w:t>
      </w:r>
    </w:p>
    <w:p>
      <w:pPr>
        <w:ind w:firstLine="480"/>
        <w:rPr>
          <w:sz w:val="24"/>
          <w:szCs w:val="24"/>
        </w:rPr>
      </w:pPr>
      <w:r>
        <w:rPr>
          <w:rFonts w:hint="eastAsia"/>
          <w:sz w:val="24"/>
          <w:szCs w:val="24"/>
        </w:rPr>
        <w:t>B.举办健康知识大赛：在老年大学内举办由公司冠名赞助的健康知识大赛，吸引在校老年人积极参与。按照比赛名次的排名，分别为获奖者提供免费使用APP一年、半年、三个月的奖励，并在现场发放带有公司Logo的小礼品（扇子、矿泉水等）。</w:t>
      </w:r>
    </w:p>
    <w:p>
      <w:pPr>
        <w:ind w:firstLine="480"/>
        <w:rPr>
          <w:sz w:val="24"/>
          <w:szCs w:val="24"/>
        </w:rPr>
      </w:pPr>
      <w:r>
        <w:rPr>
          <w:rFonts w:hint="eastAsia"/>
          <w:sz w:val="24"/>
          <w:szCs w:val="24"/>
        </w:rPr>
        <w:t>（3）广告牌宣传</w:t>
      </w:r>
    </w:p>
    <w:p>
      <w:pPr>
        <w:ind w:firstLine="480"/>
        <w:rPr>
          <w:sz w:val="24"/>
          <w:szCs w:val="24"/>
        </w:rPr>
      </w:pPr>
      <w:r>
        <w:rPr>
          <w:rFonts w:hint="eastAsia"/>
          <w:sz w:val="24"/>
          <w:szCs w:val="24"/>
        </w:rPr>
        <w:t>在人流量大的街道和路口，中老年人日常散步的公园和居民区进出口，树立引人注目的广告牌，以简洁的语句突出APP的重点内容，吸引路人尤其是中老年人的注意力。</w:t>
      </w:r>
    </w:p>
    <w:p>
      <w:pPr>
        <w:ind w:firstLine="480"/>
        <w:rPr>
          <w:sz w:val="24"/>
          <w:szCs w:val="24"/>
        </w:rPr>
      </w:pPr>
      <w:r>
        <w:rPr>
          <w:rFonts w:hint="eastAsia"/>
          <w:sz w:val="24"/>
          <w:szCs w:val="24"/>
        </w:rPr>
        <w:t>（4）新闻发布会推广</w:t>
      </w:r>
    </w:p>
    <w:p>
      <w:pPr>
        <w:ind w:firstLine="480"/>
        <w:rPr>
          <w:sz w:val="24"/>
          <w:szCs w:val="24"/>
        </w:rPr>
      </w:pPr>
      <w:r>
        <w:rPr>
          <w:rFonts w:hint="eastAsia"/>
          <w:sz w:val="24"/>
          <w:szCs w:val="24"/>
        </w:rPr>
        <w:t>APP运营到中后期，具有一定用户基础和知名度。类似于电子产品制造商通过新品发布会来吸引消费者的做法，公司同样可以举行APP新闻发布会进行推广，在新闻发布会现场为媒体及观众演示APP功能，介绍特色服务，还可让观众现场使用APP并分享使用体验。公司还可在现场发放带有公司Logo的小礼品（扇子、矿泉水等）。</w:t>
      </w:r>
    </w:p>
    <w:p>
      <w:pPr>
        <w:ind w:firstLine="480"/>
        <w:rPr>
          <w:sz w:val="24"/>
          <w:szCs w:val="24"/>
        </w:rPr>
      </w:pPr>
      <w:r>
        <w:rPr>
          <w:rFonts w:hint="eastAsia"/>
          <w:sz w:val="24"/>
          <w:szCs w:val="24"/>
        </w:rPr>
        <w:t>（5）在社区开展健康讲座或义诊活动</w:t>
      </w:r>
    </w:p>
    <w:p>
      <w:pPr>
        <w:ind w:firstLine="480"/>
        <w:rPr>
          <w:sz w:val="24"/>
          <w:szCs w:val="24"/>
        </w:rPr>
      </w:pPr>
      <w:r>
        <w:rPr>
          <w:rFonts w:hint="eastAsia"/>
          <w:sz w:val="24"/>
          <w:szCs w:val="24"/>
        </w:rPr>
        <w:t>A.健康讲座：随着大众健康意识的提高，人们对自身健康的关注度不断上升，人们普遍愿意接受健康宣讲类的活动。公司聘请医院专家为社区居民开展健康讲座，并向现场听众发放带有公司Logo的小礼品（扇子、矿泉水等）。</w:t>
      </w:r>
    </w:p>
    <w:p>
      <w:pPr>
        <w:ind w:firstLine="480"/>
        <w:rPr>
          <w:sz w:val="24"/>
          <w:szCs w:val="24"/>
        </w:rPr>
      </w:pPr>
      <w:r>
        <w:rPr>
          <w:rFonts w:hint="eastAsia"/>
          <w:sz w:val="24"/>
          <w:szCs w:val="24"/>
        </w:rPr>
        <w:t>B.义诊活动：邀请医生为社区居民进行义诊，让居民们“足不出户”就能与医生咨询沟通。医生在现场为居民解疑答惑，推广人员辅助引导居民下载和使用APP。此举既具有社会公益性，又能达到宣传推广的目的。</w:t>
      </w:r>
    </w:p>
    <w:p>
      <w:pPr>
        <w:ind w:firstLine="480"/>
        <w:rPr>
          <w:sz w:val="24"/>
          <w:szCs w:val="24"/>
        </w:rPr>
      </w:pPr>
      <w:r>
        <w:rPr>
          <w:rFonts w:hint="eastAsia"/>
          <w:sz w:val="24"/>
          <w:szCs w:val="24"/>
        </w:rPr>
        <w:t>（6）官方媒体或机构宣传</w:t>
      </w:r>
    </w:p>
    <w:p>
      <w:pPr>
        <w:ind w:firstLine="480"/>
        <w:rPr>
          <w:sz w:val="24"/>
          <w:szCs w:val="24"/>
        </w:rPr>
      </w:pPr>
      <w:r>
        <w:rPr>
          <w:rFonts w:hint="eastAsia"/>
          <w:sz w:val="24"/>
          <w:szCs w:val="24"/>
        </w:rPr>
        <w:t>媒体宣传面向范围广、影响力大，是目前最强有力的宣传方式。具有官方背景的媒体推广，例如和本地知名电视、电台等媒体合作能有效提升APP可信度与知名度。与此同时，医疗卫生事业一直是政府关注的重点，本APP与政府性质的机构联合进行预防保健类的宣传，将会使APP的知名度提升到更高的层面上。</w:t>
      </w:r>
    </w:p>
    <w:p>
      <w:pPr>
        <w:ind w:firstLine="482"/>
        <w:rPr>
          <w:b/>
          <w:sz w:val="24"/>
          <w:szCs w:val="24"/>
        </w:rPr>
      </w:pPr>
      <w:r>
        <w:rPr>
          <w:rFonts w:hint="eastAsia"/>
          <w:b/>
          <w:sz w:val="24"/>
          <w:szCs w:val="24"/>
        </w:rPr>
        <w:t>2.面向医生</w:t>
      </w:r>
    </w:p>
    <w:p>
      <w:pPr>
        <w:ind w:firstLine="480"/>
        <w:rPr>
          <w:sz w:val="24"/>
          <w:szCs w:val="24"/>
        </w:rPr>
      </w:pPr>
      <w:r>
        <w:rPr>
          <w:rFonts w:hint="eastAsia"/>
          <w:sz w:val="24"/>
          <w:szCs w:val="24"/>
        </w:rPr>
        <w:t>（1）线下评选活动</w:t>
      </w:r>
    </w:p>
    <w:p>
      <w:pPr>
        <w:ind w:firstLine="480"/>
        <w:rPr>
          <w:sz w:val="24"/>
          <w:szCs w:val="24"/>
        </w:rPr>
      </w:pPr>
      <w:r>
        <w:rPr>
          <w:rFonts w:hint="eastAsia"/>
          <w:sz w:val="24"/>
          <w:szCs w:val="24"/>
        </w:rPr>
        <w:t>在各城市联合相关医院举办优质医生评选活动，有效吸引医疗行业的关注。此活动不仅是对医生的认可，更弘扬了一种社会正气，也为APP树立了良好的业界口碑，是APP品牌推广的巨大推动力。</w:t>
      </w:r>
    </w:p>
    <w:p>
      <w:pPr>
        <w:ind w:firstLine="480"/>
        <w:rPr>
          <w:sz w:val="24"/>
          <w:szCs w:val="24"/>
        </w:rPr>
      </w:pPr>
      <w:r>
        <w:rPr>
          <w:rFonts w:hint="eastAsia"/>
          <w:sz w:val="24"/>
          <w:szCs w:val="24"/>
        </w:rPr>
        <w:t>（2）学术会议或行业主题会议推广</w:t>
      </w:r>
    </w:p>
    <w:p>
      <w:pPr>
        <w:ind w:firstLine="480"/>
        <w:rPr>
          <w:sz w:val="24"/>
          <w:szCs w:val="24"/>
        </w:rPr>
      </w:pPr>
      <w:r>
        <w:rPr>
          <w:rFonts w:hint="eastAsia"/>
          <w:sz w:val="24"/>
          <w:szCs w:val="24"/>
        </w:rPr>
        <w:t>在APP具有一定用户基础后，与医药企业联合举办学术会议或行业主题会议。很多药企在新药研究、案例、数据等方面有宣传推广需求。公司与药企合作，在学术推广会议或行业主题会议上间接宣传和推广APP。以学术的名义做推广，能获得更多医生的接纳，与医药企业达到互利共赢的目的。</w:t>
      </w:r>
    </w:p>
    <w:p>
      <w:pPr>
        <w:ind w:firstLine="480"/>
        <w:rPr>
          <w:sz w:val="24"/>
          <w:szCs w:val="24"/>
        </w:rPr>
      </w:pPr>
      <w:r>
        <w:rPr>
          <w:rFonts w:hint="eastAsia"/>
          <w:sz w:val="24"/>
          <w:szCs w:val="24"/>
        </w:rPr>
        <w:t>（3）专家座谈会推广</w:t>
      </w:r>
    </w:p>
    <w:p>
      <w:pPr>
        <w:ind w:firstLine="480"/>
        <w:rPr>
          <w:sz w:val="24"/>
          <w:szCs w:val="24"/>
        </w:rPr>
      </w:pPr>
      <w:r>
        <w:rPr>
          <w:rFonts w:hint="eastAsia"/>
          <w:sz w:val="24"/>
          <w:szCs w:val="24"/>
        </w:rPr>
        <w:t>公司邀请医学界专家开展座谈会，设定专家体验环节，专家当场体验APP并发表观点。此举不仅起到宣传推广的作用，增加APP的权威性和知名度，还能让专家为APP提供改进建议，帮助我们改善用户体验。</w:t>
      </w:r>
    </w:p>
    <w:p>
      <w:pPr>
        <w:pStyle w:val="83"/>
        <w:ind w:firstLine="0" w:firstLineChars="0"/>
        <w:jc w:val="both"/>
        <w:sectPr>
          <w:pgSz w:w="11906" w:h="16838"/>
          <w:pgMar w:top="1440" w:right="1800" w:bottom="1440" w:left="1800" w:header="851" w:footer="992" w:gutter="0"/>
          <w:cols w:space="425" w:num="1"/>
          <w:docGrid w:type="lines" w:linePitch="381" w:charSpace="0"/>
        </w:sectPr>
      </w:pPr>
      <w:bookmarkStart w:id="105" w:name="_Toc5364982"/>
    </w:p>
    <w:bookmarkEnd w:id="105"/>
    <w:p>
      <w:pPr>
        <w:pStyle w:val="83"/>
        <w:ind w:firstLine="180" w:firstLineChars="45"/>
        <w:outlineLvl w:val="0"/>
        <w:rPr>
          <w:rFonts w:ascii="黑体" w:hAnsi="黑体" w:eastAsia="黑体"/>
          <w:sz w:val="40"/>
          <w:szCs w:val="40"/>
        </w:rPr>
      </w:pPr>
      <w:bookmarkStart w:id="106" w:name="_Toc5364987"/>
      <w:bookmarkStart w:id="107" w:name="_Toc4788785"/>
      <w:bookmarkStart w:id="108" w:name="_Toc1609"/>
      <w:bookmarkStart w:id="109" w:name="_Toc61100233"/>
      <w:r>
        <w:rPr>
          <w:rFonts w:hint="eastAsia" w:ascii="黑体" w:hAnsi="黑体" w:eastAsia="黑体"/>
          <w:sz w:val="40"/>
          <w:szCs w:val="40"/>
        </w:rPr>
        <w:t xml:space="preserve">第六章 </w:t>
      </w:r>
      <w:bookmarkEnd w:id="106"/>
      <w:bookmarkEnd w:id="107"/>
      <w:bookmarkEnd w:id="108"/>
      <w:r>
        <w:rPr>
          <w:rFonts w:hint="eastAsia" w:ascii="黑体" w:hAnsi="黑体" w:eastAsia="黑体"/>
          <w:sz w:val="40"/>
          <w:szCs w:val="40"/>
        </w:rPr>
        <w:t>公司管理</w:t>
      </w:r>
      <w:bookmarkEnd w:id="109"/>
    </w:p>
    <w:p>
      <w:pPr>
        <w:pStyle w:val="84"/>
        <w:ind w:firstLine="0" w:firstLineChars="0"/>
        <w:outlineLvl w:val="1"/>
        <w:rPr>
          <w:rFonts w:ascii="黑体" w:hAnsi="黑体"/>
          <w:b w:val="0"/>
          <w:sz w:val="30"/>
          <w:szCs w:val="30"/>
        </w:rPr>
      </w:pPr>
      <w:bookmarkStart w:id="110" w:name="_Toc31879"/>
      <w:bookmarkStart w:id="111" w:name="_Toc4788786"/>
      <w:bookmarkStart w:id="112" w:name="_Toc5364988"/>
      <w:bookmarkStart w:id="113" w:name="_Toc61100234"/>
      <w:r>
        <w:rPr>
          <w:rFonts w:hint="eastAsia" w:ascii="黑体" w:hAnsi="黑体"/>
          <w:b w:val="0"/>
          <w:sz w:val="30"/>
          <w:szCs w:val="30"/>
        </w:rPr>
        <w:t>6.1</w:t>
      </w:r>
      <w:bookmarkEnd w:id="110"/>
      <w:bookmarkEnd w:id="111"/>
      <w:bookmarkEnd w:id="112"/>
      <w:r>
        <w:rPr>
          <w:rFonts w:hint="eastAsia" w:ascii="黑体" w:hAnsi="黑体"/>
          <w:b w:val="0"/>
          <w:sz w:val="30"/>
          <w:szCs w:val="30"/>
        </w:rPr>
        <w:t>组织架构</w:t>
      </w:r>
      <w:bookmarkEnd w:id="113"/>
    </w:p>
    <w:p>
      <w:pPr>
        <w:tabs>
          <w:tab w:val="center" w:pos="4434"/>
        </w:tabs>
        <w:ind w:firstLine="480"/>
        <w:jc w:val="left"/>
        <w:rPr>
          <w:rFonts w:ascii="仿宋_GB2312" w:hAnsi="仿宋_GB2312" w:cs="仿宋_GB2312"/>
          <w:color w:val="000000"/>
          <w:sz w:val="24"/>
          <w:szCs w:val="28"/>
        </w:rPr>
      </w:pPr>
      <w:bookmarkStart w:id="114" w:name="_Toc5364990"/>
      <w:bookmarkStart w:id="115" w:name="_Toc4788788"/>
      <w:r>
        <w:rPr>
          <w:rFonts w:hint="eastAsia" w:ascii="仿宋_GB2312" w:hAnsi="仿宋_GB2312" w:cs="仿宋_GB2312"/>
          <w:color w:val="000000"/>
          <w:sz w:val="24"/>
          <w:szCs w:val="28"/>
        </w:rPr>
        <w:drawing>
          <wp:anchor distT="0" distB="0" distL="114300" distR="114300" simplePos="0" relativeHeight="251672576" behindDoc="0" locked="0" layoutInCell="1" allowOverlap="1">
            <wp:simplePos x="0" y="0"/>
            <wp:positionH relativeFrom="column">
              <wp:posOffset>171450</wp:posOffset>
            </wp:positionH>
            <wp:positionV relativeFrom="paragraph">
              <wp:posOffset>2804160</wp:posOffset>
            </wp:positionV>
            <wp:extent cx="5276850" cy="933450"/>
            <wp:effectExtent l="0" t="0" r="0" b="19050"/>
            <wp:wrapSquare wrapText="bothSides"/>
            <wp:docPr id="8" name="图示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anchor>
        </w:drawing>
      </w:r>
      <w:r>
        <w:rPr>
          <w:rFonts w:hint="eastAsia" w:ascii="仿宋_GB2312" w:hAnsi="仿宋_GB2312" w:cs="仿宋_GB2312"/>
          <w:color w:val="000000"/>
          <w:sz w:val="24"/>
          <w:szCs w:val="28"/>
        </w:rPr>
        <w:t>公司作为初创型企业，由于目前处于起步阶段，公司规模小、人员数量少，较适合扁平化团队型组织结构。公司以自我管理团队作为基本的构成单元，以顾客需求为目的，掌握必要的资源和能力，有效的减少成本、降低风险、缩短开发时间，在组织平台的支持下，实施自主管理的单元。员工之间相互监督，身份对等，通过问责制、公开透明和工作文化来引导，增强员工自主性和灵活性，使员工更具创新意识，进而把公司推向成功。在对等管理之下，公司分为以下几个部门：财务部、运营部、技术部、市场部和行政部，使员工更加积极和更自觉地认真完成手头上的工作，打造企业文化，极大的推动员工的积极性和主动性，在愉悦工作的同时为公司打造更具创意的增值服务。公司扁平化团队型组织结构，如图6-1所示。</w:t>
      </w:r>
    </w:p>
    <w:p>
      <w:pPr>
        <w:tabs>
          <w:tab w:val="center" w:pos="4434"/>
        </w:tabs>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图6-1 公司扁平化组织型结构图</w:t>
      </w:r>
    </w:p>
    <w:p>
      <w:pPr>
        <w:tabs>
          <w:tab w:val="center" w:pos="4434"/>
        </w:tabs>
        <w:ind w:firstLine="480"/>
        <w:jc w:val="left"/>
        <w:rPr>
          <w:rFonts w:ascii="仿宋_GB2312" w:hAnsi="仿宋_GB2312" w:cs="仿宋_GB2312"/>
          <w:color w:val="000000"/>
          <w:sz w:val="24"/>
          <w:szCs w:val="28"/>
        </w:rPr>
      </w:pPr>
    </w:p>
    <w:bookmarkEnd w:id="114"/>
    <w:bookmarkEnd w:id="115"/>
    <w:p>
      <w:pPr>
        <w:pStyle w:val="84"/>
        <w:ind w:firstLine="0" w:firstLineChars="0"/>
        <w:outlineLvl w:val="1"/>
        <w:rPr>
          <w:rFonts w:ascii="黑体" w:hAnsi="黑体"/>
          <w:b w:val="0"/>
          <w:sz w:val="30"/>
          <w:szCs w:val="30"/>
        </w:rPr>
      </w:pPr>
      <w:bookmarkStart w:id="116" w:name="_Toc61100235"/>
      <w:bookmarkStart w:id="117" w:name="_Toc26843"/>
      <w:bookmarkStart w:id="118" w:name="_Toc4788789"/>
      <w:r>
        <w:rPr>
          <w:rFonts w:hint="eastAsia" w:ascii="黑体" w:hAnsi="黑体"/>
          <w:b w:val="0"/>
          <w:sz w:val="30"/>
          <w:szCs w:val="30"/>
        </w:rPr>
        <w:t>6.2管理体系建设</w:t>
      </w:r>
      <w:bookmarkEnd w:id="116"/>
    </w:p>
    <w:p>
      <w:pPr>
        <w:ind w:firstLine="480"/>
        <w:jc w:val="left"/>
        <w:rPr>
          <w:rFonts w:hint="eastAsia" w:ascii="仿宋_GB2312" w:hAnsi="仿宋_GB2312" w:cs="仿宋_GB2312"/>
          <w:color w:val="000000"/>
          <w:sz w:val="24"/>
          <w:szCs w:val="28"/>
        </w:rPr>
      </w:pPr>
      <w:r>
        <w:rPr>
          <w:rFonts w:hint="eastAsia" w:ascii="仿宋_GB2312" w:hAnsi="仿宋_GB2312" w:cs="仿宋_GB2312"/>
          <w:color w:val="000000"/>
          <w:sz w:val="24"/>
          <w:szCs w:val="28"/>
        </w:rPr>
        <w:t>按ISO9001和ISO14001体系运营。</w:t>
      </w:r>
    </w:p>
    <w:p>
      <w:pPr>
        <w:ind w:firstLine="480"/>
        <w:jc w:val="left"/>
        <w:rPr>
          <w:rFonts w:ascii="仿宋_GB2312" w:hAnsi="仿宋_GB2312" w:cs="仿宋_GB2312"/>
          <w:color w:val="000000"/>
          <w:sz w:val="24"/>
          <w:szCs w:val="28"/>
        </w:rPr>
      </w:pPr>
    </w:p>
    <w:p>
      <w:pPr>
        <w:pStyle w:val="84"/>
        <w:ind w:firstLine="0" w:firstLineChars="0"/>
        <w:outlineLvl w:val="1"/>
        <w:rPr>
          <w:rFonts w:ascii="黑体" w:hAnsi="黑体"/>
          <w:b w:val="0"/>
          <w:sz w:val="30"/>
          <w:szCs w:val="30"/>
        </w:rPr>
      </w:pPr>
      <w:bookmarkStart w:id="119" w:name="_Toc61100236"/>
      <w:r>
        <w:rPr>
          <w:rFonts w:hint="eastAsia" w:ascii="黑体" w:hAnsi="黑体"/>
          <w:b w:val="0"/>
          <w:sz w:val="30"/>
          <w:szCs w:val="30"/>
        </w:rPr>
        <w:t>6.3人力资源管理</w:t>
      </w:r>
      <w:bookmarkEnd w:id="119"/>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员工是企业立足市场、长远发展的保证，公司将根据战略和发展计划建立完善的人力资源管理制度与流程。涵盖人力资源招聘、任用、管理、薪酬、考核、培训、辞退等多个环节。以保证在公司内部形成一致的、显性的管理契约，保障人力资源事务有序执行，并根据实际执行情况不断完善，减少人力资源工作的主观行为。为企业扩大规模、树立品牌奠定人才基础。</w:t>
      </w:r>
    </w:p>
    <w:p>
      <w:pPr>
        <w:tabs>
          <w:tab w:val="center" w:pos="4434"/>
        </w:tabs>
        <w:spacing w:line="500" w:lineRule="exact"/>
        <w:ind w:firstLine="0" w:firstLineChars="0"/>
        <w:jc w:val="left"/>
        <w:outlineLvl w:val="2"/>
        <w:rPr>
          <w:rFonts w:ascii="黑体" w:hAnsi="黑体" w:eastAsia="黑体" w:cs="Times New Roman"/>
        </w:rPr>
      </w:pPr>
      <w:bookmarkStart w:id="120" w:name="_Toc61100237"/>
      <w:r>
        <w:rPr>
          <w:rFonts w:hint="eastAsia" w:ascii="黑体" w:hAnsi="黑体" w:eastAsia="黑体" w:cs="Times New Roman"/>
        </w:rPr>
        <w:t>6.4.1人员招聘</w:t>
      </w:r>
      <w:bookmarkEnd w:id="120"/>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在人员的选聘上，我们坚持公平、公开、公正的原则，打破身份、地域、学历等界限，重视能力和水平，重视贡献和发展，建立起完善的人才考核、晋升、激励和任职机制，让公司需要的各类人才都能在公司舒心地工作，促进公司发展。</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（1）招聘目标：通过科学和系统化的招聘管理保证公司招聘工作的质量，为公司选拔出适合公司发展的优秀人才。</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（2）招聘原则：按照“公开、平等、竞争、择优”的原则。优先考虑公司内符合招聘职位要求及表现卓越的员工，给予选拔、晋升。其次再考虑面向社会进行公开招聘。</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（3）招聘渠道：主要包括内部招聘和外部招聘。内部招聘主要通过内部晋升和调岗的方式来实现；外部招聘主要通过校园招聘、网络、报刊、人才交流会、人才中介等渠道进行。</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4）招聘规则：在招聘环节公司将采用面试制度，根据应聘者的情况设计面试方案。一般面试者由人力资源部门对应聘者进行一次面试，再由需求部门主管进行二次面试，人力资源部应配合需求部门建立起一般管理职位的胜任力模型框架，着重对个人素质以及岗位所需技能进行考察，对应聘者进行全面分析，为需求部门提供全面合理的建议，再由需求部门的直接领导做出选拔决定。</w:t>
      </w:r>
    </w:p>
    <w:p>
      <w:pPr>
        <w:tabs>
          <w:tab w:val="center" w:pos="4434"/>
        </w:tabs>
        <w:spacing w:line="500" w:lineRule="exact"/>
        <w:ind w:firstLine="0" w:firstLineChars="0"/>
        <w:jc w:val="left"/>
        <w:outlineLvl w:val="2"/>
        <w:rPr>
          <w:rFonts w:ascii="黑体" w:hAnsi="黑体" w:eastAsia="黑体" w:cs="Times New Roman"/>
        </w:rPr>
      </w:pPr>
      <w:bookmarkStart w:id="121" w:name="_Toc61100238"/>
      <w:r>
        <w:rPr>
          <w:rFonts w:hint="eastAsia" w:ascii="黑体" w:hAnsi="黑体" w:eastAsia="黑体" w:cs="Times New Roman"/>
        </w:rPr>
        <w:t>6.4.2培训与发展</w:t>
      </w:r>
      <w:bookmarkEnd w:id="121"/>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人才培养方面包括加强与规范员工入职培训，建立起入职培训体系与内部培训团队，灵活运用外部培训三个方面。</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（1）入职培训：公司在接下来的1-3年内将逐步建立起完善的培训体系，采取集中上慕课，，老人带新人等方式来让新员工更快地融入集体，更好地投身于工作岗位。</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2）内部培训：在未来1-5年，人力资源管理应建立起集团内部可持续发展的职业经理人团队。对新进员工进行针对式培养，制定优才计划，具体可设立“储备干部培训班”。首先在初期建立起基本的内部培训体系，根据胜任力模型框架培养4名左右内部培训师对各个业务领域进行培训。未来2-3年内，开始深入开展培训，可从优秀管理人员中再选定几名内训师，对员工进行定期培训。未来4-5年，建立起完善的培训团队，对员工进行专业培训。实行优秀管理者直接带领新生队伍并建立考核机制，增强各级管理者带队伍意识和能力，促进人才加速培养。</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3）外部培训：除邀请专业讲师来企业进行综合素质培训之外，还要积极与移动医疗先进企业进行交流学习，建立起骨干人才培养计划，即每年选拔综合素质优秀、忠诚度高的员工到先进企业进行APP开发、推广、管理等方面的短期学习。</w:t>
      </w:r>
    </w:p>
    <w:p>
      <w:pPr>
        <w:tabs>
          <w:tab w:val="center" w:pos="4434"/>
        </w:tabs>
        <w:spacing w:line="500" w:lineRule="exact"/>
        <w:ind w:firstLine="0" w:firstLineChars="0"/>
        <w:jc w:val="left"/>
        <w:outlineLvl w:val="2"/>
        <w:rPr>
          <w:rFonts w:ascii="黑体" w:hAnsi="黑体" w:eastAsia="黑体" w:cs="Times New Roman"/>
        </w:rPr>
      </w:pPr>
      <w:bookmarkStart w:id="122" w:name="_Toc61100239"/>
      <w:r>
        <w:rPr>
          <w:rFonts w:hint="eastAsia" w:ascii="黑体" w:hAnsi="黑体" w:eastAsia="黑体" w:cs="Times New Roman"/>
        </w:rPr>
        <w:t>6.4.3绩效考核</w:t>
      </w:r>
      <w:bookmarkEnd w:id="122"/>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绩效考核工作的根本目的是要进行有效激励员工对工作方法的改善和对工作品质的提高，从面提高工作效率。公司的管理实则是对人的管理，目的在于增强公司的凝聚力。为此，公司制定了一套完整的绩效考核制度。</w:t>
      </w:r>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1.考核内容</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1）考勤制度</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A.上班时间：8：00—12:00，14：00—18：00</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B.迟到早退：30分钟内为迟到。在上班时间前离职为早退。迟到一次扣除20元，一个月每累计迟到三次以旷工论处。</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C.旷工：请假未经批准及未经办理请假手续，擅离工作场所或外出者以旷工论处，情节严重者按辞职论处;假满未经续假，而擅不出勤者，以旷工论处。</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D.事假、病假：不承认代请假（他人口头与书面请假）、请假期间工资不算（法定节假日不在其内）。</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2）工作完成度</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为科学合理考核员工工作完成度，针对不同部门设置员工绩效考核标准。公司根据组织结构和部门职能对员工按照不同工作完成标准进行绩效考核（如表6-2所示）。</w:t>
      </w:r>
    </w:p>
    <w:p>
      <w:pPr>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表6-2 部门绩效考核标准</w:t>
      </w:r>
    </w:p>
    <w:tbl>
      <w:tblPr>
        <w:tblStyle w:val="26"/>
        <w:tblW w:w="0" w:type="auto"/>
        <w:jc w:val="center"/>
        <w:tblBorders>
          <w:top w:val="single" w:color="4472C4" w:themeColor="accent5" w:sz="8" w:space="0"/>
          <w:left w:val="none" w:color="auto" w:sz="0" w:space="0"/>
          <w:bottom w:val="single" w:color="4472C4"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2835"/>
        <w:gridCol w:w="2835"/>
      </w:tblGrid>
      <w:tr>
        <w:tblPrEx>
          <w:tblBorders>
            <w:top w:val="single" w:color="4472C4" w:themeColor="accent5" w:sz="8" w:space="0"/>
            <w:left w:val="none" w:color="auto" w:sz="0" w:space="0"/>
            <w:bottom w:val="single" w:color="4472C4"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4472C4" w:themeColor="accent5" w:sz="8" w:space="0"/>
              <w:left w:val="nil"/>
              <w:bottom w:val="single" w:color="4472C4" w:themeColor="accent5" w:sz="8" w:space="0"/>
              <w:right w:val="nil"/>
              <w:insideH w:val="single" w:sz="8" w:space="0"/>
              <w:insideV w:val="nil"/>
            </w:tcBorders>
            <w:vAlign w:val="center"/>
          </w:tcPr>
          <w:p>
            <w:pPr>
              <w:spacing w:before="0" w:after="0"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部门</w:t>
            </w:r>
          </w:p>
        </w:tc>
        <w:tc>
          <w:tcPr>
            <w:tcW w:w="2835" w:type="dxa"/>
            <w:tcBorders>
              <w:top w:val="single" w:color="4472C4" w:themeColor="accent5" w:sz="8" w:space="0"/>
              <w:bottom w:val="single" w:color="4472C4" w:themeColor="accent5" w:sz="8" w:space="0"/>
              <w:right w:val="nil"/>
              <w:insideH w:val="single" w:sz="8" w:space="0"/>
              <w:insideV w:val="nil"/>
            </w:tcBorders>
            <w:vAlign w:val="center"/>
          </w:tcPr>
          <w:p>
            <w:pPr>
              <w:spacing w:before="0" w:after="0"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考察标准</w:t>
            </w:r>
            <w:r>
              <w:rPr>
                <w:rFonts w:hint="eastAsia" w:ascii="仿宋_GB2312" w:hAnsi="仿宋_GB2312" w:cs="仿宋_GB2312"/>
                <w:b/>
                <w:bCs/>
                <w:color w:val="000000"/>
                <w:sz w:val="21"/>
                <w:szCs w:val="21"/>
              </w:rPr>
              <w:t>（季度）</w:t>
            </w:r>
          </w:p>
        </w:tc>
        <w:tc>
          <w:tcPr>
            <w:tcW w:w="2835" w:type="dxa"/>
            <w:tcBorders>
              <w:top w:val="single" w:color="4472C4" w:themeColor="accent5" w:sz="8" w:space="0"/>
              <w:bottom w:val="single" w:color="4472C4" w:themeColor="accent5" w:sz="8" w:space="0"/>
              <w:right w:val="nil"/>
              <w:insideH w:val="single" w:sz="8" w:space="0"/>
              <w:insideV w:val="nil"/>
            </w:tcBorders>
            <w:vAlign w:val="center"/>
          </w:tcPr>
          <w:p>
            <w:pPr>
              <w:spacing w:before="0" w:after="0"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提成百分比</w:t>
            </w:r>
          </w:p>
        </w:tc>
      </w:tr>
      <w:tr>
        <w:tblPrEx>
          <w:tblBorders>
            <w:top w:val="single" w:color="4472C4" w:themeColor="accent5" w:sz="8" w:space="0"/>
            <w:left w:val="none" w:color="auto" w:sz="0" w:space="0"/>
            <w:bottom w:val="single" w:color="4472C4"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vMerge w:val="restart"/>
            <w:tcBorders>
              <w:left w:val="nil"/>
              <w:right w:val="nil"/>
              <w:insideV w:val="nil"/>
            </w:tcBorders>
            <w:shd w:val="clear" w:color="auto" w:fill="D0DCF0" w:themeFill="accent5" w:themeFillTint="3F"/>
            <w:vAlign w:val="center"/>
          </w:tcPr>
          <w:p>
            <w:pPr>
              <w:spacing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市场部</w:t>
            </w:r>
          </w:p>
        </w:tc>
        <w:tc>
          <w:tcPr>
            <w:tcW w:w="2835" w:type="dxa"/>
            <w:tcBorders>
              <w:right w:val="nil"/>
              <w:insideV w:val="nil"/>
            </w:tcBorders>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&lt;=既定业绩目标</w:t>
            </w:r>
          </w:p>
        </w:tc>
        <w:tc>
          <w:tcPr>
            <w:tcW w:w="2835" w:type="dxa"/>
            <w:tcBorders>
              <w:right w:val="nil"/>
              <w:insideV w:val="nil"/>
            </w:tcBorders>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9%</w:t>
            </w:r>
          </w:p>
        </w:tc>
      </w:tr>
      <w:tr>
        <w:tblPrEx>
          <w:tblBorders>
            <w:top w:val="single" w:color="4472C4" w:themeColor="accent5" w:sz="8" w:space="0"/>
            <w:left w:val="none" w:color="auto" w:sz="0" w:space="0"/>
            <w:bottom w:val="single" w:color="4472C4"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vMerge w:val="continue"/>
            <w:vAlign w:val="center"/>
          </w:tcPr>
          <w:p>
            <w:pPr>
              <w:spacing w:line="240" w:lineRule="auto"/>
              <w:ind w:firstLine="0" w:firstLineChars="0"/>
              <w:jc w:val="center"/>
              <w:rPr>
                <w:rFonts w:ascii="仿宋_GB2312" w:hAnsi="仿宋_GB2312" w:cs="仿宋_GB2312"/>
                <w:b/>
                <w:bCs/>
                <w:color w:val="000000"/>
                <w:sz w:val="21"/>
                <w:szCs w:val="21"/>
              </w:rPr>
            </w:pPr>
          </w:p>
        </w:tc>
        <w:tc>
          <w:tcPr>
            <w:tcW w:w="2835" w:type="dxa"/>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&gt;既定业绩目标</w:t>
            </w:r>
          </w:p>
        </w:tc>
        <w:tc>
          <w:tcPr>
            <w:tcW w:w="2835" w:type="dxa"/>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11%</w:t>
            </w:r>
          </w:p>
        </w:tc>
      </w:tr>
      <w:tr>
        <w:tblPrEx>
          <w:tblBorders>
            <w:top w:val="single" w:color="4472C4" w:themeColor="accent5" w:sz="8" w:space="0"/>
            <w:left w:val="none" w:color="auto" w:sz="0" w:space="0"/>
            <w:bottom w:val="single" w:color="4472C4"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left w:val="nil"/>
              <w:right w:val="nil"/>
              <w:insideV w:val="nil"/>
            </w:tcBorders>
            <w:shd w:val="clear" w:color="auto" w:fill="D0DCF0" w:themeFill="accent5" w:themeFillTint="3F"/>
            <w:vAlign w:val="center"/>
          </w:tcPr>
          <w:p>
            <w:pPr>
              <w:spacing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运营部</w:t>
            </w:r>
          </w:p>
        </w:tc>
        <w:tc>
          <w:tcPr>
            <w:tcW w:w="2835" w:type="dxa"/>
            <w:tcBorders>
              <w:right w:val="nil"/>
              <w:insideV w:val="nil"/>
            </w:tcBorders>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计划完成进度</w:t>
            </w:r>
          </w:p>
        </w:tc>
        <w:tc>
          <w:tcPr>
            <w:tcW w:w="2835" w:type="dxa"/>
            <w:tcBorders>
              <w:right w:val="nil"/>
              <w:insideV w:val="nil"/>
            </w:tcBorders>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10%</w:t>
            </w:r>
          </w:p>
        </w:tc>
      </w:tr>
      <w:tr>
        <w:tblPrEx>
          <w:tblBorders>
            <w:top w:val="single" w:color="4472C4" w:themeColor="accent5" w:sz="8" w:space="0"/>
            <w:left w:val="none" w:color="auto" w:sz="0" w:space="0"/>
            <w:bottom w:val="single" w:color="4472C4"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vAlign w:val="center"/>
          </w:tcPr>
          <w:p>
            <w:pPr>
              <w:spacing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技术部</w:t>
            </w:r>
          </w:p>
        </w:tc>
        <w:tc>
          <w:tcPr>
            <w:tcW w:w="2835" w:type="dxa"/>
            <w:vAlign w:val="center"/>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项目完成情况</w:t>
            </w:r>
          </w:p>
        </w:tc>
        <w:tc>
          <w:tcPr>
            <w:tcW w:w="2835" w:type="dxa"/>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10%</w:t>
            </w:r>
          </w:p>
        </w:tc>
      </w:tr>
      <w:tr>
        <w:tblPrEx>
          <w:tblBorders>
            <w:top w:val="single" w:color="4472C4" w:themeColor="accent5" w:sz="8" w:space="0"/>
            <w:left w:val="none" w:color="auto" w:sz="0" w:space="0"/>
            <w:bottom w:val="single" w:color="4472C4"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left w:val="nil"/>
              <w:right w:val="nil"/>
              <w:insideV w:val="nil"/>
            </w:tcBorders>
            <w:shd w:val="clear" w:color="auto" w:fill="D0DCF0" w:themeFill="accent5" w:themeFillTint="3F"/>
            <w:vAlign w:val="center"/>
          </w:tcPr>
          <w:p>
            <w:pPr>
              <w:spacing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财务部</w:t>
            </w:r>
          </w:p>
        </w:tc>
        <w:tc>
          <w:tcPr>
            <w:tcW w:w="2835" w:type="dxa"/>
            <w:tcBorders>
              <w:right w:val="nil"/>
              <w:insideV w:val="nil"/>
            </w:tcBorders>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财务管理处理情况</w:t>
            </w:r>
          </w:p>
        </w:tc>
        <w:tc>
          <w:tcPr>
            <w:tcW w:w="2835" w:type="dxa"/>
            <w:vMerge w:val="restart"/>
            <w:tcBorders>
              <w:right w:val="nil"/>
              <w:insideV w:val="nil"/>
            </w:tcBorders>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mc:AlternateContent>
                <mc:Choice Requires="wps">
                  <w:drawing>
                    <wp:anchor distT="0" distB="0" distL="114300" distR="114300" simplePos="0" relativeHeight="251673600" behindDoc="0" locked="0" layoutInCell="1" allowOverlap="1">
                      <wp:simplePos x="0" y="0"/>
                      <wp:positionH relativeFrom="column">
                        <wp:posOffset>-5715</wp:posOffset>
                      </wp:positionH>
                      <wp:positionV relativeFrom="paragraph">
                        <wp:posOffset>50800</wp:posOffset>
                      </wp:positionV>
                      <wp:extent cx="1695450" cy="371475"/>
                      <wp:effectExtent l="0" t="0" r="19050" b="28575"/>
                      <wp:wrapNone/>
                      <wp:docPr id="9" name="直接连接符 9"/>
                      <wp:cNvGraphicFramePr/>
                      <a:graphic xmlns:a="http://schemas.openxmlformats.org/drawingml/2006/main">
                        <a:graphicData uri="http://schemas.microsoft.com/office/word/2010/wordprocessingShape">
                          <wps:wsp>
                            <wps:cNvCnPr/>
                            <wps:spPr>
                              <a:xfrm>
                                <a:off x="0" y="0"/>
                                <a:ext cx="1695450" cy="371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45pt;margin-top:4pt;height:29.25pt;width:133.5pt;z-index:251673600;mso-width-relative:page;mso-height-relative:page;" filled="f" stroked="t" coordsize="21600,21600" o:gfxdata="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j&#10;NWuA1gAAAAYBAAAPAAAAAAAAAAEAIAAAACIAAABkcnMvZG93bnJldi54bWxQSwECFAAUAAAACACH&#10;TuJAM/6TaO0BAAC2AwAADgAAAAAAAAABACAAAAAlAQAAZHJzL2Uyb0RvYy54bWxQSwUGAAAAAAYA&#10;BgBZAQAAhAUAAAAA&#10;">
                      <v:fill on="f" focussize="0,0"/>
                      <v:stroke weight="0.5pt" color="#5B9BD5 [3204]" miterlimit="8" joinstyle="miter"/>
                      <v:imagedata o:title=""/>
                      <o:lock v:ext="edit" aspectratio="f"/>
                    </v:line>
                  </w:pict>
                </mc:Fallback>
              </mc:AlternateContent>
            </w:r>
          </w:p>
        </w:tc>
      </w:tr>
      <w:tr>
        <w:tblPrEx>
          <w:tblBorders>
            <w:top w:val="single" w:color="4472C4" w:themeColor="accent5" w:sz="8" w:space="0"/>
            <w:left w:val="none" w:color="auto" w:sz="0" w:space="0"/>
            <w:bottom w:val="single" w:color="4472C4"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vAlign w:val="center"/>
          </w:tcPr>
          <w:p>
            <w:pPr>
              <w:spacing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行政部</w:t>
            </w:r>
          </w:p>
        </w:tc>
        <w:tc>
          <w:tcPr>
            <w:tcW w:w="2835" w:type="dxa"/>
            <w:vAlign w:val="center"/>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日常任务完成情况</w:t>
            </w:r>
          </w:p>
        </w:tc>
        <w:tc>
          <w:tcPr>
            <w:tcW w:w="2835" w:type="dxa"/>
            <w:vMerge w:val="continue"/>
            <w:vAlign w:val="center"/>
          </w:tcPr>
          <w:p>
            <w:pPr>
              <w:spacing w:line="240" w:lineRule="auto"/>
              <w:ind w:firstLine="0" w:firstLineChars="0"/>
              <w:jc w:val="center"/>
              <w:rPr>
                <w:rFonts w:ascii="仿宋_GB2312" w:hAnsi="仿宋_GB2312" w:cs="仿宋_GB2312"/>
                <w:color w:val="000000"/>
                <w:sz w:val="21"/>
                <w:szCs w:val="21"/>
              </w:rPr>
            </w:pPr>
          </w:p>
        </w:tc>
      </w:tr>
    </w:tbl>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3）工作表现</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制定员工完成工作的数量与质量计划表，按照完成度评估绩效。另外通过部门负责人对员工平时的工作态度、工作热情进行考核，是否遵守各项制度，是否消极怠工。</w:t>
      </w:r>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2.考核规则</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实行评分等级制：直接上级在最终确定员工的总评分之后，需要按员工的总评分划分其绩效等级（如表6-3所示）。</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A优秀：90—100      C一般：70—79</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B良好：80—89       D有待提高：70分以下</w:t>
      </w:r>
    </w:p>
    <w:p>
      <w:pPr>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表6-3 公司绩效等级评估</w:t>
      </w:r>
    </w:p>
    <w:tbl>
      <w:tblPr>
        <w:tblStyle w:val="39"/>
        <w:tblW w:w="0" w:type="auto"/>
        <w:tblInd w:w="0" w:type="dxa"/>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Layout w:type="autofit"/>
        <w:tblCellMar>
          <w:top w:w="0" w:type="dxa"/>
          <w:left w:w="108" w:type="dxa"/>
          <w:bottom w:w="0" w:type="dxa"/>
          <w:right w:w="108" w:type="dxa"/>
        </w:tblCellMar>
      </w:tblPr>
      <w:tblGrid>
        <w:gridCol w:w="1420"/>
        <w:gridCol w:w="1420"/>
        <w:gridCol w:w="1420"/>
        <w:gridCol w:w="1420"/>
        <w:gridCol w:w="1421"/>
        <w:gridCol w:w="1421"/>
      </w:tblGrid>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27" w:hRule="atLeast"/>
        </w:trPr>
        <w:tc>
          <w:tcPr>
            <w:tcW w:w="2840" w:type="dxa"/>
            <w:gridSpan w:val="2"/>
            <w:vMerge w:val="restart"/>
            <w:shd w:val="clear" w:color="auto" w:fill="D0DCF0" w:themeFill="accent5" w:themeFillTint="3F"/>
            <w:vAlign w:val="center"/>
          </w:tcPr>
          <w:p>
            <w:pPr>
              <w:spacing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绩效等级</w:t>
            </w:r>
          </w:p>
        </w:tc>
        <w:tc>
          <w:tcPr>
            <w:tcW w:w="5682" w:type="dxa"/>
            <w:gridSpan w:val="4"/>
            <w:shd w:val="clear" w:color="auto" w:fill="D0DCF0" w:themeFill="accent5" w:themeFillTint="3F"/>
            <w:vAlign w:val="center"/>
          </w:tcPr>
          <w:p>
            <w:pPr>
              <w:spacing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分管部门评估的绩效成绩</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27" w:hRule="atLeast"/>
        </w:trPr>
        <w:tc>
          <w:tcPr>
            <w:tcW w:w="2840" w:type="dxa"/>
            <w:gridSpan w:val="2"/>
            <w:vMerge w:val="continue"/>
            <w:shd w:val="clear" w:color="auto" w:fill="A1B8E1" w:themeFill="accent5" w:themeFillTint="7F"/>
            <w:vAlign w:val="center"/>
          </w:tcPr>
          <w:p>
            <w:pPr>
              <w:spacing w:line="240" w:lineRule="auto"/>
              <w:ind w:firstLine="0" w:firstLineChars="0"/>
              <w:jc w:val="center"/>
              <w:rPr>
                <w:rFonts w:ascii="仿宋_GB2312" w:hAnsi="仿宋_GB2312" w:cs="仿宋_GB2312"/>
                <w:b/>
                <w:bCs/>
                <w:color w:val="000000"/>
                <w:sz w:val="21"/>
                <w:szCs w:val="21"/>
              </w:rPr>
            </w:pPr>
          </w:p>
        </w:tc>
        <w:tc>
          <w:tcPr>
            <w:tcW w:w="1420"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优秀</w:t>
            </w:r>
          </w:p>
        </w:tc>
        <w:tc>
          <w:tcPr>
            <w:tcW w:w="1420"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良好</w:t>
            </w:r>
          </w:p>
        </w:tc>
        <w:tc>
          <w:tcPr>
            <w:tcW w:w="1421"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一般</w:t>
            </w:r>
          </w:p>
        </w:tc>
        <w:tc>
          <w:tcPr>
            <w:tcW w:w="1421"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有待提高</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27" w:hRule="atLeast"/>
        </w:trPr>
        <w:tc>
          <w:tcPr>
            <w:tcW w:w="1420" w:type="dxa"/>
            <w:vMerge w:val="restart"/>
            <w:shd w:val="clear" w:color="auto" w:fill="D0DCF0" w:themeFill="accent5" w:themeFillTint="3F"/>
            <w:vAlign w:val="center"/>
          </w:tcPr>
          <w:p>
            <w:pPr>
              <w:spacing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部门员工绩效等级</w:t>
            </w:r>
          </w:p>
        </w:tc>
        <w:tc>
          <w:tcPr>
            <w:tcW w:w="1420" w:type="dxa"/>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优秀</w:t>
            </w:r>
          </w:p>
        </w:tc>
        <w:tc>
          <w:tcPr>
            <w:tcW w:w="1420" w:type="dxa"/>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40%</w:t>
            </w:r>
          </w:p>
        </w:tc>
        <w:tc>
          <w:tcPr>
            <w:tcW w:w="1420" w:type="dxa"/>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20%</w:t>
            </w:r>
          </w:p>
        </w:tc>
        <w:tc>
          <w:tcPr>
            <w:tcW w:w="1421" w:type="dxa"/>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5%</w:t>
            </w:r>
          </w:p>
        </w:tc>
        <w:tc>
          <w:tcPr>
            <w:tcW w:w="1421" w:type="dxa"/>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27" w:hRule="atLeast"/>
        </w:trPr>
        <w:tc>
          <w:tcPr>
            <w:tcW w:w="1420" w:type="dxa"/>
            <w:vMerge w:val="continue"/>
            <w:shd w:val="clear" w:color="auto" w:fill="A1B8E1" w:themeFill="accent5" w:themeFillTint="7F"/>
            <w:vAlign w:val="center"/>
          </w:tcPr>
          <w:p>
            <w:pPr>
              <w:spacing w:line="240" w:lineRule="auto"/>
              <w:ind w:firstLine="0" w:firstLineChars="0"/>
              <w:jc w:val="center"/>
              <w:rPr>
                <w:rFonts w:ascii="仿宋_GB2312" w:hAnsi="仿宋_GB2312" w:cs="仿宋_GB2312"/>
                <w:b/>
                <w:bCs/>
                <w:color w:val="000000"/>
                <w:sz w:val="21"/>
                <w:szCs w:val="21"/>
              </w:rPr>
            </w:pPr>
          </w:p>
        </w:tc>
        <w:tc>
          <w:tcPr>
            <w:tcW w:w="1420"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良好</w:t>
            </w:r>
          </w:p>
        </w:tc>
        <w:tc>
          <w:tcPr>
            <w:tcW w:w="1420"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30%</w:t>
            </w:r>
          </w:p>
        </w:tc>
        <w:tc>
          <w:tcPr>
            <w:tcW w:w="1420"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40%</w:t>
            </w:r>
          </w:p>
        </w:tc>
        <w:tc>
          <w:tcPr>
            <w:tcW w:w="1421"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25%</w:t>
            </w:r>
          </w:p>
        </w:tc>
        <w:tc>
          <w:tcPr>
            <w:tcW w:w="1421"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10%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27" w:hRule="atLeast"/>
        </w:trPr>
        <w:tc>
          <w:tcPr>
            <w:tcW w:w="1420" w:type="dxa"/>
            <w:vMerge w:val="continue"/>
            <w:shd w:val="clear" w:color="auto" w:fill="D0DCF0" w:themeFill="accent5" w:themeFillTint="3F"/>
            <w:vAlign w:val="center"/>
          </w:tcPr>
          <w:p>
            <w:pPr>
              <w:spacing w:line="240" w:lineRule="auto"/>
              <w:ind w:firstLine="0" w:firstLineChars="0"/>
              <w:jc w:val="center"/>
              <w:rPr>
                <w:rFonts w:ascii="仿宋_GB2312" w:hAnsi="仿宋_GB2312" w:cs="仿宋_GB2312"/>
                <w:b/>
                <w:bCs/>
                <w:color w:val="000000"/>
                <w:sz w:val="21"/>
                <w:szCs w:val="21"/>
              </w:rPr>
            </w:pPr>
          </w:p>
        </w:tc>
        <w:tc>
          <w:tcPr>
            <w:tcW w:w="1420" w:type="dxa"/>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一般</w:t>
            </w:r>
          </w:p>
        </w:tc>
        <w:tc>
          <w:tcPr>
            <w:tcW w:w="1420" w:type="dxa"/>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30%</w:t>
            </w:r>
          </w:p>
        </w:tc>
        <w:tc>
          <w:tcPr>
            <w:tcW w:w="1420" w:type="dxa"/>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30%</w:t>
            </w:r>
          </w:p>
        </w:tc>
        <w:tc>
          <w:tcPr>
            <w:tcW w:w="1421" w:type="dxa"/>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40%</w:t>
            </w:r>
          </w:p>
        </w:tc>
        <w:tc>
          <w:tcPr>
            <w:tcW w:w="1421" w:type="dxa"/>
            <w:shd w:val="clear" w:color="auto" w:fill="D0DCF0" w:themeFill="accent5" w:themeFillTint="3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50%</w:t>
            </w:r>
          </w:p>
        </w:tc>
      </w:tr>
      <w:tr>
        <w:tblPrEx>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CellMar>
            <w:top w:w="0" w:type="dxa"/>
            <w:left w:w="108" w:type="dxa"/>
            <w:bottom w:w="0" w:type="dxa"/>
            <w:right w:w="108" w:type="dxa"/>
          </w:tblCellMar>
        </w:tblPrEx>
        <w:trPr>
          <w:trHeight w:val="227" w:hRule="atLeast"/>
        </w:trPr>
        <w:tc>
          <w:tcPr>
            <w:tcW w:w="1420" w:type="dxa"/>
            <w:vMerge w:val="continue"/>
            <w:shd w:val="clear" w:color="auto" w:fill="A1B8E1" w:themeFill="accent5" w:themeFillTint="7F"/>
            <w:vAlign w:val="center"/>
          </w:tcPr>
          <w:p>
            <w:pPr>
              <w:spacing w:line="240" w:lineRule="auto"/>
              <w:ind w:firstLine="0" w:firstLineChars="0"/>
              <w:jc w:val="center"/>
              <w:rPr>
                <w:rFonts w:ascii="仿宋_GB2312" w:hAnsi="仿宋_GB2312" w:cs="仿宋_GB2312"/>
                <w:b/>
                <w:bCs/>
                <w:color w:val="000000"/>
                <w:sz w:val="21"/>
                <w:szCs w:val="21"/>
              </w:rPr>
            </w:pPr>
          </w:p>
        </w:tc>
        <w:tc>
          <w:tcPr>
            <w:tcW w:w="1420"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有待提高</w:t>
            </w:r>
          </w:p>
        </w:tc>
        <w:tc>
          <w:tcPr>
            <w:tcW w:w="1420"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0</w:t>
            </w:r>
          </w:p>
        </w:tc>
        <w:tc>
          <w:tcPr>
            <w:tcW w:w="1420"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10%</w:t>
            </w:r>
          </w:p>
        </w:tc>
        <w:tc>
          <w:tcPr>
            <w:tcW w:w="1421"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30%</w:t>
            </w:r>
          </w:p>
        </w:tc>
        <w:tc>
          <w:tcPr>
            <w:tcW w:w="1421" w:type="dxa"/>
            <w:shd w:val="clear" w:color="auto" w:fill="A1B8E1" w:themeFill="accent5" w:themeFillTint="7F"/>
            <w:vAlign w:val="center"/>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40%</w:t>
            </w:r>
          </w:p>
        </w:tc>
      </w:tr>
    </w:tbl>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3.考核结果应用</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考核结果与员工利益的相关性表现在以下几个方面（如表6-4所示）：</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1）月度、年度奖金的分配；</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2）绩效工资、年薪上限的确认；</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3）晋级、培训等资格的确认。</w:t>
      </w:r>
    </w:p>
    <w:p>
      <w:pPr>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表6-4 公司绩效评分表</w:t>
      </w:r>
    </w:p>
    <w:tbl>
      <w:tblPr>
        <w:tblStyle w:val="24"/>
        <w:tblW w:w="0" w:type="auto"/>
        <w:tblInd w:w="0" w:type="dxa"/>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0"/>
        <w:gridCol w:w="1420"/>
        <w:gridCol w:w="1420"/>
        <w:gridCol w:w="1420"/>
        <w:gridCol w:w="1421"/>
        <w:gridCol w:w="1421"/>
      </w:tblGrid>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5B9BD5" w:themeColor="accent1" w:sz="8" w:space="0"/>
              <w:left w:val="nil"/>
              <w:bottom w:val="single" w:color="5B9BD5" w:themeColor="accent1" w:sz="8" w:space="0"/>
              <w:right w:val="nil"/>
              <w:insideH w:val="single" w:sz="8" w:space="0"/>
              <w:insideV w:val="nil"/>
            </w:tcBorders>
          </w:tcPr>
          <w:p>
            <w:pPr>
              <w:spacing w:before="0" w:after="0"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项目</w:t>
            </w:r>
          </w:p>
        </w:tc>
        <w:tc>
          <w:tcPr>
            <w:tcW w:w="1420"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考勤</w:t>
            </w:r>
          </w:p>
        </w:tc>
        <w:tc>
          <w:tcPr>
            <w:tcW w:w="1420"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工作完成度</w:t>
            </w:r>
          </w:p>
        </w:tc>
        <w:tc>
          <w:tcPr>
            <w:tcW w:w="1420"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工作表现</w:t>
            </w:r>
          </w:p>
        </w:tc>
        <w:tc>
          <w:tcPr>
            <w:tcW w:w="1421"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特殊贡献</w:t>
            </w:r>
          </w:p>
        </w:tc>
        <w:tc>
          <w:tcPr>
            <w:tcW w:w="1421"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总计</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left w:val="nil"/>
              <w:right w:val="nil"/>
              <w:insideV w:val="nil"/>
            </w:tcBorders>
            <w:shd w:val="clear" w:color="auto" w:fill="D6E6F4" w:themeFill="accent1" w:themeFillTint="3F"/>
          </w:tcPr>
          <w:p>
            <w:pPr>
              <w:spacing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比例</w:t>
            </w:r>
          </w:p>
        </w:tc>
        <w:tc>
          <w:tcPr>
            <w:tcW w:w="1420" w:type="dxa"/>
            <w:tcBorders>
              <w:right w:val="nil"/>
              <w:insideV w:val="nil"/>
            </w:tcBorders>
            <w:shd w:val="clear" w:color="auto" w:fill="D6E6F4" w:themeFill="accent1" w:themeFillTint="3F"/>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40%</w:t>
            </w:r>
          </w:p>
        </w:tc>
        <w:tc>
          <w:tcPr>
            <w:tcW w:w="1420" w:type="dxa"/>
            <w:tcBorders>
              <w:right w:val="nil"/>
              <w:insideV w:val="nil"/>
            </w:tcBorders>
            <w:shd w:val="clear" w:color="auto" w:fill="D6E6F4" w:themeFill="accent1" w:themeFillTint="3F"/>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30%</w:t>
            </w:r>
          </w:p>
        </w:tc>
        <w:tc>
          <w:tcPr>
            <w:tcW w:w="1420" w:type="dxa"/>
            <w:tcBorders>
              <w:right w:val="nil"/>
              <w:insideV w:val="nil"/>
            </w:tcBorders>
            <w:shd w:val="clear" w:color="auto" w:fill="D6E6F4" w:themeFill="accent1" w:themeFillTint="3F"/>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20%</w:t>
            </w:r>
          </w:p>
        </w:tc>
        <w:tc>
          <w:tcPr>
            <w:tcW w:w="1421" w:type="dxa"/>
            <w:tcBorders>
              <w:right w:val="nil"/>
              <w:insideV w:val="nil"/>
            </w:tcBorders>
            <w:shd w:val="clear" w:color="auto" w:fill="D6E6F4" w:themeFill="accent1" w:themeFillTint="3F"/>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10%</w:t>
            </w:r>
          </w:p>
        </w:tc>
        <w:tc>
          <w:tcPr>
            <w:tcW w:w="1421" w:type="dxa"/>
            <w:tcBorders>
              <w:right w:val="nil"/>
              <w:insideV w:val="nil"/>
            </w:tcBorders>
            <w:shd w:val="clear" w:color="auto" w:fill="D6E6F4" w:themeFill="accent1" w:themeFillTint="3F"/>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100%</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Pr>
          <w:p>
            <w:pPr>
              <w:spacing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得分</w:t>
            </w:r>
          </w:p>
        </w:tc>
        <w:tc>
          <w:tcPr>
            <w:tcW w:w="1420" w:type="dxa"/>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40</w:t>
            </w:r>
          </w:p>
        </w:tc>
        <w:tc>
          <w:tcPr>
            <w:tcW w:w="1420" w:type="dxa"/>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30</w:t>
            </w:r>
          </w:p>
        </w:tc>
        <w:tc>
          <w:tcPr>
            <w:tcW w:w="1420" w:type="dxa"/>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20</w:t>
            </w:r>
          </w:p>
        </w:tc>
        <w:tc>
          <w:tcPr>
            <w:tcW w:w="1421" w:type="dxa"/>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10</w:t>
            </w:r>
          </w:p>
        </w:tc>
        <w:tc>
          <w:tcPr>
            <w:tcW w:w="1421" w:type="dxa"/>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100</w:t>
            </w:r>
          </w:p>
        </w:tc>
      </w:tr>
    </w:tbl>
    <w:p>
      <w:pPr>
        <w:tabs>
          <w:tab w:val="center" w:pos="4434"/>
        </w:tabs>
        <w:spacing w:line="500" w:lineRule="exact"/>
        <w:ind w:firstLine="0" w:firstLineChars="0"/>
        <w:jc w:val="left"/>
        <w:outlineLvl w:val="2"/>
        <w:rPr>
          <w:rFonts w:ascii="黑体" w:hAnsi="黑体" w:eastAsia="黑体" w:cs="Times New Roman"/>
        </w:rPr>
      </w:pPr>
      <w:bookmarkStart w:id="123" w:name="_Toc61100240"/>
      <w:r>
        <w:rPr>
          <w:rFonts w:hint="eastAsia" w:ascii="黑体" w:hAnsi="黑体" w:eastAsia="黑体" w:cs="Times New Roman"/>
        </w:rPr>
        <w:t>6.4.4薪酬与福利管理</w:t>
      </w:r>
      <w:bookmarkEnd w:id="123"/>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1.在职员工</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公司可以在控制人工成本的基础上，通过薪酬的激励性作用提高员工的积极性。根据职位本身的性质和公平性要求实行等级制度，具体职员薪资分配如表6-5所示。</w:t>
      </w:r>
    </w:p>
    <w:p>
      <w:pPr>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表6-5 公司职员薪资分配</w:t>
      </w:r>
    </w:p>
    <w:tbl>
      <w:tblPr>
        <w:tblStyle w:val="24"/>
        <w:tblW w:w="0" w:type="auto"/>
        <w:tblInd w:w="0" w:type="dxa"/>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7"/>
        <w:gridCol w:w="4365"/>
        <w:gridCol w:w="3175"/>
      </w:tblGrid>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 w:type="dxa"/>
            <w:tcBorders>
              <w:top w:val="single" w:color="5B9BD5" w:themeColor="accent1" w:sz="8" w:space="0"/>
              <w:left w:val="nil"/>
              <w:bottom w:val="single" w:color="5B9BD5" w:themeColor="accent1" w:sz="8" w:space="0"/>
              <w:right w:val="nil"/>
              <w:insideH w:val="single" w:sz="8" w:space="0"/>
              <w:insideV w:val="nil"/>
            </w:tcBorders>
          </w:tcPr>
          <w:p>
            <w:pPr>
              <w:spacing w:before="0" w:after="0" w:line="240" w:lineRule="auto"/>
              <w:ind w:firstLine="0" w:firstLineChars="0"/>
              <w:jc w:val="left"/>
              <w:rPr>
                <w:rFonts w:ascii="仿宋_GB2312" w:hAnsi="仿宋_GB2312" w:cs="仿宋_GB2312"/>
                <w:b/>
                <w:bCs/>
                <w:color w:val="000000"/>
                <w:sz w:val="21"/>
                <w:szCs w:val="21"/>
              </w:rPr>
            </w:pPr>
            <w:r>
              <w:rPr>
                <w:rFonts w:ascii="仿宋_GB2312" w:hAnsi="仿宋_GB2312" w:cs="仿宋_GB2312"/>
                <w:b/>
                <w:bCs/>
                <w:color w:val="000000"/>
                <w:sz w:val="21"/>
                <w:szCs w:val="21"/>
              </w:rPr>
              <w:t>类别</w:t>
            </w:r>
          </w:p>
        </w:tc>
        <w:tc>
          <w:tcPr>
            <w:tcW w:w="4365"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left"/>
              <w:rPr>
                <w:rFonts w:ascii="仿宋_GB2312" w:hAnsi="仿宋_GB2312" w:cs="仿宋_GB2312"/>
                <w:b/>
                <w:bCs/>
                <w:color w:val="000000"/>
                <w:sz w:val="21"/>
                <w:szCs w:val="21"/>
              </w:rPr>
            </w:pPr>
            <w:r>
              <w:rPr>
                <w:rFonts w:ascii="仿宋_GB2312" w:hAnsi="仿宋_GB2312" w:cs="仿宋_GB2312"/>
                <w:b/>
                <w:bCs/>
                <w:color w:val="000000"/>
                <w:sz w:val="21"/>
                <w:szCs w:val="21"/>
              </w:rPr>
              <w:t>职务</w:t>
            </w:r>
          </w:p>
        </w:tc>
        <w:tc>
          <w:tcPr>
            <w:tcW w:w="3175"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left"/>
              <w:rPr>
                <w:rFonts w:ascii="仿宋_GB2312" w:hAnsi="仿宋_GB2312" w:cs="仿宋_GB2312"/>
                <w:b/>
                <w:bCs/>
                <w:color w:val="000000"/>
                <w:sz w:val="21"/>
                <w:szCs w:val="21"/>
              </w:rPr>
            </w:pPr>
            <w:r>
              <w:rPr>
                <w:rFonts w:ascii="仿宋_GB2312" w:hAnsi="仿宋_GB2312" w:cs="仿宋_GB2312"/>
                <w:b/>
                <w:bCs/>
                <w:color w:val="000000"/>
                <w:sz w:val="21"/>
                <w:szCs w:val="21"/>
              </w:rPr>
              <w:t>具体工资构成</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 w:type="dxa"/>
            <w:tcBorders>
              <w:left w:val="nil"/>
              <w:right w:val="nil"/>
              <w:insideV w:val="nil"/>
            </w:tcBorders>
            <w:shd w:val="clear" w:color="auto" w:fill="D6E6F4" w:themeFill="accent1" w:themeFillTint="3F"/>
          </w:tcPr>
          <w:p>
            <w:pPr>
              <w:spacing w:line="240" w:lineRule="auto"/>
              <w:ind w:firstLine="0" w:firstLineChars="0"/>
              <w:jc w:val="left"/>
              <w:rPr>
                <w:rFonts w:ascii="仿宋_GB2312" w:hAnsi="仿宋_GB2312" w:cs="仿宋_GB2312"/>
                <w:b/>
                <w:bCs/>
                <w:color w:val="000000"/>
                <w:sz w:val="21"/>
                <w:szCs w:val="21"/>
              </w:rPr>
            </w:pPr>
            <w:r>
              <w:rPr>
                <w:rFonts w:ascii="仿宋_GB2312" w:hAnsi="仿宋_GB2312" w:cs="仿宋_GB2312"/>
                <w:b/>
                <w:bCs/>
                <w:color w:val="000000"/>
                <w:sz w:val="21"/>
                <w:szCs w:val="21"/>
              </w:rPr>
              <w:t>领导层</w:t>
            </w:r>
          </w:p>
        </w:tc>
        <w:tc>
          <w:tcPr>
            <w:tcW w:w="4365" w:type="dxa"/>
            <w:tcBorders>
              <w:right w:val="nil"/>
              <w:insideV w:val="nil"/>
            </w:tcBorders>
            <w:shd w:val="clear" w:color="auto" w:fill="D6E6F4" w:themeFill="accent1" w:themeFillTint="3F"/>
          </w:tcPr>
          <w:p>
            <w:pPr>
              <w:spacing w:line="240" w:lineRule="auto"/>
              <w:ind w:firstLine="0" w:firstLineChars="0"/>
              <w:jc w:val="left"/>
              <w:rPr>
                <w:rFonts w:ascii="仿宋_GB2312" w:hAnsi="仿宋_GB2312" w:cs="仿宋_GB2312"/>
                <w:color w:val="000000"/>
                <w:sz w:val="21"/>
                <w:szCs w:val="21"/>
              </w:rPr>
            </w:pPr>
            <w:r>
              <w:rPr>
                <w:rFonts w:ascii="仿宋_GB2312" w:hAnsi="仿宋_GB2312" w:cs="仿宋_GB2312"/>
                <w:color w:val="000000"/>
                <w:sz w:val="21"/>
                <w:szCs w:val="21"/>
              </w:rPr>
              <w:t>董事长</w:t>
            </w:r>
            <w:r>
              <w:rPr>
                <w:rFonts w:hint="eastAsia" w:ascii="仿宋_GB2312" w:hAnsi="仿宋_GB2312" w:cs="仿宋_GB2312"/>
                <w:color w:val="000000"/>
                <w:sz w:val="21"/>
                <w:szCs w:val="21"/>
              </w:rPr>
              <w:t>、</w:t>
            </w:r>
            <w:r>
              <w:rPr>
                <w:rFonts w:ascii="仿宋_GB2312" w:hAnsi="仿宋_GB2312" w:cs="仿宋_GB2312"/>
                <w:color w:val="000000"/>
                <w:sz w:val="21"/>
                <w:szCs w:val="21"/>
              </w:rPr>
              <w:t>总经理</w:t>
            </w:r>
            <w:r>
              <w:rPr>
                <w:rFonts w:hint="eastAsia" w:ascii="仿宋_GB2312" w:hAnsi="仿宋_GB2312" w:cs="仿宋_GB2312"/>
                <w:color w:val="000000"/>
                <w:sz w:val="21"/>
                <w:szCs w:val="21"/>
              </w:rPr>
              <w:t>、</w:t>
            </w:r>
            <w:r>
              <w:rPr>
                <w:rFonts w:ascii="仿宋_GB2312" w:hAnsi="仿宋_GB2312" w:cs="仿宋_GB2312"/>
                <w:color w:val="000000"/>
                <w:sz w:val="21"/>
                <w:szCs w:val="21"/>
              </w:rPr>
              <w:t>副总经理</w:t>
            </w:r>
            <w:r>
              <w:rPr>
                <w:rFonts w:hint="eastAsia" w:ascii="仿宋_GB2312" w:hAnsi="仿宋_GB2312" w:cs="仿宋_GB2312"/>
                <w:color w:val="000000"/>
                <w:sz w:val="21"/>
                <w:szCs w:val="21"/>
              </w:rPr>
              <w:t>、</w:t>
            </w:r>
            <w:r>
              <w:rPr>
                <w:rFonts w:ascii="仿宋_GB2312" w:hAnsi="仿宋_GB2312" w:cs="仿宋_GB2312"/>
                <w:color w:val="000000"/>
                <w:sz w:val="21"/>
                <w:szCs w:val="21"/>
              </w:rPr>
              <w:t>总经理助理等</w:t>
            </w:r>
          </w:p>
        </w:tc>
        <w:tc>
          <w:tcPr>
            <w:tcW w:w="3175" w:type="dxa"/>
            <w:tcBorders>
              <w:right w:val="nil"/>
              <w:insideV w:val="nil"/>
            </w:tcBorders>
            <w:shd w:val="clear" w:color="auto" w:fill="D6E6F4" w:themeFill="accent1" w:themeFillTint="3F"/>
          </w:tcPr>
          <w:p>
            <w:pPr>
              <w:spacing w:line="240" w:lineRule="auto"/>
              <w:ind w:firstLine="0" w:firstLineChars="0"/>
              <w:jc w:val="left"/>
              <w:rPr>
                <w:rFonts w:ascii="仿宋_GB2312" w:hAnsi="仿宋_GB2312" w:cs="仿宋_GB2312"/>
                <w:color w:val="000000"/>
                <w:sz w:val="21"/>
                <w:szCs w:val="21"/>
              </w:rPr>
            </w:pPr>
            <w:r>
              <w:rPr>
                <w:rFonts w:ascii="仿宋_GB2312" w:hAnsi="仿宋_GB2312" w:cs="仿宋_GB2312"/>
                <w:color w:val="000000"/>
                <w:sz w:val="21"/>
                <w:szCs w:val="21"/>
              </w:rPr>
              <w:t>年薪</w:t>
            </w:r>
            <w:r>
              <w:rPr>
                <w:rFonts w:hint="eastAsia" w:ascii="仿宋_GB2312" w:hAnsi="仿宋_GB2312" w:cs="仿宋_GB2312"/>
                <w:color w:val="000000"/>
                <w:sz w:val="21"/>
                <w:szCs w:val="21"/>
              </w:rPr>
              <w:t>+</w:t>
            </w:r>
            <w:r>
              <w:rPr>
                <w:rFonts w:ascii="仿宋_GB2312" w:hAnsi="仿宋_GB2312" w:cs="仿宋_GB2312"/>
                <w:color w:val="000000"/>
                <w:sz w:val="21"/>
                <w:szCs w:val="21"/>
              </w:rPr>
              <w:t>年金</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 w:type="dxa"/>
          </w:tcPr>
          <w:p>
            <w:pPr>
              <w:spacing w:line="240" w:lineRule="auto"/>
              <w:ind w:firstLine="0" w:firstLineChars="0"/>
              <w:jc w:val="left"/>
              <w:rPr>
                <w:rFonts w:ascii="仿宋_GB2312" w:hAnsi="仿宋_GB2312" w:cs="仿宋_GB2312"/>
                <w:b/>
                <w:bCs/>
                <w:color w:val="000000"/>
                <w:sz w:val="21"/>
                <w:szCs w:val="21"/>
              </w:rPr>
            </w:pPr>
            <w:r>
              <w:rPr>
                <w:rFonts w:ascii="仿宋_GB2312" w:hAnsi="仿宋_GB2312" w:cs="仿宋_GB2312"/>
                <w:b/>
                <w:bCs/>
                <w:color w:val="000000"/>
                <w:sz w:val="21"/>
                <w:szCs w:val="21"/>
              </w:rPr>
              <w:t>管理层</w:t>
            </w:r>
          </w:p>
        </w:tc>
        <w:tc>
          <w:tcPr>
            <w:tcW w:w="4365" w:type="dxa"/>
          </w:tcPr>
          <w:p>
            <w:pPr>
              <w:spacing w:line="240" w:lineRule="auto"/>
              <w:ind w:firstLine="0" w:firstLineChars="0"/>
              <w:jc w:val="left"/>
              <w:rPr>
                <w:rFonts w:ascii="仿宋_GB2312" w:hAnsi="仿宋_GB2312" w:cs="仿宋_GB2312"/>
                <w:color w:val="000000"/>
                <w:sz w:val="21"/>
                <w:szCs w:val="21"/>
              </w:rPr>
            </w:pPr>
            <w:r>
              <w:rPr>
                <w:rFonts w:ascii="仿宋_GB2312" w:hAnsi="仿宋_GB2312" w:cs="仿宋_GB2312"/>
                <w:color w:val="000000"/>
                <w:sz w:val="21"/>
                <w:szCs w:val="21"/>
              </w:rPr>
              <w:t>中层</w:t>
            </w:r>
            <w:r>
              <w:rPr>
                <w:rFonts w:hint="eastAsia" w:ascii="仿宋_GB2312" w:hAnsi="仿宋_GB2312" w:cs="仿宋_GB2312"/>
                <w:color w:val="000000"/>
                <w:sz w:val="21"/>
                <w:szCs w:val="21"/>
              </w:rPr>
              <w:t>、</w:t>
            </w:r>
            <w:r>
              <w:rPr>
                <w:rFonts w:ascii="仿宋_GB2312" w:hAnsi="仿宋_GB2312" w:cs="仿宋_GB2312"/>
                <w:color w:val="000000"/>
                <w:sz w:val="21"/>
                <w:szCs w:val="21"/>
              </w:rPr>
              <w:t>基础管理者</w:t>
            </w:r>
            <w:r>
              <w:rPr>
                <w:rFonts w:hint="eastAsia" w:ascii="仿宋_GB2312" w:hAnsi="仿宋_GB2312" w:cs="仿宋_GB2312"/>
                <w:color w:val="000000"/>
                <w:sz w:val="21"/>
                <w:szCs w:val="21"/>
              </w:rPr>
              <w:t>、</w:t>
            </w:r>
            <w:r>
              <w:rPr>
                <w:rFonts w:ascii="仿宋_GB2312" w:hAnsi="仿宋_GB2312" w:cs="仿宋_GB2312"/>
                <w:color w:val="000000"/>
                <w:sz w:val="21"/>
                <w:szCs w:val="21"/>
              </w:rPr>
              <w:t>业务员非技术系列的人员</w:t>
            </w:r>
          </w:p>
        </w:tc>
        <w:tc>
          <w:tcPr>
            <w:tcW w:w="3175" w:type="dxa"/>
          </w:tcPr>
          <w:p>
            <w:pPr>
              <w:spacing w:line="240" w:lineRule="auto"/>
              <w:ind w:firstLine="0" w:firstLineChars="0"/>
              <w:jc w:val="left"/>
              <w:rPr>
                <w:rFonts w:ascii="仿宋_GB2312" w:hAnsi="仿宋_GB2312" w:cs="仿宋_GB2312"/>
                <w:color w:val="000000"/>
                <w:sz w:val="21"/>
                <w:szCs w:val="21"/>
              </w:rPr>
            </w:pPr>
            <w:r>
              <w:rPr>
                <w:rFonts w:ascii="仿宋_GB2312" w:hAnsi="仿宋_GB2312" w:cs="仿宋_GB2312"/>
                <w:color w:val="000000"/>
                <w:sz w:val="21"/>
                <w:szCs w:val="21"/>
              </w:rPr>
              <w:t>基本工资</w:t>
            </w:r>
            <w:r>
              <w:rPr>
                <w:rFonts w:hint="eastAsia" w:ascii="仿宋_GB2312" w:hAnsi="仿宋_GB2312" w:cs="仿宋_GB2312"/>
                <w:color w:val="000000"/>
                <w:sz w:val="21"/>
                <w:szCs w:val="21"/>
              </w:rPr>
              <w:t>+</w:t>
            </w:r>
            <w:r>
              <w:rPr>
                <w:rFonts w:ascii="仿宋_GB2312" w:hAnsi="仿宋_GB2312" w:cs="仿宋_GB2312"/>
                <w:color w:val="000000"/>
                <w:sz w:val="21"/>
                <w:szCs w:val="21"/>
              </w:rPr>
              <w:t>绩效工资</w:t>
            </w:r>
            <w:r>
              <w:rPr>
                <w:rFonts w:hint="eastAsia" w:ascii="仿宋_GB2312" w:hAnsi="仿宋_GB2312" w:cs="仿宋_GB2312"/>
                <w:color w:val="000000"/>
                <w:sz w:val="21"/>
                <w:szCs w:val="21"/>
              </w:rPr>
              <w:t>+</w:t>
            </w:r>
            <w:r>
              <w:rPr>
                <w:rFonts w:ascii="仿宋_GB2312" w:hAnsi="仿宋_GB2312" w:cs="仿宋_GB2312"/>
                <w:color w:val="000000"/>
                <w:sz w:val="21"/>
                <w:szCs w:val="21"/>
              </w:rPr>
              <w:t>福利津贴</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 w:type="dxa"/>
            <w:tcBorders>
              <w:left w:val="nil"/>
              <w:right w:val="nil"/>
              <w:insideV w:val="nil"/>
            </w:tcBorders>
            <w:shd w:val="clear" w:color="auto" w:fill="D6E6F4" w:themeFill="accent1" w:themeFillTint="3F"/>
          </w:tcPr>
          <w:p>
            <w:pPr>
              <w:spacing w:line="240" w:lineRule="auto"/>
              <w:ind w:firstLine="0" w:firstLineChars="0"/>
              <w:jc w:val="left"/>
              <w:rPr>
                <w:rFonts w:ascii="仿宋_GB2312" w:hAnsi="仿宋_GB2312" w:cs="仿宋_GB2312"/>
                <w:b/>
                <w:bCs/>
                <w:color w:val="000000"/>
                <w:sz w:val="21"/>
                <w:szCs w:val="21"/>
              </w:rPr>
            </w:pPr>
            <w:r>
              <w:rPr>
                <w:rFonts w:ascii="仿宋_GB2312" w:hAnsi="仿宋_GB2312" w:cs="仿宋_GB2312"/>
                <w:b/>
                <w:bCs/>
                <w:color w:val="000000"/>
                <w:sz w:val="21"/>
                <w:szCs w:val="21"/>
              </w:rPr>
              <w:t>业务层</w:t>
            </w:r>
          </w:p>
        </w:tc>
        <w:tc>
          <w:tcPr>
            <w:tcW w:w="4365" w:type="dxa"/>
            <w:tcBorders>
              <w:right w:val="nil"/>
              <w:insideV w:val="nil"/>
            </w:tcBorders>
            <w:shd w:val="clear" w:color="auto" w:fill="D6E6F4" w:themeFill="accent1" w:themeFillTint="3F"/>
          </w:tcPr>
          <w:p>
            <w:pPr>
              <w:spacing w:line="240" w:lineRule="auto"/>
              <w:ind w:firstLine="0" w:firstLineChars="0"/>
              <w:jc w:val="left"/>
              <w:rPr>
                <w:rFonts w:ascii="仿宋_GB2312" w:hAnsi="仿宋_GB2312" w:cs="仿宋_GB2312"/>
                <w:color w:val="000000"/>
                <w:sz w:val="21"/>
                <w:szCs w:val="21"/>
              </w:rPr>
            </w:pPr>
            <w:r>
              <w:rPr>
                <w:rFonts w:ascii="仿宋_GB2312" w:hAnsi="仿宋_GB2312" w:cs="仿宋_GB2312"/>
                <w:color w:val="000000"/>
                <w:sz w:val="21"/>
                <w:szCs w:val="21"/>
              </w:rPr>
              <w:t>APP推广营销员工和其他业务人员</w:t>
            </w:r>
          </w:p>
        </w:tc>
        <w:tc>
          <w:tcPr>
            <w:tcW w:w="3175" w:type="dxa"/>
            <w:tcBorders>
              <w:right w:val="nil"/>
              <w:insideV w:val="nil"/>
            </w:tcBorders>
            <w:shd w:val="clear" w:color="auto" w:fill="D6E6F4" w:themeFill="accent1" w:themeFillTint="3F"/>
          </w:tcPr>
          <w:p>
            <w:pPr>
              <w:spacing w:line="240" w:lineRule="auto"/>
              <w:ind w:firstLine="0" w:firstLineChars="0"/>
              <w:jc w:val="left"/>
              <w:rPr>
                <w:rFonts w:ascii="仿宋_GB2312" w:hAnsi="仿宋_GB2312" w:cs="仿宋_GB2312"/>
                <w:color w:val="000000"/>
                <w:sz w:val="21"/>
                <w:szCs w:val="21"/>
              </w:rPr>
            </w:pPr>
            <w:r>
              <w:rPr>
                <w:rFonts w:ascii="仿宋_GB2312" w:hAnsi="仿宋_GB2312" w:cs="仿宋_GB2312"/>
                <w:color w:val="000000"/>
                <w:sz w:val="21"/>
                <w:szCs w:val="21"/>
              </w:rPr>
              <w:t>基本工资</w:t>
            </w:r>
            <w:r>
              <w:rPr>
                <w:rFonts w:hint="eastAsia" w:ascii="仿宋_GB2312" w:hAnsi="仿宋_GB2312" w:cs="仿宋_GB2312"/>
                <w:color w:val="000000"/>
                <w:sz w:val="21"/>
                <w:szCs w:val="21"/>
              </w:rPr>
              <w:t>+</w:t>
            </w:r>
            <w:r>
              <w:rPr>
                <w:rFonts w:ascii="仿宋_GB2312" w:hAnsi="仿宋_GB2312" w:cs="仿宋_GB2312"/>
                <w:color w:val="000000"/>
                <w:sz w:val="21"/>
                <w:szCs w:val="21"/>
              </w:rPr>
              <w:t>业务提成</w:t>
            </w:r>
            <w:r>
              <w:rPr>
                <w:rFonts w:hint="eastAsia" w:ascii="仿宋_GB2312" w:hAnsi="仿宋_GB2312" w:cs="仿宋_GB2312"/>
                <w:color w:val="000000"/>
                <w:sz w:val="21"/>
                <w:szCs w:val="21"/>
              </w:rPr>
              <w:t>+</w:t>
            </w:r>
            <w:r>
              <w:rPr>
                <w:rFonts w:ascii="仿宋_GB2312" w:hAnsi="仿宋_GB2312" w:cs="仿宋_GB2312"/>
                <w:color w:val="000000"/>
                <w:sz w:val="21"/>
                <w:szCs w:val="21"/>
              </w:rPr>
              <w:t>福利津贴</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 w:type="dxa"/>
          </w:tcPr>
          <w:p>
            <w:pPr>
              <w:spacing w:line="240" w:lineRule="auto"/>
              <w:ind w:firstLine="0" w:firstLineChars="0"/>
              <w:jc w:val="left"/>
              <w:rPr>
                <w:rFonts w:ascii="仿宋_GB2312" w:hAnsi="仿宋_GB2312" w:cs="仿宋_GB2312"/>
                <w:b/>
                <w:bCs/>
                <w:color w:val="000000"/>
                <w:sz w:val="21"/>
                <w:szCs w:val="21"/>
              </w:rPr>
            </w:pPr>
            <w:r>
              <w:rPr>
                <w:rFonts w:ascii="仿宋_GB2312" w:hAnsi="仿宋_GB2312" w:cs="仿宋_GB2312"/>
                <w:b/>
                <w:bCs/>
                <w:color w:val="000000"/>
                <w:sz w:val="21"/>
                <w:szCs w:val="21"/>
              </w:rPr>
              <w:t>技术层</w:t>
            </w:r>
          </w:p>
        </w:tc>
        <w:tc>
          <w:tcPr>
            <w:tcW w:w="4365" w:type="dxa"/>
          </w:tcPr>
          <w:p>
            <w:pPr>
              <w:spacing w:line="240" w:lineRule="auto"/>
              <w:ind w:firstLine="0" w:firstLineChars="0"/>
              <w:jc w:val="left"/>
              <w:rPr>
                <w:rFonts w:ascii="仿宋_GB2312" w:hAnsi="仿宋_GB2312" w:cs="仿宋_GB2312"/>
                <w:color w:val="000000"/>
                <w:sz w:val="21"/>
                <w:szCs w:val="21"/>
              </w:rPr>
            </w:pPr>
            <w:r>
              <w:rPr>
                <w:rFonts w:ascii="仿宋_GB2312" w:hAnsi="仿宋_GB2312" w:cs="仿宋_GB2312"/>
                <w:color w:val="000000"/>
                <w:sz w:val="21"/>
                <w:szCs w:val="21"/>
              </w:rPr>
              <w:t>从事APP开发</w:t>
            </w:r>
            <w:r>
              <w:rPr>
                <w:rFonts w:hint="eastAsia" w:ascii="仿宋_GB2312" w:hAnsi="仿宋_GB2312" w:cs="仿宋_GB2312"/>
                <w:color w:val="000000"/>
                <w:sz w:val="21"/>
                <w:szCs w:val="21"/>
              </w:rPr>
              <w:t>、</w:t>
            </w:r>
            <w:r>
              <w:rPr>
                <w:rFonts w:ascii="仿宋_GB2312" w:hAnsi="仿宋_GB2312" w:cs="仿宋_GB2312"/>
                <w:color w:val="000000"/>
                <w:sz w:val="21"/>
                <w:szCs w:val="21"/>
              </w:rPr>
              <w:t>技术研发工作的人员</w:t>
            </w:r>
          </w:p>
        </w:tc>
        <w:tc>
          <w:tcPr>
            <w:tcW w:w="3175" w:type="dxa"/>
          </w:tcPr>
          <w:p>
            <w:pPr>
              <w:spacing w:line="240" w:lineRule="auto"/>
              <w:ind w:firstLine="0" w:firstLineChars="0"/>
              <w:jc w:val="left"/>
              <w:rPr>
                <w:rFonts w:ascii="仿宋_GB2312" w:hAnsi="仿宋_GB2312" w:cs="仿宋_GB2312"/>
                <w:color w:val="000000"/>
                <w:sz w:val="21"/>
                <w:szCs w:val="21"/>
              </w:rPr>
            </w:pPr>
            <w:r>
              <w:rPr>
                <w:rFonts w:hint="eastAsia" w:ascii="仿宋_GB2312" w:hAnsi="仿宋_GB2312" w:cs="仿宋_GB2312"/>
                <w:color w:val="000000"/>
                <w:sz w:val="21"/>
                <w:szCs w:val="21"/>
              </w:rPr>
              <w:t>基本工资+业绩的（技术开发）2%</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 w:type="dxa"/>
            <w:tcBorders>
              <w:left w:val="nil"/>
              <w:right w:val="nil"/>
              <w:insideV w:val="nil"/>
            </w:tcBorders>
            <w:shd w:val="clear" w:color="auto" w:fill="D6E6F4" w:themeFill="accent1" w:themeFillTint="3F"/>
          </w:tcPr>
          <w:p>
            <w:pPr>
              <w:spacing w:line="240" w:lineRule="auto"/>
              <w:ind w:firstLine="0" w:firstLineChars="0"/>
              <w:jc w:val="left"/>
              <w:rPr>
                <w:rFonts w:ascii="仿宋_GB2312" w:hAnsi="仿宋_GB2312" w:cs="仿宋_GB2312"/>
                <w:b/>
                <w:bCs/>
                <w:color w:val="000000"/>
                <w:sz w:val="21"/>
                <w:szCs w:val="21"/>
              </w:rPr>
            </w:pPr>
            <w:r>
              <w:rPr>
                <w:rFonts w:ascii="仿宋_GB2312" w:hAnsi="仿宋_GB2312" w:cs="仿宋_GB2312"/>
                <w:b/>
                <w:bCs/>
                <w:color w:val="000000"/>
                <w:sz w:val="21"/>
                <w:szCs w:val="21"/>
              </w:rPr>
              <w:t>服务层</w:t>
            </w:r>
          </w:p>
        </w:tc>
        <w:tc>
          <w:tcPr>
            <w:tcW w:w="4365" w:type="dxa"/>
            <w:tcBorders>
              <w:right w:val="nil"/>
              <w:insideV w:val="nil"/>
            </w:tcBorders>
            <w:shd w:val="clear" w:color="auto" w:fill="D6E6F4" w:themeFill="accent1" w:themeFillTint="3F"/>
          </w:tcPr>
          <w:p>
            <w:pPr>
              <w:spacing w:line="240" w:lineRule="auto"/>
              <w:ind w:firstLine="0" w:firstLineChars="0"/>
              <w:jc w:val="left"/>
              <w:rPr>
                <w:rFonts w:ascii="仿宋_GB2312" w:hAnsi="仿宋_GB2312" w:cs="仿宋_GB2312"/>
                <w:color w:val="000000"/>
                <w:sz w:val="21"/>
                <w:szCs w:val="21"/>
              </w:rPr>
            </w:pPr>
            <w:r>
              <w:rPr>
                <w:rFonts w:ascii="仿宋_GB2312" w:hAnsi="仿宋_GB2312" w:cs="仿宋_GB2312"/>
                <w:color w:val="000000"/>
                <w:sz w:val="21"/>
                <w:szCs w:val="21"/>
              </w:rPr>
              <w:t>慢性疾病主治医师</w:t>
            </w:r>
          </w:p>
        </w:tc>
        <w:tc>
          <w:tcPr>
            <w:tcW w:w="3175" w:type="dxa"/>
            <w:tcBorders>
              <w:right w:val="nil"/>
              <w:insideV w:val="nil"/>
            </w:tcBorders>
            <w:shd w:val="clear" w:color="auto" w:fill="D6E6F4" w:themeFill="accent1" w:themeFillTint="3F"/>
          </w:tcPr>
          <w:p>
            <w:pPr>
              <w:spacing w:line="240" w:lineRule="auto"/>
              <w:ind w:firstLine="0" w:firstLineChars="0"/>
              <w:jc w:val="left"/>
              <w:rPr>
                <w:rFonts w:ascii="仿宋_GB2312" w:hAnsi="仿宋_GB2312" w:cs="仿宋_GB2312"/>
                <w:color w:val="000000"/>
                <w:sz w:val="21"/>
                <w:szCs w:val="21"/>
              </w:rPr>
            </w:pPr>
            <w:r>
              <w:rPr>
                <w:rFonts w:ascii="仿宋_GB2312" w:hAnsi="仿宋_GB2312" w:cs="仿宋_GB2312"/>
                <w:color w:val="000000"/>
                <w:sz w:val="21"/>
                <w:szCs w:val="21"/>
              </w:rPr>
              <w:t>入驻费</w:t>
            </w:r>
            <w:r>
              <w:rPr>
                <w:rFonts w:hint="eastAsia" w:ascii="仿宋_GB2312" w:hAnsi="仿宋_GB2312" w:cs="仿宋_GB2312"/>
                <w:color w:val="000000"/>
                <w:sz w:val="21"/>
                <w:szCs w:val="21"/>
              </w:rPr>
              <w:t>+</w:t>
            </w:r>
            <w:r>
              <w:rPr>
                <w:rFonts w:ascii="仿宋_GB2312" w:hAnsi="仿宋_GB2312" w:cs="仿宋_GB2312"/>
                <w:color w:val="000000"/>
                <w:sz w:val="21"/>
                <w:szCs w:val="21"/>
              </w:rPr>
              <w:t>医疗服务费</w:t>
            </w:r>
          </w:p>
        </w:tc>
      </w:tr>
    </w:tbl>
    <w:p>
      <w:pPr>
        <w:spacing w:line="240" w:lineRule="auto"/>
        <w:ind w:firstLine="0" w:firstLineChars="0"/>
        <w:jc w:val="left"/>
        <w:rPr>
          <w:rFonts w:ascii="仿宋_GB2312" w:hAnsi="仿宋_GB2312" w:cs="仿宋_GB2312"/>
          <w:color w:val="000000"/>
          <w:sz w:val="21"/>
          <w:szCs w:val="21"/>
        </w:rPr>
      </w:pPr>
      <w:r>
        <w:rPr>
          <w:rFonts w:hint="eastAsia" w:ascii="仿宋_GB2312" w:hAnsi="仿宋_GB2312" w:cs="仿宋_GB2312"/>
          <w:color w:val="000000"/>
          <w:sz w:val="21"/>
          <w:szCs w:val="21"/>
        </w:rPr>
        <w:t>注：技术员业绩的2%是指在新技术投入市场后一年内带来的收入的2%。</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在薪酬制度之外，公司秉持“以人为本”的理念设置了一系列的福利制度，包括社会保险及公积金、商业保险、节日福利以及餐饮娱乐设施建设等等。</w:t>
      </w:r>
    </w:p>
    <w:bookmarkEnd w:id="117"/>
    <w:bookmarkEnd w:id="118"/>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2.离职与退休员工</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对于在本公司工作三年以上的离职和退休员工，将获得公司制作的工作纪念手册一份和一定的资金补贴。</w:t>
      </w:r>
    </w:p>
    <w:p>
      <w:pPr>
        <w:tabs>
          <w:tab w:val="center" w:pos="4434"/>
        </w:tabs>
        <w:spacing w:line="500" w:lineRule="exact"/>
        <w:ind w:firstLine="0" w:firstLineChars="0"/>
        <w:jc w:val="left"/>
        <w:outlineLvl w:val="2"/>
        <w:rPr>
          <w:rFonts w:ascii="黑体" w:hAnsi="黑体" w:eastAsia="黑体" w:cs="Times New Roman"/>
        </w:rPr>
      </w:pPr>
      <w:bookmarkStart w:id="124" w:name="_Toc61100241"/>
      <w:r>
        <w:rPr>
          <w:rFonts w:hint="eastAsia" w:ascii="黑体" w:hAnsi="黑体" w:eastAsia="黑体" w:cs="Times New Roman"/>
        </w:rPr>
        <w:t>6.4.5员工激励机制</w:t>
      </w:r>
      <w:bookmarkEnd w:id="124"/>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1.股权激励机制</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通过量化绩效的考核，将员工分为三个类别：第一类为APP技术开发专业人才，占20%；第二类为中高层管理人员，占65%，变动弹性较大；第三类为责任心较差，面临裁掉的员工，占15%。根据上述分类，公司第一类员工和第二类员工的50％将得到股票期权。</w:t>
      </w:r>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2.目标激励</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通过推行目标责任制，将企业经济指标层层落实，促使每个员工既有目标又有压力，从而让员工产生努力完成任务的强烈动力。</w:t>
      </w:r>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3.示范激励</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通过各级主管的行为示范、敬业精神来正面影响员工。</w:t>
      </w:r>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4.尊重激励</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尊重各级员工的价值取向和独立人格，尤其尊重企业的小人物和普通员工，达到一种知恩必报的效果。</w:t>
      </w:r>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5.参与激励</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建立员工参与管理、提出合理化建议的制度和职工持股制度，提高员工主人翁参与意识。</w:t>
      </w:r>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6.荣誉激励</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对员工劳动态度和贡献予以荣誉奖励，如会议表彰、发给荣誉证书、光荣榜、在公司内外媒体上的宣传报导、家访慰问、浏览观光、疗养、外出培训进修、推荐获取社会荣誉、评选星级标兵等。</w:t>
      </w:r>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7.物质激励</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增加员工的工资、生活福利、保险，发放奖金、奖励住房、生活用品、工资晋级。</w:t>
      </w:r>
    </w:p>
    <w:p>
      <w:pPr>
        <w:tabs>
          <w:tab w:val="center" w:pos="4434"/>
        </w:tabs>
        <w:spacing w:line="500" w:lineRule="exact"/>
        <w:ind w:firstLine="0" w:firstLineChars="0"/>
        <w:jc w:val="left"/>
        <w:outlineLvl w:val="2"/>
        <w:rPr>
          <w:rFonts w:ascii="黑体" w:hAnsi="黑体" w:eastAsia="黑体" w:cs="Times New Roman"/>
        </w:rPr>
      </w:pPr>
      <w:bookmarkStart w:id="125" w:name="_Toc61100242"/>
      <w:r>
        <w:rPr>
          <w:rFonts w:hint="eastAsia" w:ascii="黑体" w:hAnsi="黑体" w:eastAsia="黑体" w:cs="Times New Roman"/>
        </w:rPr>
        <w:t>6.4.6员工关系管理</w:t>
      </w:r>
      <w:bookmarkEnd w:id="125"/>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对任何一个企业来说，建立积极正向的员工关系可以吸引且留住优良员工、提高员工生产力、增加员工对企业的忠诚度、提升工作士气、提升公司绩效、降低旷工、缺席率。如果企业沟通渠道不畅，缺乏必要的反馈，将会引起很多矛盾，进而导致员工工作热情和积极性下降，影响工作效率。因此企业需要通过建立制度而不是通过人治来建立积极正向的员工关系，从而避免在管理中的随意性。公司管理者可以通过以下四种管理方式对下属进行有效的管理：</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1）管理者应当根据员工是否能够完成任务为标准来进行工作分配。了解员工的优势和劣势合理分配任务，从而让员工认为他们的贡献在某种程度上是独一无二的、特别的或具有创造性的，增加员工对企业的认同感，使其更加积极地工作，并且逐渐成为企业比较重要的资产。</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（2）管理者需要对自己的时间进行管理。员工非常重视自己的时间，如果时间不能很好地利用，员工可能感觉到管理者在费自己的时间。</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（3）管理者要善于管理冲突。员工间的冲突对企业绩效具有负向影响，管理者应加强与员工的沟通，有效缓解员工间矛盾与冲突提高企业绩效。</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（4）管理者应重视与离职者的面谈。离职面谈是发现员工真实感受的有效方式，可以识别公司存在的管理问题。企业应根据离职面谈的反馈及时解决公司管理存在的问题。</w:t>
      </w:r>
    </w:p>
    <w:p>
      <w:pPr>
        <w:pStyle w:val="84"/>
        <w:ind w:firstLine="480"/>
        <w:rPr>
          <w:rFonts w:ascii="仿宋_GB2312" w:hAnsi="仿宋_GB2312" w:eastAsia="仿宋_GB2312" w:cs="仿宋_GB2312"/>
          <w:b w:val="0"/>
          <w:color w:val="000000"/>
          <w:sz w:val="24"/>
          <w:szCs w:val="28"/>
        </w:rPr>
        <w:sectPr>
          <w:pgSz w:w="11906" w:h="16838"/>
          <w:pgMar w:top="1440" w:right="1800" w:bottom="1440" w:left="1800" w:header="851" w:footer="992" w:gutter="0"/>
          <w:cols w:space="425" w:num="1"/>
          <w:docGrid w:type="lines" w:linePitch="381" w:charSpace="0"/>
        </w:sectPr>
      </w:pPr>
      <w:bookmarkStart w:id="126" w:name="_Toc10923"/>
      <w:bookmarkStart w:id="127" w:name="_Toc4788790"/>
    </w:p>
    <w:p>
      <w:pPr>
        <w:pStyle w:val="83"/>
        <w:ind w:firstLine="180" w:firstLineChars="45"/>
        <w:outlineLvl w:val="0"/>
        <w:rPr>
          <w:rFonts w:ascii="黑体" w:hAnsi="黑体" w:eastAsia="黑体"/>
          <w:sz w:val="40"/>
          <w:szCs w:val="40"/>
        </w:rPr>
      </w:pPr>
      <w:bookmarkStart w:id="128" w:name="_Toc61100243"/>
      <w:r>
        <w:rPr>
          <w:rFonts w:hint="eastAsia" w:ascii="黑体" w:hAnsi="黑体" w:eastAsia="黑体"/>
          <w:sz w:val="40"/>
          <w:szCs w:val="40"/>
        </w:rPr>
        <w:t>第七章 投资分析</w:t>
      </w:r>
      <w:bookmarkEnd w:id="128"/>
    </w:p>
    <w:bookmarkEnd w:id="126"/>
    <w:bookmarkEnd w:id="127"/>
    <w:p>
      <w:pPr>
        <w:pStyle w:val="84"/>
        <w:ind w:firstLine="0" w:firstLineChars="0"/>
        <w:outlineLvl w:val="1"/>
        <w:rPr>
          <w:rFonts w:ascii="黑体" w:hAnsi="黑体"/>
          <w:b w:val="0"/>
          <w:sz w:val="30"/>
          <w:szCs w:val="30"/>
        </w:rPr>
      </w:pPr>
      <w:bookmarkStart w:id="129" w:name="_Toc61100244"/>
      <w:bookmarkStart w:id="130" w:name="_Toc13577"/>
      <w:bookmarkStart w:id="131" w:name="_Toc4788791"/>
      <w:r>
        <w:rPr>
          <w:rFonts w:hint="eastAsia" w:ascii="黑体" w:hAnsi="黑体"/>
          <w:b w:val="0"/>
          <w:sz w:val="30"/>
          <w:szCs w:val="30"/>
        </w:rPr>
        <w:t>7.1公司资本结构</w:t>
      </w:r>
      <w:bookmarkEnd w:id="129"/>
    </w:p>
    <w:p>
      <w:pPr>
        <w:ind w:firstLine="480"/>
        <w:jc w:val="left"/>
        <w:rPr>
          <w:rFonts w:ascii="仿宋_GB2312" w:hAnsi="仿宋_GB2312" w:cs="仿宋_GB2312"/>
          <w:color w:val="000000"/>
          <w:sz w:val="24"/>
          <w:szCs w:val="28"/>
        </w:rPr>
      </w:pPr>
      <w:r>
        <w:rPr>
          <w:rFonts w:ascii="仿宋_GB2312" w:hAnsi="仿宋_GB2312" w:cs="仿宋_GB2312"/>
          <w:color w:val="000000"/>
          <w:sz w:val="24"/>
          <w:szCs w:val="28"/>
        </w:rPr>
        <w:drawing>
          <wp:anchor distT="0" distB="0" distL="114300" distR="114300" simplePos="0" relativeHeight="251674624" behindDoc="0" locked="0" layoutInCell="1" allowOverlap="1">
            <wp:simplePos x="0" y="0"/>
            <wp:positionH relativeFrom="margin">
              <wp:align>center</wp:align>
            </wp:positionH>
            <wp:positionV relativeFrom="paragraph">
              <wp:posOffset>1061085</wp:posOffset>
            </wp:positionV>
            <wp:extent cx="2223135" cy="2054225"/>
            <wp:effectExtent l="0" t="0" r="5715" b="3175"/>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53">
                      <a:extLst>
                        <a:ext uri="{28A0092B-C50C-407E-A947-70E740481C1C}">
                          <a14:useLocalDpi xmlns:a14="http://schemas.microsoft.com/office/drawing/2010/main" val="0"/>
                        </a:ext>
                      </a:extLst>
                    </a:blip>
                    <a:srcRect l="5962" t="8982" r="4867"/>
                    <a:stretch>
                      <a:fillRect/>
                    </a:stretch>
                  </pic:blipFill>
                  <pic:spPr>
                    <a:xfrm>
                      <a:off x="0" y="0"/>
                      <a:ext cx="2233036" cy="2063314"/>
                    </a:xfrm>
                    <a:prstGeom prst="rect">
                      <a:avLst/>
                    </a:prstGeom>
                    <a:noFill/>
                    <a:ln>
                      <a:noFill/>
                    </a:ln>
                  </pic:spPr>
                </pic:pic>
              </a:graphicData>
            </a:graphic>
          </wp:anchor>
        </w:drawing>
      </w:r>
      <w:r>
        <w:rPr>
          <w:rFonts w:hint="eastAsia" w:ascii="仿宋_GB2312" w:hAnsi="仿宋_GB2312" w:cs="仿宋_GB2312"/>
          <w:color w:val="000000"/>
          <w:sz w:val="24"/>
          <w:szCs w:val="28"/>
        </w:rPr>
        <w:t>根据现行同类移动医疗APP开发企业相关数据估算，公司正常运转需要3000万元资金，主要用于APP推广、APP研发测试、人员工资及补贴、医生责任险购买及保证足够的流动资金来维持公司的运营周转。公司资本结构如图7-1、表7-1所示。</w:t>
      </w:r>
    </w:p>
    <w:p>
      <w:pPr>
        <w:spacing w:line="240" w:lineRule="auto"/>
        <w:ind w:firstLine="0" w:firstLineChars="0"/>
        <w:jc w:val="left"/>
        <w:rPr>
          <w:rFonts w:ascii="仿宋_GB2312" w:hAnsi="仿宋_GB2312" w:cs="仿宋_GB2312"/>
          <w:color w:val="000000"/>
          <w:sz w:val="24"/>
          <w:szCs w:val="28"/>
        </w:rPr>
      </w:pPr>
    </w:p>
    <w:p>
      <w:pPr>
        <w:spacing w:line="240" w:lineRule="auto"/>
        <w:ind w:firstLine="0" w:firstLineChars="0"/>
        <w:jc w:val="left"/>
        <w:rPr>
          <w:rFonts w:ascii="仿宋_GB2312" w:hAnsi="仿宋_GB2312" w:cs="仿宋_GB2312"/>
          <w:color w:val="000000"/>
          <w:sz w:val="24"/>
          <w:szCs w:val="28"/>
        </w:rPr>
      </w:pPr>
    </w:p>
    <w:p>
      <w:pPr>
        <w:ind w:firstLine="480"/>
        <w:jc w:val="left"/>
        <w:rPr>
          <w:rFonts w:ascii="仿宋_GB2312" w:hAnsi="仿宋_GB2312" w:cs="仿宋_GB2312"/>
          <w:color w:val="000000"/>
          <w:sz w:val="24"/>
          <w:szCs w:val="28"/>
        </w:rPr>
      </w:pPr>
    </w:p>
    <w:p>
      <w:pPr>
        <w:ind w:firstLine="480"/>
        <w:jc w:val="left"/>
        <w:rPr>
          <w:rFonts w:ascii="仿宋_GB2312" w:hAnsi="仿宋_GB2312" w:cs="仿宋_GB2312"/>
          <w:color w:val="000000"/>
          <w:sz w:val="24"/>
          <w:szCs w:val="28"/>
        </w:rPr>
      </w:pPr>
    </w:p>
    <w:p>
      <w:pPr>
        <w:ind w:firstLine="480"/>
        <w:jc w:val="left"/>
        <w:rPr>
          <w:rFonts w:ascii="仿宋_GB2312" w:hAnsi="仿宋_GB2312" w:cs="仿宋_GB2312"/>
          <w:color w:val="000000"/>
          <w:sz w:val="24"/>
          <w:szCs w:val="28"/>
        </w:rPr>
      </w:pPr>
    </w:p>
    <w:p>
      <w:pPr>
        <w:ind w:firstLine="480"/>
        <w:jc w:val="left"/>
        <w:rPr>
          <w:rFonts w:ascii="仿宋_GB2312" w:hAnsi="仿宋_GB2312" w:cs="仿宋_GB2312"/>
          <w:color w:val="000000"/>
          <w:sz w:val="24"/>
          <w:szCs w:val="28"/>
        </w:rPr>
      </w:pPr>
    </w:p>
    <w:p>
      <w:pPr>
        <w:ind w:firstLine="480"/>
        <w:jc w:val="left"/>
        <w:rPr>
          <w:rFonts w:ascii="仿宋_GB2312" w:hAnsi="仿宋_GB2312" w:cs="仿宋_GB2312"/>
          <w:color w:val="000000"/>
          <w:sz w:val="24"/>
          <w:szCs w:val="28"/>
        </w:rPr>
      </w:pPr>
    </w:p>
    <w:p>
      <w:pPr>
        <w:ind w:firstLine="480"/>
        <w:jc w:val="left"/>
        <w:rPr>
          <w:rFonts w:ascii="仿宋_GB2312" w:hAnsi="仿宋_GB2312" w:cs="仿宋_GB2312"/>
          <w:color w:val="000000"/>
          <w:sz w:val="24"/>
          <w:szCs w:val="28"/>
        </w:rPr>
      </w:pPr>
    </w:p>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图7-1 公司资本结构图</w:t>
      </w:r>
    </w:p>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表</w:t>
      </w:r>
      <w:r>
        <w:rPr>
          <w:rFonts w:hint="eastAsia" w:ascii="仿宋_GB2312" w:hAnsi="仿宋_GB2312" w:cs="仿宋_GB2312"/>
          <w:color w:val="000000"/>
          <w:sz w:val="21"/>
          <w:szCs w:val="21"/>
        </w:rPr>
        <w:t>7-1 公司初期资本结构图</w:t>
      </w:r>
    </w:p>
    <w:tbl>
      <w:tblPr>
        <w:tblStyle w:val="28"/>
        <w:tblW w:w="0" w:type="auto"/>
        <w:jc w:val="center"/>
        <w:tblBorders>
          <w:top w:val="single" w:color="5B9BD5" w:themeColor="accent1" w:sz="8" w:space="0"/>
          <w:left w:val="single" w:color="5B9BD5" w:themeColor="accent1" w:sz="8" w:space="0"/>
          <w:bottom w:val="single" w:color="5B9BD5" w:themeColor="accent1" w:sz="8" w:space="0"/>
          <w:right w:val="single" w:color="5B9BD5"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1814"/>
        <w:gridCol w:w="1474"/>
        <w:gridCol w:w="1474"/>
        <w:gridCol w:w="1474"/>
        <w:gridCol w:w="1474"/>
      </w:tblGrid>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814" w:type="dxa"/>
            <w:shd w:val="clear" w:color="auto" w:fill="5B9BD5" w:themeFill="accent1"/>
          </w:tcPr>
          <w:p>
            <w:pPr>
              <w:spacing w:before="0" w:after="0" w:line="240" w:lineRule="auto"/>
              <w:ind w:firstLine="0" w:firstLineChars="0"/>
              <w:jc w:val="center"/>
              <w:rPr>
                <w:rFonts w:ascii="仿宋_GB2312" w:hAnsi="仿宋_GB2312" w:cs="仿宋_GB2312"/>
                <w:b/>
                <w:bCs/>
                <w:color w:val="000000"/>
                <w:sz w:val="21"/>
                <w:szCs w:val="21"/>
              </w:rPr>
            </w:pPr>
          </w:p>
        </w:tc>
        <w:tc>
          <w:tcPr>
            <w:tcW w:w="1474" w:type="dxa"/>
            <w:shd w:val="clear" w:color="auto" w:fill="5B9BD5" w:themeFill="accent1"/>
          </w:tcPr>
          <w:p>
            <w:pPr>
              <w:spacing w:before="0" w:after="0"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团队自筹</w:t>
            </w:r>
          </w:p>
        </w:tc>
        <w:tc>
          <w:tcPr>
            <w:tcW w:w="1474" w:type="dxa"/>
            <w:shd w:val="clear" w:color="auto" w:fill="5B9BD5" w:themeFill="accent1"/>
          </w:tcPr>
          <w:p>
            <w:pPr>
              <w:spacing w:before="0" w:after="0"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风险投资</w:t>
            </w:r>
          </w:p>
        </w:tc>
        <w:tc>
          <w:tcPr>
            <w:tcW w:w="1474" w:type="dxa"/>
            <w:shd w:val="clear" w:color="auto" w:fill="5B9BD5" w:themeFill="accent1"/>
          </w:tcPr>
          <w:p>
            <w:pPr>
              <w:spacing w:before="0" w:after="0"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银行贷款</w:t>
            </w:r>
          </w:p>
        </w:tc>
        <w:tc>
          <w:tcPr>
            <w:tcW w:w="1474" w:type="dxa"/>
            <w:shd w:val="clear" w:color="auto" w:fill="5B9BD5" w:themeFill="accent1"/>
          </w:tcPr>
          <w:p>
            <w:pPr>
              <w:spacing w:before="0" w:after="0"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合计</w:t>
            </w:r>
          </w:p>
        </w:tc>
      </w:tr>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op w:val="single" w:color="5B9BD5" w:themeColor="accent1" w:sz="8" w:space="0"/>
              <w:left w:val="single" w:color="5B9BD5" w:themeColor="accent1" w:sz="8" w:space="0"/>
              <w:bottom w:val="single" w:color="5B9BD5" w:themeColor="accent1" w:sz="8" w:space="0"/>
              <w:insideH w:val="single" w:sz="8" w:space="0"/>
            </w:tcBorders>
          </w:tcPr>
          <w:p>
            <w:pPr>
              <w:spacing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金额</w:t>
            </w:r>
            <w:r>
              <w:rPr>
                <w:rFonts w:hint="eastAsia" w:ascii="仿宋_GB2312" w:hAnsi="仿宋_GB2312" w:cs="仿宋_GB2312"/>
                <w:b/>
                <w:bCs/>
                <w:color w:val="000000"/>
                <w:sz w:val="21"/>
                <w:szCs w:val="21"/>
              </w:rPr>
              <w:t>（万元））</w:t>
            </w:r>
          </w:p>
        </w:tc>
        <w:tc>
          <w:tcPr>
            <w:tcW w:w="1474" w:type="dxa"/>
            <w:tcBorders>
              <w:top w:val="single" w:color="5B9BD5" w:themeColor="accent1" w:sz="8" w:space="0"/>
              <w:bottom w:val="single" w:color="5B9BD5" w:themeColor="accent1" w:sz="8" w:space="0"/>
              <w:insideH w:val="single" w:sz="8" w:space="0"/>
            </w:tcBorders>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200</w:t>
            </w:r>
          </w:p>
        </w:tc>
        <w:tc>
          <w:tcPr>
            <w:tcW w:w="1474" w:type="dxa"/>
            <w:tcBorders>
              <w:top w:val="single" w:color="5B9BD5" w:themeColor="accent1" w:sz="8" w:space="0"/>
              <w:bottom w:val="single" w:color="5B9BD5" w:themeColor="accent1" w:sz="8" w:space="0"/>
              <w:insideH w:val="single" w:sz="8" w:space="0"/>
            </w:tcBorders>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2000</w:t>
            </w:r>
          </w:p>
        </w:tc>
        <w:tc>
          <w:tcPr>
            <w:tcW w:w="1474" w:type="dxa"/>
            <w:tcBorders>
              <w:top w:val="single" w:color="5B9BD5" w:themeColor="accent1" w:sz="8" w:space="0"/>
              <w:bottom w:val="single" w:color="5B9BD5" w:themeColor="accent1" w:sz="8" w:space="0"/>
              <w:insideH w:val="single" w:sz="8" w:space="0"/>
            </w:tcBorders>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800</w:t>
            </w:r>
          </w:p>
        </w:tc>
        <w:tc>
          <w:tcPr>
            <w:tcW w:w="1474" w:type="dxa"/>
            <w:tcBorders>
              <w:top w:val="single" w:color="5B9BD5" w:themeColor="accent1" w:sz="8" w:space="0"/>
              <w:bottom w:val="single" w:color="5B9BD5" w:themeColor="accent1" w:sz="8" w:space="0"/>
              <w:right w:val="single" w:color="5B9BD5" w:themeColor="accent1" w:sz="8" w:space="0"/>
              <w:insideH w:val="single" w:sz="8" w:space="0"/>
            </w:tcBorders>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3000</w:t>
            </w:r>
          </w:p>
        </w:tc>
      </w:tr>
      <w:tr>
        <w:tblPrEx>
          <w:tblBorders>
            <w:top w:val="single" w:color="5B9BD5" w:themeColor="accent1" w:sz="8" w:space="0"/>
            <w:left w:val="single" w:color="5B9BD5" w:themeColor="accent1" w:sz="8" w:space="0"/>
            <w:bottom w:val="single" w:color="5B9BD5" w:themeColor="accent1" w:sz="8" w:space="0"/>
            <w:right w:val="single" w:color="5B9BD5"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Pr>
          <w:p>
            <w:pPr>
              <w:spacing w:line="24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比例</w:t>
            </w:r>
          </w:p>
        </w:tc>
        <w:tc>
          <w:tcPr>
            <w:tcW w:w="1474" w:type="dxa"/>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6.67%</w:t>
            </w:r>
          </w:p>
        </w:tc>
        <w:tc>
          <w:tcPr>
            <w:tcW w:w="1474" w:type="dxa"/>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66.67%</w:t>
            </w:r>
          </w:p>
        </w:tc>
        <w:tc>
          <w:tcPr>
            <w:tcW w:w="1474" w:type="dxa"/>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26.67%</w:t>
            </w:r>
          </w:p>
        </w:tc>
        <w:tc>
          <w:tcPr>
            <w:tcW w:w="1474" w:type="dxa"/>
          </w:tcPr>
          <w:p>
            <w:pPr>
              <w:spacing w:line="240" w:lineRule="auto"/>
              <w:ind w:firstLine="0" w:firstLineChars="0"/>
              <w:jc w:val="center"/>
              <w:rPr>
                <w:rFonts w:ascii="仿宋_GB2312" w:hAnsi="仿宋_GB2312" w:cs="仿宋_GB2312"/>
                <w:color w:val="000000"/>
                <w:sz w:val="21"/>
                <w:szCs w:val="21"/>
              </w:rPr>
            </w:pPr>
            <w:r>
              <w:rPr>
                <w:rFonts w:hint="eastAsia" w:ascii="仿宋_GB2312" w:hAnsi="仿宋_GB2312" w:cs="仿宋_GB2312"/>
                <w:color w:val="000000"/>
                <w:sz w:val="21"/>
                <w:szCs w:val="21"/>
              </w:rPr>
              <w:t>100%</w:t>
            </w:r>
          </w:p>
        </w:tc>
      </w:tr>
    </w:tbl>
    <w:p>
      <w:pPr>
        <w:spacing w:line="240" w:lineRule="auto"/>
        <w:ind w:firstLine="0" w:firstLineChars="0"/>
        <w:jc w:val="left"/>
        <w:rPr>
          <w:rFonts w:ascii="仿宋_GB2312" w:hAnsi="仿宋_GB2312" w:cs="仿宋_GB2312"/>
          <w:color w:val="000000"/>
          <w:sz w:val="21"/>
          <w:szCs w:val="21"/>
        </w:rPr>
      </w:pPr>
      <w:r>
        <w:rPr>
          <w:rFonts w:hint="eastAsia" w:ascii="仿宋_GB2312" w:hAnsi="仿宋_GB2312" w:cs="仿宋_GB2312"/>
          <w:color w:val="000000"/>
          <w:sz w:val="21"/>
          <w:szCs w:val="21"/>
        </w:rPr>
        <w:t>注：由于本企业在初创期属于小型微利企业，根据《关于进一步做好小微企业贷款减免政策贯彻落实工作的通知》（财税{2017}78号），初创型小微企业可享受无息贷款优惠政策。</w:t>
      </w:r>
    </w:p>
    <w:p>
      <w:pPr>
        <w:spacing w:line="240" w:lineRule="auto"/>
        <w:ind w:firstLine="0" w:firstLineChars="0"/>
        <w:jc w:val="left"/>
        <w:rPr>
          <w:rFonts w:ascii="仿宋_GB2312" w:hAnsi="仿宋_GB2312" w:cs="仿宋_GB2312"/>
          <w:color w:val="000000"/>
          <w:sz w:val="21"/>
          <w:szCs w:val="21"/>
        </w:rPr>
      </w:pPr>
    </w:p>
    <w:bookmarkEnd w:id="130"/>
    <w:bookmarkEnd w:id="131"/>
    <w:p>
      <w:pPr>
        <w:pStyle w:val="84"/>
        <w:ind w:firstLine="0" w:firstLineChars="0"/>
        <w:outlineLvl w:val="1"/>
        <w:rPr>
          <w:rFonts w:ascii="黑体" w:hAnsi="黑体"/>
          <w:b w:val="0"/>
          <w:sz w:val="30"/>
          <w:szCs w:val="30"/>
        </w:rPr>
      </w:pPr>
      <w:bookmarkStart w:id="132" w:name="_Toc61100245"/>
      <w:r>
        <w:rPr>
          <w:rFonts w:hint="eastAsia" w:ascii="黑体" w:hAnsi="黑体"/>
          <w:b w:val="0"/>
          <w:sz w:val="30"/>
          <w:szCs w:val="30"/>
        </w:rPr>
        <w:t>7.2资金筹措</w:t>
      </w:r>
      <w:bookmarkEnd w:id="132"/>
    </w:p>
    <w:p>
      <w:pPr>
        <w:ind w:firstLine="480"/>
        <w:rPr>
          <w:rFonts w:ascii="仿宋_GB2312" w:hAnsi="仿宋_GB2312" w:cs="仿宋_GB2312"/>
          <w:color w:val="000000"/>
          <w:sz w:val="24"/>
          <w:szCs w:val="28"/>
        </w:rPr>
      </w:pPr>
      <w:r>
        <w:rPr>
          <w:rFonts w:hint="eastAsia" w:ascii="仿宋_GB2312" w:hAnsi="仿宋_GB2312" w:cs="仿宋_GB2312"/>
          <w:color w:val="000000"/>
          <w:sz w:val="24"/>
          <w:szCs w:val="28"/>
        </w:rPr>
        <w:t>项目投资共需要资金3000万元，主要来自于权益资本和债务资本。其中权益资本为团队自筹和风险投资者投资；债务资本为银行贷款。整个项目将采取团队自筹+风险投资+银行贷款+滚动投资的方法。</w:t>
      </w:r>
    </w:p>
    <w:p>
      <w:pPr>
        <w:tabs>
          <w:tab w:val="center" w:pos="4434"/>
        </w:tabs>
        <w:spacing w:line="500" w:lineRule="exact"/>
        <w:ind w:firstLine="0" w:firstLineChars="0"/>
        <w:jc w:val="left"/>
        <w:outlineLvl w:val="2"/>
        <w:rPr>
          <w:rFonts w:ascii="黑体" w:hAnsi="黑体" w:eastAsia="黑体" w:cs="Times New Roman"/>
        </w:rPr>
      </w:pPr>
      <w:bookmarkStart w:id="133" w:name="_Toc61100246"/>
      <w:r>
        <w:rPr>
          <w:rFonts w:hint="eastAsia" w:ascii="黑体" w:hAnsi="黑体" w:eastAsia="黑体" w:cs="Times New Roman"/>
        </w:rPr>
        <w:t>7.2.1前期资金筹措</w:t>
      </w:r>
      <w:bookmarkEnd w:id="133"/>
    </w:p>
    <w:p>
      <w:pPr>
        <w:ind w:firstLine="482"/>
        <w:rPr>
          <w:rFonts w:ascii="仿宋_GB2312" w:hAnsi="仿宋_GB2312" w:cs="仿宋_GB2312"/>
          <w:b/>
          <w:color w:val="000000"/>
          <w:sz w:val="24"/>
          <w:szCs w:val="28"/>
        </w:rPr>
      </w:pPr>
      <w:r>
        <w:rPr>
          <w:rFonts w:hint="eastAsia" w:ascii="仿宋_GB2312" w:hAnsi="仿宋_GB2312" w:cs="仿宋_GB2312"/>
          <w:b/>
          <w:color w:val="000000"/>
          <w:sz w:val="24"/>
          <w:szCs w:val="28"/>
        </w:rPr>
        <w:t>1.团队自筹</w:t>
      </w:r>
    </w:p>
    <w:p>
      <w:pPr>
        <w:ind w:firstLine="480"/>
        <w:rPr>
          <w:rFonts w:ascii="仿宋_GB2312" w:hAnsi="仿宋_GB2312" w:cs="仿宋_GB2312"/>
          <w:color w:val="000000"/>
          <w:sz w:val="24"/>
          <w:szCs w:val="28"/>
        </w:rPr>
      </w:pPr>
      <w:r>
        <w:rPr>
          <w:rFonts w:hint="eastAsia" w:ascii="仿宋_GB2312" w:hAnsi="仿宋_GB2312" w:cs="仿宋_GB2312"/>
          <w:color w:val="000000"/>
          <w:sz w:val="24"/>
          <w:szCs w:val="28"/>
        </w:rPr>
        <w:t>创业前期，公司借款能力有限和没有定期偿还贷款和利息的实力，因此仍需要通过团队内部自筹来获取投资所需的少量资金。</w:t>
      </w:r>
    </w:p>
    <w:p>
      <w:pPr>
        <w:ind w:firstLine="482"/>
        <w:rPr>
          <w:rFonts w:ascii="仿宋_GB2312" w:hAnsi="仿宋_GB2312" w:cs="仿宋_GB2312"/>
          <w:b/>
          <w:color w:val="000000"/>
          <w:sz w:val="24"/>
          <w:szCs w:val="28"/>
        </w:rPr>
      </w:pPr>
      <w:r>
        <w:rPr>
          <w:rFonts w:hint="eastAsia" w:ascii="仿宋_GB2312" w:hAnsi="仿宋_GB2312" w:cs="仿宋_GB2312"/>
          <w:b/>
          <w:color w:val="000000"/>
          <w:sz w:val="24"/>
          <w:szCs w:val="28"/>
        </w:rPr>
        <w:t>2.风险投资</w:t>
      </w:r>
    </w:p>
    <w:p>
      <w:pPr>
        <w:ind w:firstLine="480"/>
        <w:rPr>
          <w:rFonts w:ascii="仿宋_GB2312" w:hAnsi="仿宋_GB2312" w:cs="仿宋_GB2312"/>
          <w:color w:val="000000"/>
          <w:sz w:val="24"/>
          <w:szCs w:val="28"/>
        </w:rPr>
      </w:pPr>
      <w:r>
        <w:rPr>
          <w:rFonts w:hint="eastAsia" w:ascii="仿宋_GB2312" w:hAnsi="仿宋_GB2312" w:cs="仿宋_GB2312"/>
          <w:color w:val="000000"/>
          <w:sz w:val="24"/>
          <w:szCs w:val="28"/>
        </w:rPr>
        <w:t>风险投资，是指对处于初创期和成长期的中小企业进行股权或债券投资，并参与企业经营管理，以获得高回报。在我国，有专门从事风险投资的金融机构和企业，风险投资已成为初创期微小企业融资的重要渠道。由于创业前期团队自筹资金有限和向银行贷款的能力有限，因此大部分项目投资所需资金需要风险投资者进行投资。</w:t>
      </w:r>
    </w:p>
    <w:p>
      <w:pPr>
        <w:tabs>
          <w:tab w:val="center" w:pos="4434"/>
        </w:tabs>
        <w:spacing w:line="500" w:lineRule="exact"/>
        <w:ind w:firstLine="0" w:firstLineChars="0"/>
        <w:jc w:val="left"/>
        <w:outlineLvl w:val="2"/>
        <w:rPr>
          <w:rFonts w:ascii="黑体" w:hAnsi="黑体" w:eastAsia="黑体" w:cs="Times New Roman"/>
        </w:rPr>
      </w:pPr>
      <w:bookmarkStart w:id="134" w:name="_Toc61100247"/>
      <w:r>
        <w:rPr>
          <w:rFonts w:hint="eastAsia" w:ascii="黑体" w:hAnsi="黑体" w:eastAsia="黑体" w:cs="Times New Roman"/>
        </w:rPr>
        <w:t>7.2.2中后期资金筹措</w:t>
      </w:r>
      <w:bookmarkEnd w:id="134"/>
    </w:p>
    <w:p>
      <w:pPr>
        <w:ind w:firstLine="482"/>
        <w:rPr>
          <w:rFonts w:ascii="仿宋_GB2312" w:hAnsi="仿宋_GB2312" w:cs="仿宋_GB2312"/>
          <w:b/>
          <w:color w:val="000000"/>
          <w:sz w:val="24"/>
          <w:szCs w:val="28"/>
        </w:rPr>
      </w:pPr>
      <w:r>
        <w:rPr>
          <w:rFonts w:hint="eastAsia" w:ascii="仿宋_GB2312" w:hAnsi="仿宋_GB2312" w:cs="仿宋_GB2312"/>
          <w:b/>
          <w:color w:val="000000"/>
          <w:sz w:val="24"/>
          <w:szCs w:val="28"/>
        </w:rPr>
        <w:t>1.银行贷款</w:t>
      </w:r>
    </w:p>
    <w:p>
      <w:pPr>
        <w:ind w:firstLine="480"/>
        <w:rPr>
          <w:rFonts w:ascii="仿宋_GB2312" w:hAnsi="仿宋_GB2312" w:cs="仿宋_GB2312"/>
          <w:color w:val="000000"/>
          <w:sz w:val="24"/>
          <w:szCs w:val="28"/>
        </w:rPr>
      </w:pPr>
      <w:r>
        <w:rPr>
          <w:rFonts w:hint="eastAsia" w:ascii="仿宋_GB2312" w:hAnsi="仿宋_GB2312" w:cs="仿宋_GB2312"/>
          <w:color w:val="000000"/>
          <w:sz w:val="24"/>
          <w:szCs w:val="28"/>
        </w:rPr>
        <w:t>创业前期，公司获得风险投资者的巨额投资后，公司经济实力和发展规模将不断扩大，公司也将有稳定的营业收入。创业中后期，公司将具备向银行贷款和偿还本金、利息的能力，这时公司可通过向银行贷款而不断扩大和发展自身的业务。</w:t>
      </w:r>
    </w:p>
    <w:p>
      <w:pPr>
        <w:ind w:firstLine="482"/>
        <w:rPr>
          <w:rFonts w:ascii="仿宋_GB2312" w:hAnsi="仿宋_GB2312" w:cs="仿宋_GB2312"/>
          <w:b/>
          <w:color w:val="000000"/>
          <w:sz w:val="24"/>
          <w:szCs w:val="28"/>
        </w:rPr>
      </w:pPr>
      <w:r>
        <w:rPr>
          <w:rFonts w:hint="eastAsia" w:ascii="仿宋_GB2312" w:hAnsi="仿宋_GB2312" w:cs="仿宋_GB2312"/>
          <w:b/>
          <w:color w:val="000000"/>
          <w:sz w:val="24"/>
          <w:szCs w:val="28"/>
        </w:rPr>
        <w:t>2.自有资本再投入</w:t>
      </w:r>
    </w:p>
    <w:p>
      <w:pPr>
        <w:ind w:firstLine="480"/>
        <w:rPr>
          <w:rFonts w:hint="eastAsia" w:ascii="仿宋_GB2312" w:hAnsi="仿宋_GB2312" w:cs="仿宋_GB2312"/>
          <w:color w:val="000000"/>
          <w:sz w:val="24"/>
          <w:szCs w:val="28"/>
        </w:rPr>
      </w:pPr>
      <w:r>
        <w:rPr>
          <w:rFonts w:hint="eastAsia" w:ascii="仿宋_GB2312" w:hAnsi="仿宋_GB2312" w:cs="仿宋_GB2312"/>
          <w:color w:val="000000"/>
          <w:sz w:val="24"/>
          <w:szCs w:val="28"/>
        </w:rPr>
        <w:t>随着公司经济实力和发展规模的不断扩大，公司每年将获得稳定的营业收入。公司为了扩大发展规模和产品的市场占有份额，可将每年的营业收入作为自我资本再进行投资。</w:t>
      </w:r>
    </w:p>
    <w:p>
      <w:pPr>
        <w:ind w:firstLine="480"/>
        <w:rPr>
          <w:rFonts w:ascii="仿宋_GB2312" w:hAnsi="仿宋_GB2312" w:cs="仿宋_GB2312"/>
          <w:color w:val="000000"/>
          <w:sz w:val="24"/>
          <w:szCs w:val="28"/>
        </w:rPr>
      </w:pPr>
    </w:p>
    <w:p>
      <w:pPr>
        <w:pStyle w:val="84"/>
        <w:ind w:firstLine="0" w:firstLineChars="0"/>
        <w:outlineLvl w:val="1"/>
        <w:rPr>
          <w:rFonts w:ascii="黑体" w:hAnsi="黑体"/>
          <w:b w:val="0"/>
          <w:sz w:val="30"/>
          <w:szCs w:val="30"/>
        </w:rPr>
      </w:pPr>
      <w:bookmarkStart w:id="135" w:name="_Toc61100248"/>
      <w:r>
        <w:rPr>
          <w:rFonts w:hint="eastAsia" w:ascii="黑体" w:hAnsi="黑体"/>
          <w:b w:val="0"/>
          <w:sz w:val="30"/>
          <w:szCs w:val="30"/>
        </w:rPr>
        <w:t>7.3资金应用</w:t>
      </w:r>
      <w:bookmarkEnd w:id="135"/>
    </w:p>
    <w:p>
      <w:pPr>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表</w:t>
      </w:r>
      <w:r>
        <w:rPr>
          <w:rFonts w:hint="eastAsia" w:ascii="仿宋_GB2312" w:hAnsi="仿宋_GB2312" w:cs="仿宋_GB2312"/>
          <w:color w:val="000000"/>
          <w:sz w:val="21"/>
          <w:szCs w:val="21"/>
        </w:rPr>
        <w:t>7-2 资金运用</w:t>
      </w:r>
    </w:p>
    <w:tbl>
      <w:tblPr>
        <w:tblStyle w:val="35"/>
        <w:tblW w:w="0" w:type="auto"/>
        <w:jc w:val="center"/>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none" w:color="auto" w:sz="0" w:space="0"/>
        </w:tblBorders>
        <w:tblLayout w:type="autofit"/>
        <w:tblCellMar>
          <w:top w:w="0" w:type="dxa"/>
          <w:left w:w="108" w:type="dxa"/>
          <w:bottom w:w="0" w:type="dxa"/>
          <w:right w:w="108" w:type="dxa"/>
        </w:tblCellMar>
      </w:tblPr>
      <w:tblGrid>
        <w:gridCol w:w="3005"/>
        <w:gridCol w:w="4422"/>
      </w:tblGrid>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none" w:color="auto" w:sz="0" w:space="0"/>
          </w:tblBorders>
          <w:tblCellMar>
            <w:top w:w="0" w:type="dxa"/>
            <w:left w:w="108" w:type="dxa"/>
            <w:bottom w:w="0" w:type="dxa"/>
            <w:right w:w="108" w:type="dxa"/>
          </w:tblCellMar>
        </w:tblPrEx>
        <w:trPr>
          <w:trHeight w:val="170" w:hRule="atLeast"/>
          <w:jc w:val="center"/>
        </w:trPr>
        <w:tc>
          <w:tcPr>
            <w:tcW w:w="3005" w:type="dxa"/>
            <w:tcBorders>
              <w:top w:val="single" w:color="84B4DF" w:themeColor="accent1" w:themeTint="BF" w:sz="8" w:space="0"/>
              <w:left w:val="single" w:color="84B4DF" w:themeColor="accent1" w:themeTint="BF" w:sz="8" w:space="0"/>
              <w:bottom w:val="single" w:color="84B4DF" w:themeColor="accent1" w:themeTint="BF" w:sz="8" w:space="0"/>
              <w:right w:val="nil"/>
              <w:insideH w:val="single" w:sz="8" w:space="0"/>
              <w:insideV w:val="nil"/>
            </w:tcBorders>
            <w:shd w:val="clear" w:color="auto" w:fill="5B9BD5" w:themeFill="accent1"/>
          </w:tcPr>
          <w:p>
            <w:pPr>
              <w:spacing w:before="0" w:after="0" w:line="18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项目内容</w:t>
            </w:r>
          </w:p>
        </w:tc>
        <w:tc>
          <w:tcPr>
            <w:tcW w:w="4422" w:type="dxa"/>
            <w:tcBorders>
              <w:top w:val="single" w:color="84B4DF" w:themeColor="accent1" w:themeTint="BF" w:sz="8" w:space="0"/>
              <w:bottom w:val="single" w:color="84B4DF" w:themeColor="accent1" w:themeTint="BF" w:sz="8" w:space="0"/>
              <w:right w:val="single" w:color="84B4DF" w:themeColor="accent1" w:themeTint="BF" w:sz="8" w:space="0"/>
              <w:insideH w:val="single" w:sz="8" w:space="0"/>
              <w:insideV w:val="nil"/>
            </w:tcBorders>
            <w:shd w:val="clear" w:color="auto" w:fill="5B9BD5" w:themeFill="accent1"/>
          </w:tcPr>
          <w:p>
            <w:pPr>
              <w:spacing w:before="0" w:after="0" w:line="180" w:lineRule="auto"/>
              <w:ind w:firstLine="0" w:firstLineChars="0"/>
              <w:jc w:val="center"/>
              <w:rPr>
                <w:rFonts w:ascii="仿宋_GB2312" w:hAnsi="仿宋_GB2312" w:cs="仿宋_GB2312"/>
                <w:b/>
                <w:bCs/>
                <w:color w:val="000000"/>
                <w:sz w:val="21"/>
                <w:szCs w:val="21"/>
              </w:rPr>
            </w:pPr>
            <w:r>
              <w:rPr>
                <w:rFonts w:ascii="仿宋_GB2312" w:hAnsi="仿宋_GB2312" w:cs="仿宋_GB2312"/>
                <w:b/>
                <w:bCs/>
                <w:color w:val="000000"/>
                <w:sz w:val="21"/>
                <w:szCs w:val="21"/>
              </w:rPr>
              <w:t>费用</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none" w:color="auto" w:sz="0" w:space="0"/>
          </w:tblBorders>
          <w:tblCellMar>
            <w:top w:w="0" w:type="dxa"/>
            <w:left w:w="108" w:type="dxa"/>
            <w:bottom w:w="0" w:type="dxa"/>
            <w:right w:w="108" w:type="dxa"/>
          </w:tblCellMar>
        </w:tblPrEx>
        <w:trPr>
          <w:trHeight w:val="227" w:hRule="atLeast"/>
          <w:jc w:val="center"/>
        </w:trPr>
        <w:tc>
          <w:tcPr>
            <w:tcW w:w="3005" w:type="dxa"/>
            <w:tcBorders>
              <w:right w:val="nil"/>
              <w:insideV w:val="nil"/>
            </w:tcBorders>
            <w:shd w:val="clear" w:color="auto" w:fill="D6E6F4" w:themeFill="accent1" w:themeFillTint="3F"/>
          </w:tcPr>
          <w:p>
            <w:pPr>
              <w:spacing w:line="180" w:lineRule="auto"/>
              <w:ind w:firstLine="0" w:firstLineChars="0"/>
              <w:jc w:val="center"/>
              <w:rPr>
                <w:rFonts w:ascii="仿宋_GB2312" w:hAnsi="仿宋_GB2312" w:cs="仿宋_GB2312"/>
                <w:b/>
                <w:bCs/>
                <w:sz w:val="21"/>
                <w:szCs w:val="21"/>
              </w:rPr>
            </w:pPr>
            <w:r>
              <w:rPr>
                <w:rFonts w:ascii="仿宋_GB2312" w:hAnsi="仿宋_GB2312" w:cs="仿宋_GB2312"/>
                <w:b/>
                <w:bCs/>
                <w:sz w:val="21"/>
                <w:szCs w:val="21"/>
              </w:rPr>
              <w:t>推广费用</w:t>
            </w:r>
          </w:p>
        </w:tc>
        <w:tc>
          <w:tcPr>
            <w:tcW w:w="4422" w:type="dxa"/>
            <w:tcBorders>
              <w:insideV w:val="nil"/>
            </w:tcBorders>
            <w:shd w:val="clear" w:color="auto" w:fill="D6E6F4" w:themeFill="accent1" w:themeFillTint="3F"/>
          </w:tcPr>
          <w:p>
            <w:pPr>
              <w:spacing w:line="180" w:lineRule="auto"/>
              <w:ind w:firstLine="0" w:firstLineChars="0"/>
              <w:jc w:val="center"/>
              <w:rPr>
                <w:rFonts w:ascii="仿宋_GB2312" w:hAnsi="仿宋_GB2312" w:cs="仿宋_GB2312"/>
                <w:sz w:val="21"/>
                <w:szCs w:val="21"/>
              </w:rPr>
            </w:pPr>
            <w:r>
              <w:rPr>
                <w:rFonts w:hint="eastAsia" w:ascii="仿宋_GB2312" w:hAnsi="仿宋_GB2312" w:cs="仿宋_GB2312"/>
                <w:sz w:val="21"/>
                <w:szCs w:val="21"/>
              </w:rPr>
              <w:t>927.96</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none" w:color="auto" w:sz="0" w:space="0"/>
          </w:tblBorders>
          <w:tblCellMar>
            <w:top w:w="0" w:type="dxa"/>
            <w:left w:w="108" w:type="dxa"/>
            <w:bottom w:w="0" w:type="dxa"/>
            <w:right w:w="108" w:type="dxa"/>
          </w:tblCellMar>
        </w:tblPrEx>
        <w:trPr>
          <w:trHeight w:val="283" w:hRule="atLeast"/>
          <w:jc w:val="center"/>
        </w:trPr>
        <w:tc>
          <w:tcPr>
            <w:tcW w:w="3005" w:type="dxa"/>
            <w:tcBorders>
              <w:right w:val="nil"/>
              <w:insideV w:val="nil"/>
            </w:tcBorders>
          </w:tcPr>
          <w:p>
            <w:pPr>
              <w:spacing w:line="180" w:lineRule="auto"/>
              <w:ind w:firstLine="0" w:firstLineChars="0"/>
              <w:jc w:val="center"/>
              <w:rPr>
                <w:rFonts w:ascii="仿宋_GB2312" w:hAnsi="仿宋_GB2312" w:cs="仿宋_GB2312"/>
                <w:b/>
                <w:bCs/>
                <w:sz w:val="21"/>
                <w:szCs w:val="21"/>
              </w:rPr>
            </w:pPr>
            <w:r>
              <w:rPr>
                <w:rFonts w:ascii="仿宋_GB2312" w:hAnsi="仿宋_GB2312" w:cs="仿宋_GB2312"/>
                <w:b/>
                <w:bCs/>
                <w:sz w:val="21"/>
                <w:szCs w:val="21"/>
              </w:rPr>
              <w:t>APP研发及运营费用</w:t>
            </w:r>
          </w:p>
        </w:tc>
        <w:tc>
          <w:tcPr>
            <w:tcW w:w="4422" w:type="dxa"/>
            <w:tcBorders>
              <w:insideV w:val="nil"/>
            </w:tcBorders>
          </w:tcPr>
          <w:p>
            <w:pPr>
              <w:spacing w:line="180" w:lineRule="auto"/>
              <w:ind w:firstLine="0" w:firstLineChars="0"/>
              <w:jc w:val="center"/>
              <w:rPr>
                <w:rFonts w:ascii="仿宋_GB2312" w:hAnsi="仿宋_GB2312" w:cs="仿宋_GB2312"/>
                <w:sz w:val="21"/>
                <w:szCs w:val="21"/>
              </w:rPr>
            </w:pPr>
            <w:r>
              <w:rPr>
                <w:rFonts w:hint="eastAsia" w:ascii="仿宋_GB2312" w:hAnsi="仿宋_GB2312" w:cs="仿宋_GB2312"/>
                <w:sz w:val="21"/>
                <w:szCs w:val="21"/>
              </w:rPr>
              <w:t>131.22</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none" w:color="auto" w:sz="0" w:space="0"/>
          </w:tblBorders>
          <w:tblCellMar>
            <w:top w:w="0" w:type="dxa"/>
            <w:left w:w="108" w:type="dxa"/>
            <w:bottom w:w="0" w:type="dxa"/>
            <w:right w:w="108" w:type="dxa"/>
          </w:tblCellMar>
        </w:tblPrEx>
        <w:trPr>
          <w:trHeight w:val="283" w:hRule="atLeast"/>
          <w:jc w:val="center"/>
        </w:trPr>
        <w:tc>
          <w:tcPr>
            <w:tcW w:w="3005" w:type="dxa"/>
            <w:tcBorders>
              <w:right w:val="nil"/>
              <w:insideV w:val="nil"/>
            </w:tcBorders>
            <w:shd w:val="clear" w:color="auto" w:fill="D6E6F4" w:themeFill="accent1" w:themeFillTint="3F"/>
          </w:tcPr>
          <w:p>
            <w:pPr>
              <w:spacing w:line="180" w:lineRule="auto"/>
              <w:ind w:firstLine="0" w:firstLineChars="0"/>
              <w:jc w:val="center"/>
              <w:rPr>
                <w:rFonts w:ascii="仿宋_GB2312" w:hAnsi="仿宋_GB2312" w:cs="仿宋_GB2312"/>
                <w:b/>
                <w:bCs/>
                <w:sz w:val="21"/>
                <w:szCs w:val="21"/>
              </w:rPr>
            </w:pPr>
            <w:r>
              <w:rPr>
                <w:rFonts w:ascii="仿宋_GB2312" w:hAnsi="仿宋_GB2312" w:cs="仿宋_GB2312"/>
                <w:b/>
                <w:bCs/>
                <w:sz w:val="21"/>
                <w:szCs w:val="21"/>
              </w:rPr>
              <w:t>人员工资及补贴费用</w:t>
            </w:r>
          </w:p>
        </w:tc>
        <w:tc>
          <w:tcPr>
            <w:tcW w:w="4422" w:type="dxa"/>
            <w:tcBorders>
              <w:insideV w:val="nil"/>
            </w:tcBorders>
            <w:shd w:val="clear" w:color="auto" w:fill="D6E6F4" w:themeFill="accent1" w:themeFillTint="3F"/>
          </w:tcPr>
          <w:p>
            <w:pPr>
              <w:spacing w:line="180" w:lineRule="auto"/>
              <w:ind w:firstLine="0" w:firstLineChars="0"/>
              <w:jc w:val="center"/>
              <w:rPr>
                <w:rFonts w:ascii="仿宋_GB2312" w:hAnsi="仿宋_GB2312" w:cs="仿宋_GB2312"/>
                <w:sz w:val="21"/>
                <w:szCs w:val="21"/>
              </w:rPr>
            </w:pPr>
            <w:r>
              <w:rPr>
                <w:rFonts w:hint="eastAsia" w:ascii="仿宋_GB2312" w:hAnsi="仿宋_GB2312" w:cs="仿宋_GB2312"/>
                <w:sz w:val="21"/>
                <w:szCs w:val="21"/>
              </w:rPr>
              <w:t>664.20</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none" w:color="auto" w:sz="0" w:space="0"/>
          </w:tblBorders>
          <w:tblCellMar>
            <w:top w:w="0" w:type="dxa"/>
            <w:left w:w="108" w:type="dxa"/>
            <w:bottom w:w="0" w:type="dxa"/>
            <w:right w:w="108" w:type="dxa"/>
          </w:tblCellMar>
        </w:tblPrEx>
        <w:trPr>
          <w:trHeight w:val="283" w:hRule="atLeast"/>
          <w:jc w:val="center"/>
        </w:trPr>
        <w:tc>
          <w:tcPr>
            <w:tcW w:w="3005" w:type="dxa"/>
            <w:tcBorders>
              <w:right w:val="nil"/>
              <w:insideV w:val="nil"/>
            </w:tcBorders>
          </w:tcPr>
          <w:p>
            <w:pPr>
              <w:spacing w:line="180" w:lineRule="auto"/>
              <w:ind w:firstLine="0" w:firstLineChars="0"/>
              <w:jc w:val="center"/>
              <w:rPr>
                <w:rFonts w:ascii="仿宋_GB2312" w:hAnsi="仿宋_GB2312" w:cs="仿宋_GB2312"/>
                <w:b/>
                <w:bCs/>
                <w:sz w:val="21"/>
                <w:szCs w:val="21"/>
              </w:rPr>
            </w:pPr>
            <w:r>
              <w:rPr>
                <w:rFonts w:ascii="仿宋_GB2312" w:hAnsi="仿宋_GB2312" w:cs="仿宋_GB2312"/>
                <w:b/>
                <w:bCs/>
                <w:sz w:val="21"/>
                <w:szCs w:val="21"/>
              </w:rPr>
              <w:t>保险费</w:t>
            </w:r>
          </w:p>
        </w:tc>
        <w:tc>
          <w:tcPr>
            <w:tcW w:w="4422" w:type="dxa"/>
            <w:tcBorders>
              <w:insideV w:val="nil"/>
            </w:tcBorders>
          </w:tcPr>
          <w:p>
            <w:pPr>
              <w:spacing w:line="180" w:lineRule="auto"/>
              <w:ind w:firstLine="0" w:firstLineChars="0"/>
              <w:jc w:val="center"/>
              <w:rPr>
                <w:rFonts w:ascii="仿宋_GB2312" w:hAnsi="仿宋_GB2312" w:cs="仿宋_GB2312"/>
                <w:sz w:val="21"/>
                <w:szCs w:val="21"/>
              </w:rPr>
            </w:pPr>
            <w:r>
              <w:rPr>
                <w:rFonts w:hint="eastAsia" w:ascii="仿宋_GB2312" w:hAnsi="仿宋_GB2312" w:cs="仿宋_GB2312"/>
                <w:sz w:val="21"/>
                <w:szCs w:val="21"/>
              </w:rPr>
              <w:t>221.40</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none" w:color="auto" w:sz="0" w:space="0"/>
          </w:tblBorders>
          <w:tblCellMar>
            <w:top w:w="0" w:type="dxa"/>
            <w:left w:w="108" w:type="dxa"/>
            <w:bottom w:w="0" w:type="dxa"/>
            <w:right w:w="108" w:type="dxa"/>
          </w:tblCellMar>
        </w:tblPrEx>
        <w:trPr>
          <w:trHeight w:val="283" w:hRule="atLeast"/>
          <w:jc w:val="center"/>
        </w:trPr>
        <w:tc>
          <w:tcPr>
            <w:tcW w:w="3005" w:type="dxa"/>
            <w:tcBorders>
              <w:right w:val="nil"/>
              <w:insideV w:val="nil"/>
            </w:tcBorders>
            <w:shd w:val="clear" w:color="auto" w:fill="D6E6F4" w:themeFill="accent1" w:themeFillTint="3F"/>
          </w:tcPr>
          <w:p>
            <w:pPr>
              <w:spacing w:line="180" w:lineRule="auto"/>
              <w:ind w:firstLine="0" w:firstLineChars="0"/>
              <w:jc w:val="center"/>
              <w:rPr>
                <w:rFonts w:ascii="仿宋_GB2312" w:hAnsi="仿宋_GB2312" w:cs="仿宋_GB2312"/>
                <w:b/>
                <w:bCs/>
                <w:sz w:val="21"/>
                <w:szCs w:val="21"/>
              </w:rPr>
            </w:pPr>
            <w:r>
              <w:rPr>
                <w:rFonts w:ascii="仿宋_GB2312" w:hAnsi="仿宋_GB2312" w:cs="仿宋_GB2312"/>
                <w:b/>
                <w:bCs/>
                <w:sz w:val="21"/>
                <w:szCs w:val="21"/>
              </w:rPr>
              <w:t>办公费用</w:t>
            </w:r>
          </w:p>
        </w:tc>
        <w:tc>
          <w:tcPr>
            <w:tcW w:w="4422" w:type="dxa"/>
            <w:tcBorders>
              <w:insideV w:val="nil"/>
            </w:tcBorders>
            <w:shd w:val="clear" w:color="auto" w:fill="D6E6F4" w:themeFill="accent1" w:themeFillTint="3F"/>
          </w:tcPr>
          <w:p>
            <w:pPr>
              <w:spacing w:line="180" w:lineRule="auto"/>
              <w:ind w:firstLine="0" w:firstLineChars="0"/>
              <w:jc w:val="center"/>
              <w:rPr>
                <w:rFonts w:ascii="仿宋_GB2312" w:hAnsi="仿宋_GB2312" w:cs="仿宋_GB2312"/>
                <w:sz w:val="21"/>
                <w:szCs w:val="21"/>
              </w:rPr>
            </w:pPr>
            <w:r>
              <w:rPr>
                <w:rFonts w:hint="eastAsia" w:ascii="仿宋_GB2312" w:hAnsi="仿宋_GB2312" w:cs="仿宋_GB2312"/>
                <w:sz w:val="21"/>
                <w:szCs w:val="21"/>
              </w:rPr>
              <w:t>18.90</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none" w:color="auto" w:sz="0" w:space="0"/>
          </w:tblBorders>
          <w:tblCellMar>
            <w:top w:w="0" w:type="dxa"/>
            <w:left w:w="108" w:type="dxa"/>
            <w:bottom w:w="0" w:type="dxa"/>
            <w:right w:w="108" w:type="dxa"/>
          </w:tblCellMar>
        </w:tblPrEx>
        <w:trPr>
          <w:trHeight w:val="283" w:hRule="atLeast"/>
          <w:jc w:val="center"/>
        </w:trPr>
        <w:tc>
          <w:tcPr>
            <w:tcW w:w="3005" w:type="dxa"/>
            <w:tcBorders>
              <w:right w:val="nil"/>
              <w:insideV w:val="nil"/>
            </w:tcBorders>
          </w:tcPr>
          <w:p>
            <w:pPr>
              <w:spacing w:line="180" w:lineRule="auto"/>
              <w:ind w:firstLine="0" w:firstLineChars="0"/>
              <w:jc w:val="center"/>
              <w:rPr>
                <w:rFonts w:ascii="仿宋_GB2312" w:hAnsi="仿宋_GB2312" w:cs="仿宋_GB2312"/>
                <w:b/>
                <w:bCs/>
                <w:sz w:val="21"/>
                <w:szCs w:val="21"/>
              </w:rPr>
            </w:pPr>
            <w:r>
              <w:rPr>
                <w:rFonts w:ascii="仿宋_GB2312" w:hAnsi="仿宋_GB2312" w:cs="仿宋_GB2312"/>
                <w:b/>
                <w:bCs/>
                <w:sz w:val="21"/>
                <w:szCs w:val="21"/>
              </w:rPr>
              <w:t>其他费用</w:t>
            </w:r>
          </w:p>
        </w:tc>
        <w:tc>
          <w:tcPr>
            <w:tcW w:w="4422" w:type="dxa"/>
            <w:tcBorders>
              <w:insideV w:val="nil"/>
            </w:tcBorders>
          </w:tcPr>
          <w:p>
            <w:pPr>
              <w:spacing w:line="180" w:lineRule="auto"/>
              <w:ind w:firstLine="0" w:firstLineChars="0"/>
              <w:jc w:val="center"/>
              <w:rPr>
                <w:rFonts w:ascii="仿宋_GB2312" w:hAnsi="仿宋_GB2312" w:cs="仿宋_GB2312"/>
                <w:sz w:val="21"/>
                <w:szCs w:val="21"/>
              </w:rPr>
            </w:pPr>
            <w:r>
              <w:rPr>
                <w:rFonts w:hint="eastAsia" w:ascii="仿宋_GB2312" w:hAnsi="仿宋_GB2312" w:cs="仿宋_GB2312"/>
                <w:sz w:val="21"/>
                <w:szCs w:val="21"/>
              </w:rPr>
              <w:t>16.40</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none" w:color="auto" w:sz="0" w:space="0"/>
          </w:tblBorders>
          <w:tblCellMar>
            <w:top w:w="0" w:type="dxa"/>
            <w:left w:w="108" w:type="dxa"/>
            <w:bottom w:w="0" w:type="dxa"/>
            <w:right w:w="108" w:type="dxa"/>
          </w:tblCellMar>
        </w:tblPrEx>
        <w:trPr>
          <w:trHeight w:val="283" w:hRule="atLeast"/>
          <w:jc w:val="center"/>
        </w:trPr>
        <w:tc>
          <w:tcPr>
            <w:tcW w:w="3005" w:type="dxa"/>
            <w:tcBorders>
              <w:right w:val="nil"/>
              <w:insideV w:val="nil"/>
            </w:tcBorders>
            <w:shd w:val="clear" w:color="auto" w:fill="D6E6F4" w:themeFill="accent1" w:themeFillTint="3F"/>
          </w:tcPr>
          <w:p>
            <w:pPr>
              <w:spacing w:line="180" w:lineRule="auto"/>
              <w:ind w:firstLine="0" w:firstLineChars="0"/>
              <w:jc w:val="center"/>
              <w:rPr>
                <w:rFonts w:ascii="仿宋_GB2312" w:hAnsi="仿宋_GB2312" w:cs="仿宋_GB2312"/>
                <w:b/>
                <w:bCs/>
                <w:sz w:val="21"/>
                <w:szCs w:val="21"/>
              </w:rPr>
            </w:pPr>
            <w:r>
              <w:rPr>
                <w:rFonts w:ascii="仿宋_GB2312" w:hAnsi="仿宋_GB2312" w:cs="仿宋_GB2312"/>
                <w:b/>
                <w:bCs/>
                <w:sz w:val="21"/>
                <w:szCs w:val="21"/>
              </w:rPr>
              <w:t>金币对奖品费</w:t>
            </w:r>
          </w:p>
        </w:tc>
        <w:tc>
          <w:tcPr>
            <w:tcW w:w="4422" w:type="dxa"/>
            <w:tcBorders>
              <w:insideV w:val="nil"/>
            </w:tcBorders>
            <w:shd w:val="clear" w:color="auto" w:fill="D6E6F4" w:themeFill="accent1" w:themeFillTint="3F"/>
          </w:tcPr>
          <w:p>
            <w:pPr>
              <w:spacing w:line="180" w:lineRule="auto"/>
              <w:ind w:firstLine="0" w:firstLineChars="0"/>
              <w:jc w:val="center"/>
              <w:rPr>
                <w:rFonts w:ascii="仿宋_GB2312" w:hAnsi="仿宋_GB2312" w:cs="仿宋_GB2312"/>
                <w:sz w:val="21"/>
                <w:szCs w:val="21"/>
              </w:rPr>
            </w:pPr>
            <w:r>
              <w:rPr>
                <w:rFonts w:hint="eastAsia" w:ascii="仿宋_GB2312" w:hAnsi="仿宋_GB2312" w:cs="仿宋_GB2312"/>
                <w:sz w:val="21"/>
                <w:szCs w:val="21"/>
              </w:rPr>
              <w:t>198.00</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none" w:color="auto" w:sz="0" w:space="0"/>
          </w:tblBorders>
          <w:tblCellMar>
            <w:top w:w="0" w:type="dxa"/>
            <w:left w:w="108" w:type="dxa"/>
            <w:bottom w:w="0" w:type="dxa"/>
            <w:right w:w="108" w:type="dxa"/>
          </w:tblCellMar>
        </w:tblPrEx>
        <w:trPr>
          <w:trHeight w:val="283" w:hRule="atLeast"/>
          <w:jc w:val="center"/>
        </w:trPr>
        <w:tc>
          <w:tcPr>
            <w:tcW w:w="3005" w:type="dxa"/>
            <w:tcBorders>
              <w:right w:val="nil"/>
              <w:insideV w:val="nil"/>
            </w:tcBorders>
          </w:tcPr>
          <w:p>
            <w:pPr>
              <w:spacing w:line="180" w:lineRule="auto"/>
              <w:ind w:firstLine="0" w:firstLineChars="0"/>
              <w:jc w:val="center"/>
              <w:rPr>
                <w:rFonts w:ascii="仿宋_GB2312" w:hAnsi="仿宋_GB2312" w:cs="仿宋_GB2312"/>
                <w:b/>
                <w:bCs/>
                <w:sz w:val="21"/>
                <w:szCs w:val="21"/>
              </w:rPr>
            </w:pPr>
            <w:r>
              <w:rPr>
                <w:rFonts w:ascii="仿宋_GB2312" w:hAnsi="仿宋_GB2312" w:cs="仿宋_GB2312"/>
                <w:b/>
                <w:bCs/>
                <w:sz w:val="21"/>
                <w:szCs w:val="21"/>
              </w:rPr>
              <w:t>合计</w:t>
            </w:r>
          </w:p>
        </w:tc>
        <w:tc>
          <w:tcPr>
            <w:tcW w:w="4422" w:type="dxa"/>
            <w:tcBorders>
              <w:insideV w:val="nil"/>
            </w:tcBorders>
          </w:tcPr>
          <w:p>
            <w:pPr>
              <w:spacing w:line="180" w:lineRule="auto"/>
              <w:ind w:firstLine="0" w:firstLineChars="0"/>
              <w:jc w:val="center"/>
              <w:rPr>
                <w:rFonts w:ascii="仿宋_GB2312" w:hAnsi="仿宋_GB2312" w:cs="仿宋_GB2312"/>
                <w:sz w:val="21"/>
                <w:szCs w:val="21"/>
              </w:rPr>
            </w:pPr>
            <w:r>
              <w:rPr>
                <w:rFonts w:hint="eastAsia" w:ascii="仿宋_GB2312" w:hAnsi="仿宋_GB2312" w:cs="仿宋_GB2312"/>
                <w:sz w:val="21"/>
                <w:szCs w:val="21"/>
              </w:rPr>
              <w:t>2178.08</w:t>
            </w:r>
          </w:p>
        </w:tc>
      </w:tr>
    </w:tbl>
    <w:p>
      <w:pPr>
        <w:pStyle w:val="84"/>
        <w:ind w:firstLine="0" w:firstLineChars="0"/>
        <w:rPr>
          <w:rFonts w:hint="eastAsia" w:ascii="黑体" w:hAnsi="黑体"/>
          <w:b w:val="0"/>
          <w:sz w:val="30"/>
          <w:szCs w:val="30"/>
        </w:rPr>
      </w:pPr>
      <w:bookmarkStart w:id="136" w:name="_Toc4788793"/>
      <w:bookmarkStart w:id="137" w:name="_Toc17617"/>
      <w:bookmarkStart w:id="138" w:name="_Toc5364995"/>
    </w:p>
    <w:p>
      <w:pPr>
        <w:pStyle w:val="84"/>
        <w:ind w:firstLine="0" w:firstLineChars="0"/>
        <w:rPr>
          <w:rFonts w:hint="eastAsia" w:ascii="黑体" w:hAnsi="黑体"/>
          <w:b w:val="0"/>
          <w:sz w:val="30"/>
          <w:szCs w:val="30"/>
        </w:rPr>
      </w:pPr>
    </w:p>
    <w:p>
      <w:pPr>
        <w:pStyle w:val="84"/>
        <w:ind w:firstLine="0" w:firstLineChars="0"/>
        <w:outlineLvl w:val="1"/>
        <w:rPr>
          <w:rFonts w:ascii="黑体" w:hAnsi="黑体"/>
          <w:b w:val="0"/>
          <w:sz w:val="30"/>
          <w:szCs w:val="30"/>
        </w:rPr>
      </w:pPr>
      <w:bookmarkStart w:id="139" w:name="_Toc61100249"/>
      <w:r>
        <w:rPr>
          <w:rFonts w:hint="eastAsia" w:ascii="黑体" w:hAnsi="黑体"/>
          <w:b w:val="0"/>
          <w:sz w:val="30"/>
          <w:szCs w:val="30"/>
        </w:rPr>
        <w:t>7.4资金应用</w:t>
      </w:r>
      <w:bookmarkEnd w:id="139"/>
    </w:p>
    <w:p>
      <w:pPr>
        <w:tabs>
          <w:tab w:val="center" w:pos="4434"/>
        </w:tabs>
        <w:spacing w:line="500" w:lineRule="exact"/>
        <w:ind w:firstLine="0" w:firstLineChars="0"/>
        <w:jc w:val="left"/>
        <w:outlineLvl w:val="2"/>
        <w:rPr>
          <w:rFonts w:ascii="黑体" w:hAnsi="黑体" w:eastAsia="黑体" w:cs="Times New Roman"/>
        </w:rPr>
      </w:pPr>
      <w:bookmarkStart w:id="140" w:name="_Toc61100250"/>
      <w:r>
        <w:rPr>
          <w:rFonts w:hint="eastAsia" w:ascii="黑体" w:hAnsi="黑体" w:eastAsia="黑体" w:cs="Times New Roman"/>
        </w:rPr>
        <w:t>7</w:t>
      </w:r>
      <w:r>
        <w:rPr>
          <w:rFonts w:ascii="黑体" w:hAnsi="黑体" w:eastAsia="黑体" w:cs="Times New Roman"/>
        </w:rPr>
        <w:t>.</w:t>
      </w:r>
      <w:r>
        <w:rPr>
          <w:rFonts w:hint="eastAsia" w:ascii="黑体" w:hAnsi="黑体" w:eastAsia="黑体" w:cs="Times New Roman"/>
        </w:rPr>
        <w:t>4.1</w:t>
      </w:r>
      <w:bookmarkEnd w:id="136"/>
      <w:bookmarkEnd w:id="137"/>
      <w:bookmarkEnd w:id="138"/>
      <w:r>
        <w:rPr>
          <w:rFonts w:hint="eastAsia" w:ascii="黑体" w:hAnsi="黑体" w:eastAsia="黑体" w:cs="Times New Roman"/>
        </w:rPr>
        <w:t>投资净现值</w:t>
      </w:r>
      <w:bookmarkEnd w:id="140"/>
    </w:p>
    <w:p>
      <w:pPr>
        <w:ind w:firstLine="480"/>
        <w:rPr>
          <w:rFonts w:ascii="仿宋_GB2312" w:hAnsi="仿宋_GB2312" w:cs="仿宋_GB2312"/>
          <w:color w:val="000000"/>
          <w:sz w:val="24"/>
          <w:szCs w:val="28"/>
        </w:rPr>
      </w:pPr>
      <w:r>
        <w:rPr>
          <w:rFonts w:hint="eastAsia" w:ascii="仿宋_GB2312" w:hAnsi="仿宋_GB2312" w:cs="仿宋_GB2312"/>
          <w:color w:val="000000"/>
          <w:sz w:val="24"/>
          <w:szCs w:val="28"/>
        </w:rPr>
        <w:t>按照10%的折现率计算净现值，税后NPV=3786.32万元,远远大于0，由NPV数据可以看出，在十年计算期内本公司的盈利客观，投资者得到相当高的回报，说明了本创业项目具有较强的可投资性。</w:t>
      </w:r>
    </w:p>
    <w:p>
      <w:pPr>
        <w:tabs>
          <w:tab w:val="center" w:pos="4434"/>
        </w:tabs>
        <w:spacing w:line="500" w:lineRule="exact"/>
        <w:ind w:firstLine="0" w:firstLineChars="0"/>
        <w:jc w:val="left"/>
        <w:outlineLvl w:val="2"/>
        <w:rPr>
          <w:rFonts w:ascii="黑体" w:hAnsi="黑体" w:eastAsia="黑体" w:cs="Times New Roman"/>
        </w:rPr>
      </w:pPr>
      <w:bookmarkStart w:id="141" w:name="_Toc4788795"/>
      <w:bookmarkStart w:id="142" w:name="_Toc5364997"/>
      <w:bookmarkStart w:id="143" w:name="_Toc20172"/>
      <w:bookmarkStart w:id="144" w:name="_Toc61100251"/>
      <w:r>
        <w:rPr>
          <w:rFonts w:hint="eastAsia" w:ascii="黑体" w:hAnsi="黑体" w:eastAsia="黑体" w:cs="Times New Roman"/>
        </w:rPr>
        <w:t>7</w:t>
      </w:r>
      <w:r>
        <w:rPr>
          <w:rFonts w:ascii="黑体" w:hAnsi="黑体" w:eastAsia="黑体" w:cs="Times New Roman"/>
        </w:rPr>
        <w:t>.</w:t>
      </w:r>
      <w:r>
        <w:rPr>
          <w:rFonts w:hint="eastAsia" w:ascii="黑体" w:hAnsi="黑体" w:eastAsia="黑体" w:cs="Times New Roman"/>
        </w:rPr>
        <w:t>4</w:t>
      </w:r>
      <w:r>
        <w:rPr>
          <w:rFonts w:ascii="黑体" w:hAnsi="黑体" w:eastAsia="黑体" w:cs="Times New Roman"/>
        </w:rPr>
        <w:t>.</w:t>
      </w:r>
      <w:r>
        <w:rPr>
          <w:rFonts w:hint="eastAsia" w:ascii="黑体" w:hAnsi="黑体" w:eastAsia="黑体" w:cs="Times New Roman"/>
        </w:rPr>
        <w:t>2</w:t>
      </w:r>
      <w:bookmarkEnd w:id="141"/>
      <w:bookmarkEnd w:id="142"/>
      <w:bookmarkEnd w:id="143"/>
      <w:r>
        <w:rPr>
          <w:rFonts w:hint="eastAsia" w:ascii="黑体" w:hAnsi="黑体" w:eastAsia="黑体" w:cs="Times New Roman"/>
        </w:rPr>
        <w:t>投资内部报酬率</w:t>
      </w:r>
      <w:bookmarkEnd w:id="144"/>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根据各年现金流量数据，计算得到税后IRR=129.58%，内部报酬率远高于银行存款利率以及普通资本报酬率，说明公司创业项目盈利能力较强，值得投资。</w:t>
      </w:r>
    </w:p>
    <w:p>
      <w:pPr>
        <w:tabs>
          <w:tab w:val="center" w:pos="4434"/>
        </w:tabs>
        <w:spacing w:line="500" w:lineRule="exact"/>
        <w:ind w:firstLine="0" w:firstLineChars="0"/>
        <w:jc w:val="left"/>
        <w:outlineLvl w:val="2"/>
        <w:rPr>
          <w:rFonts w:ascii="黑体" w:hAnsi="黑体" w:eastAsia="黑体" w:cs="Times New Roman"/>
        </w:rPr>
      </w:pPr>
      <w:bookmarkStart w:id="145" w:name="_Toc61100252"/>
      <w:r>
        <w:rPr>
          <w:rFonts w:hint="eastAsia" w:ascii="黑体" w:hAnsi="黑体" w:eastAsia="黑体" w:cs="Times New Roman"/>
        </w:rPr>
        <w:t>7.4.3投资回收期</w:t>
      </w:r>
      <w:bookmarkEnd w:id="145"/>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根据投资额、各年现金流量等数据，计算得到税后投资回报期为7.86年。较短的投资回报期说明本投资方案可行性较强，值得投资。</w:t>
      </w:r>
    </w:p>
    <w:p>
      <w:pPr>
        <w:ind w:firstLine="480"/>
        <w:jc w:val="left"/>
        <w:rPr>
          <w:rFonts w:ascii="仿宋_GB2312" w:hAnsi="仿宋_GB2312" w:cs="仿宋_GB2312"/>
          <w:color w:val="000000"/>
          <w:sz w:val="24"/>
          <w:szCs w:val="28"/>
        </w:rPr>
        <w:sectPr>
          <w:pgSz w:w="11906" w:h="16838"/>
          <w:pgMar w:top="1440" w:right="1800" w:bottom="1440" w:left="1800" w:header="851" w:footer="992" w:gutter="0"/>
          <w:cols w:space="425" w:num="1"/>
          <w:docGrid w:type="lines" w:linePitch="381" w:charSpace="0"/>
        </w:sectPr>
      </w:pPr>
    </w:p>
    <w:p>
      <w:pPr>
        <w:pStyle w:val="83"/>
        <w:ind w:firstLine="180" w:firstLineChars="45"/>
        <w:outlineLvl w:val="0"/>
        <w:rPr>
          <w:rFonts w:ascii="黑体" w:hAnsi="黑体" w:eastAsia="黑体"/>
          <w:sz w:val="40"/>
          <w:szCs w:val="40"/>
        </w:rPr>
      </w:pPr>
      <w:bookmarkStart w:id="146" w:name="_Toc61100253"/>
      <w:r>
        <w:rPr>
          <w:rFonts w:hint="eastAsia" w:ascii="黑体" w:hAnsi="黑体" w:eastAsia="黑体"/>
          <w:sz w:val="40"/>
          <w:szCs w:val="40"/>
        </w:rPr>
        <w:t>第八章 财务预测与分析</w:t>
      </w:r>
      <w:bookmarkEnd w:id="146"/>
    </w:p>
    <w:p>
      <w:pPr>
        <w:pStyle w:val="84"/>
        <w:ind w:firstLine="0" w:firstLineChars="0"/>
        <w:outlineLvl w:val="1"/>
        <w:rPr>
          <w:rFonts w:ascii="黑体" w:hAnsi="黑体"/>
          <w:b w:val="0"/>
          <w:sz w:val="30"/>
          <w:szCs w:val="30"/>
        </w:rPr>
      </w:pPr>
      <w:bookmarkStart w:id="147" w:name="_Toc61100254"/>
      <w:r>
        <w:rPr>
          <w:rFonts w:hint="eastAsia" w:ascii="黑体" w:hAnsi="黑体"/>
          <w:b w:val="0"/>
          <w:sz w:val="30"/>
          <w:szCs w:val="30"/>
        </w:rPr>
        <w:t>8.1财务假设与前提</w:t>
      </w:r>
      <w:bookmarkEnd w:id="147"/>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公司财务报表是基于以下财务假设编制的:</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1.假定国内的政治、经济和社会环境基本保持稳定，公司充分考虑现实各项基础、能力、潜力，经过分析研究采用正确计算方法，本着求实、稳健的原则，本企业财务预算按照我国财务部颁布的现有企业会计准则和会计制度执行。</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2.固定资产中办公用品的折旧年限为10年，采用直线法折旧，预计净残值为0。</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3.公司为初创移动医疗服务型小微企业，减按20%的税率征收企业所得税和按3%征收企业增值税，城市建设维护税按增值税、消费税、营业税三税之和的7%计提，这里按增值税的7%计提；教育费附加按增值税、消费税、营业税之和的3%计提，这里按增值税的3%计提；地方教育费附加按增值税、消费税、营业税之和的2%计提，这里按增值税的2%计提。</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4.公司每年从税后净利润中提取法定盈余公积 10%和任意盈余公积5%，当法定盈余公积累计额达到注册资本的50%时，不再提取法定盈余公积，继续提取任意盈余公积。</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5.公司从第二年起，每年按可供分配利润的20%向投资者进行分配。</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6.折现率为10%。</w:t>
      </w:r>
    </w:p>
    <w:p>
      <w:pPr>
        <w:ind w:firstLine="480"/>
        <w:jc w:val="left"/>
        <w:rPr>
          <w:rFonts w:ascii="仿宋_GB2312" w:hAnsi="仿宋_GB2312" w:cs="仿宋_GB2312"/>
          <w:color w:val="000000"/>
          <w:sz w:val="24"/>
          <w:szCs w:val="28"/>
        </w:rPr>
      </w:pPr>
    </w:p>
    <w:p>
      <w:pPr>
        <w:pStyle w:val="84"/>
        <w:ind w:firstLine="0" w:firstLineChars="0"/>
        <w:outlineLvl w:val="1"/>
        <w:rPr>
          <w:rFonts w:ascii="黑体" w:hAnsi="黑体"/>
          <w:b w:val="0"/>
          <w:sz w:val="30"/>
          <w:szCs w:val="30"/>
        </w:rPr>
      </w:pPr>
      <w:bookmarkStart w:id="148" w:name="_Toc61100255"/>
      <w:r>
        <w:rPr>
          <w:rFonts w:hint="eastAsia" w:ascii="黑体" w:hAnsi="黑体"/>
          <w:b w:val="0"/>
          <w:sz w:val="30"/>
          <w:szCs w:val="30"/>
        </w:rPr>
        <w:t>8.2收益预测</w:t>
      </w:r>
      <w:bookmarkEnd w:id="148"/>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在对市场需求调研和分析的基础上，结合本公司现有的规模和资金情况做出未来十年的收益情况预测表如表8-1所示。</w:t>
      </w:r>
    </w:p>
    <w:p>
      <w:pPr>
        <w:spacing w:line="240" w:lineRule="auto"/>
        <w:ind w:firstLine="0" w:firstLineChars="0"/>
        <w:jc w:val="center"/>
        <w:rPr>
          <w:rFonts w:ascii="仿宋_GB2312"/>
          <w:sz w:val="21"/>
          <w:szCs w:val="24"/>
        </w:rPr>
      </w:pPr>
      <w:r>
        <w:rPr>
          <w:rFonts w:hint="eastAsia" w:ascii="仿宋_GB2312"/>
          <w:sz w:val="21"/>
          <w:szCs w:val="24"/>
        </w:rPr>
        <w:t>表8-1收益预测一览表</w:t>
      </w:r>
    </w:p>
    <w:p>
      <w:pPr>
        <w:spacing w:line="240" w:lineRule="auto"/>
        <w:ind w:firstLine="420"/>
        <w:jc w:val="right"/>
        <w:rPr>
          <w:rFonts w:ascii="仿宋_GB2312"/>
          <w:sz w:val="21"/>
          <w:szCs w:val="24"/>
        </w:rPr>
      </w:pPr>
      <w:r>
        <w:rPr>
          <w:rFonts w:hint="eastAsia" w:ascii="仿宋_GB2312"/>
          <w:sz w:val="21"/>
          <w:szCs w:val="24"/>
        </w:rPr>
        <w:t>（单位：万元）</w:t>
      </w:r>
    </w:p>
    <w:tbl>
      <w:tblPr>
        <w:tblStyle w:val="40"/>
        <w:tblW w:w="8802" w:type="dxa"/>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autofit"/>
        <w:tblCellMar>
          <w:top w:w="0" w:type="dxa"/>
          <w:left w:w="108" w:type="dxa"/>
          <w:bottom w:w="0" w:type="dxa"/>
          <w:right w:w="108" w:type="dxa"/>
        </w:tblCellMar>
      </w:tblPr>
      <w:tblGrid>
        <w:gridCol w:w="1222"/>
        <w:gridCol w:w="717"/>
        <w:gridCol w:w="716"/>
        <w:gridCol w:w="720"/>
        <w:gridCol w:w="745"/>
        <w:gridCol w:w="745"/>
        <w:gridCol w:w="753"/>
        <w:gridCol w:w="776"/>
        <w:gridCol w:w="776"/>
        <w:gridCol w:w="776"/>
        <w:gridCol w:w="856"/>
      </w:tblGrid>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222"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hint="eastAsia" w:ascii="宋体" w:hAnsi="宋体" w:eastAsia="宋体"/>
                <w:b/>
                <w:bCs/>
                <w:i w:val="0"/>
                <w:iCs w:val="0"/>
                <w:color w:val="FFFFFF" w:themeColor="background1"/>
                <w:sz w:val="16"/>
                <w:szCs w:val="18"/>
                <w14:textFill>
                  <w14:solidFill>
                    <w14:schemeClr w14:val="bg1"/>
                  </w14:solidFill>
                </w14:textFill>
              </w:rPr>
              <w:t>时期</w:t>
            </w:r>
          </w:p>
        </w:tc>
        <w:tc>
          <w:tcPr>
            <w:tcW w:w="2153" w:type="dxa"/>
            <w:gridSpan w:val="3"/>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hint="eastAsia" w:ascii="宋体" w:hAnsi="宋体" w:eastAsia="宋体"/>
                <w:b/>
                <w:bCs/>
                <w:i w:val="0"/>
                <w:iCs w:val="0"/>
                <w:color w:val="FFFFFF" w:themeColor="background1"/>
                <w:sz w:val="16"/>
                <w:szCs w:val="18"/>
                <w14:textFill>
                  <w14:solidFill>
                    <w14:schemeClr w14:val="bg1"/>
                  </w14:solidFill>
                </w14:textFill>
              </w:rPr>
              <w:t>初期</w:t>
            </w:r>
          </w:p>
        </w:tc>
        <w:tc>
          <w:tcPr>
            <w:tcW w:w="2243" w:type="dxa"/>
            <w:gridSpan w:val="3"/>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hint="eastAsia" w:ascii="宋体" w:hAnsi="宋体" w:eastAsia="宋体"/>
                <w:b/>
                <w:bCs/>
                <w:i w:val="0"/>
                <w:iCs w:val="0"/>
                <w:color w:val="FFFFFF" w:themeColor="background1"/>
                <w:sz w:val="16"/>
                <w:szCs w:val="18"/>
                <w14:textFill>
                  <w14:solidFill>
                    <w14:schemeClr w14:val="bg1"/>
                  </w14:solidFill>
                </w14:textFill>
              </w:rPr>
              <w:t>中期</w:t>
            </w:r>
          </w:p>
        </w:tc>
        <w:tc>
          <w:tcPr>
            <w:tcW w:w="3184" w:type="dxa"/>
            <w:gridSpan w:val="4"/>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hint="eastAsia" w:ascii="宋体" w:hAnsi="宋体" w:eastAsia="宋体"/>
                <w:b/>
                <w:bCs/>
                <w:i w:val="0"/>
                <w:iCs w:val="0"/>
                <w:color w:val="FFFFFF" w:themeColor="background1"/>
                <w:sz w:val="16"/>
                <w:szCs w:val="18"/>
                <w14:textFill>
                  <w14:solidFill>
                    <w14:schemeClr w14:val="bg1"/>
                  </w14:solidFill>
                </w14:textFill>
              </w:rPr>
              <w:t>后期</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222"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hint="eastAsia" w:ascii="宋体" w:hAnsi="宋体" w:eastAsia="宋体"/>
                <w:b/>
                <w:bCs/>
                <w:i w:val="0"/>
                <w:iCs w:val="0"/>
                <w:color w:val="FFFFFF" w:themeColor="background1"/>
                <w:sz w:val="16"/>
                <w:szCs w:val="18"/>
                <w14:textFill>
                  <w14:solidFill>
                    <w14:schemeClr w14:val="bg1"/>
                  </w14:solidFill>
                </w14:textFill>
              </w:rPr>
              <w:t>项目/年份</w:t>
            </w:r>
          </w:p>
        </w:tc>
        <w:tc>
          <w:tcPr>
            <w:tcW w:w="717"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ascii="宋体" w:hAnsi="宋体" w:eastAsia="宋体"/>
                <w:sz w:val="16"/>
                <w:szCs w:val="18"/>
              </w:rPr>
              <w:t>2019</w:t>
            </w:r>
          </w:p>
        </w:tc>
        <w:tc>
          <w:tcPr>
            <w:tcW w:w="71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2020</w:t>
            </w:r>
          </w:p>
        </w:tc>
        <w:tc>
          <w:tcPr>
            <w:tcW w:w="720"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2021</w:t>
            </w:r>
          </w:p>
        </w:tc>
        <w:tc>
          <w:tcPr>
            <w:tcW w:w="74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2022</w:t>
            </w:r>
          </w:p>
        </w:tc>
        <w:tc>
          <w:tcPr>
            <w:tcW w:w="74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2023</w:t>
            </w:r>
          </w:p>
        </w:tc>
        <w:tc>
          <w:tcPr>
            <w:tcW w:w="753"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2024</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2025</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2026</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2027</w:t>
            </w:r>
          </w:p>
        </w:tc>
        <w:tc>
          <w:tcPr>
            <w:tcW w:w="8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2028</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222"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hint="eastAsia" w:ascii="宋体" w:hAnsi="宋体" w:eastAsia="宋体"/>
                <w:b/>
                <w:bCs/>
                <w:i w:val="0"/>
                <w:iCs w:val="0"/>
                <w:color w:val="FFFFFF" w:themeColor="background1"/>
                <w:sz w:val="16"/>
                <w:szCs w:val="18"/>
                <w14:textFill>
                  <w14:solidFill>
                    <w14:schemeClr w14:val="bg1"/>
                  </w14:solidFill>
                </w14:textFill>
              </w:rPr>
              <w:t>处方提成</w:t>
            </w:r>
          </w:p>
        </w:tc>
        <w:tc>
          <w:tcPr>
            <w:tcW w:w="717"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ascii="宋体" w:hAnsi="宋体" w:eastAsia="宋体"/>
                <w:sz w:val="16"/>
                <w:szCs w:val="18"/>
              </w:rPr>
              <w:t>1.16</w:t>
            </w:r>
          </w:p>
        </w:tc>
        <w:tc>
          <w:tcPr>
            <w:tcW w:w="71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ascii="宋体" w:hAnsi="宋体" w:eastAsia="宋体"/>
                <w:sz w:val="16"/>
                <w:szCs w:val="18"/>
              </w:rPr>
              <w:t>1.94</w:t>
            </w:r>
          </w:p>
        </w:tc>
        <w:tc>
          <w:tcPr>
            <w:tcW w:w="720"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ascii="宋体" w:hAnsi="宋体" w:eastAsia="宋体"/>
                <w:sz w:val="16"/>
                <w:szCs w:val="18"/>
              </w:rPr>
              <w:t>3.87</w:t>
            </w:r>
          </w:p>
        </w:tc>
        <w:tc>
          <w:tcPr>
            <w:tcW w:w="745"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26.82</w:t>
            </w:r>
          </w:p>
        </w:tc>
        <w:tc>
          <w:tcPr>
            <w:tcW w:w="745"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35.76</w:t>
            </w:r>
          </w:p>
        </w:tc>
        <w:tc>
          <w:tcPr>
            <w:tcW w:w="753"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44.70</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152.10</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202.80</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253.50</w:t>
            </w:r>
          </w:p>
        </w:tc>
        <w:tc>
          <w:tcPr>
            <w:tcW w:w="85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405.60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222"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hint="eastAsia" w:ascii="宋体" w:hAnsi="宋体" w:eastAsia="宋体"/>
                <w:b/>
                <w:bCs/>
                <w:i w:val="0"/>
                <w:iCs w:val="0"/>
                <w:color w:val="FFFFFF" w:themeColor="background1"/>
                <w:sz w:val="16"/>
                <w:szCs w:val="18"/>
                <w14:textFill>
                  <w14:solidFill>
                    <w14:schemeClr w14:val="bg1"/>
                  </w14:solidFill>
                </w14:textFill>
              </w:rPr>
              <w:t>医疗方案提成</w:t>
            </w:r>
          </w:p>
        </w:tc>
        <w:tc>
          <w:tcPr>
            <w:tcW w:w="717"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0.48</w:t>
            </w:r>
          </w:p>
        </w:tc>
        <w:tc>
          <w:tcPr>
            <w:tcW w:w="71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0.96</w:t>
            </w:r>
          </w:p>
        </w:tc>
        <w:tc>
          <w:tcPr>
            <w:tcW w:w="720"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3.82</w:t>
            </w:r>
          </w:p>
        </w:tc>
        <w:tc>
          <w:tcPr>
            <w:tcW w:w="74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17.94</w:t>
            </w:r>
          </w:p>
        </w:tc>
        <w:tc>
          <w:tcPr>
            <w:tcW w:w="74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35.88</w:t>
            </w:r>
          </w:p>
        </w:tc>
        <w:tc>
          <w:tcPr>
            <w:tcW w:w="753"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59.80</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131.60</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197.40</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329.00</w:t>
            </w:r>
          </w:p>
        </w:tc>
        <w:tc>
          <w:tcPr>
            <w:tcW w:w="8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658.00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222"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hint="eastAsia" w:ascii="宋体" w:hAnsi="宋体" w:eastAsia="宋体"/>
                <w:b/>
                <w:bCs/>
                <w:i w:val="0"/>
                <w:iCs w:val="0"/>
                <w:color w:val="FFFFFF" w:themeColor="background1"/>
                <w:sz w:val="16"/>
                <w:szCs w:val="18"/>
                <w14:textFill>
                  <w14:solidFill>
                    <w14:schemeClr w14:val="bg1"/>
                  </w14:solidFill>
                </w14:textFill>
              </w:rPr>
              <w:t>私人医生包月费用提成</w:t>
            </w:r>
          </w:p>
        </w:tc>
        <w:tc>
          <w:tcPr>
            <w:tcW w:w="717"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ascii="宋体" w:hAnsi="宋体" w:eastAsia="宋体"/>
                <w:sz w:val="16"/>
                <w:szCs w:val="18"/>
              </w:rPr>
              <w:t>0.40</w:t>
            </w:r>
          </w:p>
        </w:tc>
        <w:tc>
          <w:tcPr>
            <w:tcW w:w="71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1.52</w:t>
            </w:r>
          </w:p>
        </w:tc>
        <w:tc>
          <w:tcPr>
            <w:tcW w:w="720"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3.63</w:t>
            </w:r>
          </w:p>
        </w:tc>
        <w:tc>
          <w:tcPr>
            <w:tcW w:w="745"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15.18</w:t>
            </w:r>
          </w:p>
        </w:tc>
        <w:tc>
          <w:tcPr>
            <w:tcW w:w="745"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25.96</w:t>
            </w:r>
          </w:p>
        </w:tc>
        <w:tc>
          <w:tcPr>
            <w:tcW w:w="753"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41.14</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97.86</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149.80</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179.76</w:t>
            </w:r>
          </w:p>
        </w:tc>
        <w:tc>
          <w:tcPr>
            <w:tcW w:w="85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237.68</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222"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hint="eastAsia" w:ascii="宋体" w:hAnsi="宋体" w:eastAsia="宋体"/>
                <w:b/>
                <w:bCs/>
                <w:i w:val="0"/>
                <w:iCs w:val="0"/>
                <w:color w:val="FFFFFF" w:themeColor="background1"/>
                <w:sz w:val="16"/>
                <w:szCs w:val="18"/>
                <w14:textFill>
                  <w14:solidFill>
                    <w14:schemeClr w14:val="bg1"/>
                  </w14:solidFill>
                </w14:textFill>
              </w:rPr>
              <w:t>会诊室提成</w:t>
            </w:r>
          </w:p>
        </w:tc>
        <w:tc>
          <w:tcPr>
            <w:tcW w:w="717"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1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20"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4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23.96</w:t>
            </w:r>
          </w:p>
        </w:tc>
        <w:tc>
          <w:tcPr>
            <w:tcW w:w="74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47.92</w:t>
            </w:r>
          </w:p>
        </w:tc>
        <w:tc>
          <w:tcPr>
            <w:tcW w:w="753"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119.80</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255.60</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511.20</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894.60</w:t>
            </w:r>
          </w:p>
        </w:tc>
        <w:tc>
          <w:tcPr>
            <w:tcW w:w="8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1278.00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222"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hint="eastAsia" w:ascii="宋体" w:hAnsi="宋体" w:eastAsia="宋体"/>
                <w:b/>
                <w:bCs/>
                <w:i w:val="0"/>
                <w:iCs w:val="0"/>
                <w:color w:val="FFFFFF" w:themeColor="background1"/>
                <w:sz w:val="16"/>
                <w:szCs w:val="18"/>
                <w14:textFill>
                  <w14:solidFill>
                    <w14:schemeClr w14:val="bg1"/>
                  </w14:solidFill>
                </w14:textFill>
              </w:rPr>
              <w:t>药房收入</w:t>
            </w:r>
          </w:p>
        </w:tc>
        <w:tc>
          <w:tcPr>
            <w:tcW w:w="717"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1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20"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45"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10</w:t>
            </w:r>
          </w:p>
        </w:tc>
        <w:tc>
          <w:tcPr>
            <w:tcW w:w="745"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30</w:t>
            </w:r>
          </w:p>
        </w:tc>
        <w:tc>
          <w:tcPr>
            <w:tcW w:w="753"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50</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100</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200</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350</w:t>
            </w:r>
          </w:p>
        </w:tc>
        <w:tc>
          <w:tcPr>
            <w:tcW w:w="85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222"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hint="eastAsia" w:ascii="宋体" w:hAnsi="宋体" w:eastAsia="宋体"/>
                <w:b/>
                <w:bCs/>
                <w:i w:val="0"/>
                <w:iCs w:val="0"/>
                <w:color w:val="FFFFFF" w:themeColor="background1"/>
                <w:sz w:val="16"/>
                <w:szCs w:val="18"/>
                <w14:textFill>
                  <w14:solidFill>
                    <w14:schemeClr w14:val="bg1"/>
                  </w14:solidFill>
                </w14:textFill>
              </w:rPr>
              <w:t>广告收入</w:t>
            </w:r>
          </w:p>
        </w:tc>
        <w:tc>
          <w:tcPr>
            <w:tcW w:w="717"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1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20"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4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40</w:t>
            </w:r>
          </w:p>
        </w:tc>
        <w:tc>
          <w:tcPr>
            <w:tcW w:w="74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70</w:t>
            </w:r>
          </w:p>
        </w:tc>
        <w:tc>
          <w:tcPr>
            <w:tcW w:w="753"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150</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400</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1000</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1650</w:t>
            </w:r>
          </w:p>
        </w:tc>
        <w:tc>
          <w:tcPr>
            <w:tcW w:w="8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3500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222"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hint="eastAsia" w:ascii="宋体" w:hAnsi="宋体" w:eastAsia="宋体"/>
                <w:b/>
                <w:bCs/>
                <w:i w:val="0"/>
                <w:iCs w:val="0"/>
                <w:color w:val="FFFFFF" w:themeColor="background1"/>
                <w:sz w:val="16"/>
                <w:szCs w:val="18"/>
                <w14:textFill>
                  <w14:solidFill>
                    <w14:schemeClr w14:val="bg1"/>
                  </w14:solidFill>
                </w14:textFill>
              </w:rPr>
              <w:t>交叉查询</w:t>
            </w:r>
            <w:r>
              <w:rPr>
                <w:rFonts w:ascii="宋体" w:hAnsi="宋体" w:eastAsia="宋体"/>
                <w:b/>
                <w:bCs/>
                <w:i w:val="0"/>
                <w:iCs w:val="0"/>
                <w:color w:val="FFFFFF" w:themeColor="background1"/>
                <w:sz w:val="16"/>
                <w:szCs w:val="18"/>
                <w14:textFill>
                  <w14:solidFill>
                    <w14:schemeClr w14:val="bg1"/>
                  </w14:solidFill>
                </w14:textFill>
              </w:rPr>
              <w:t>收入</w:t>
            </w:r>
          </w:p>
        </w:tc>
        <w:tc>
          <w:tcPr>
            <w:tcW w:w="717"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1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20"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45"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10</w:t>
            </w:r>
          </w:p>
        </w:tc>
        <w:tc>
          <w:tcPr>
            <w:tcW w:w="745"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30</w:t>
            </w:r>
          </w:p>
        </w:tc>
        <w:tc>
          <w:tcPr>
            <w:tcW w:w="753"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50</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80</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100</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150</w:t>
            </w:r>
          </w:p>
        </w:tc>
        <w:tc>
          <w:tcPr>
            <w:tcW w:w="85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222"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ascii="宋体" w:hAnsi="宋体" w:eastAsia="宋体"/>
                <w:b/>
                <w:bCs/>
                <w:i w:val="0"/>
                <w:iCs w:val="0"/>
                <w:color w:val="FFFFFF" w:themeColor="background1"/>
                <w:sz w:val="16"/>
                <w:szCs w:val="18"/>
                <w14:textFill>
                  <w14:solidFill>
                    <w14:schemeClr w14:val="bg1"/>
                  </w14:solidFill>
                </w14:textFill>
              </w:rPr>
              <w:t>大数据服务费</w:t>
            </w:r>
          </w:p>
        </w:tc>
        <w:tc>
          <w:tcPr>
            <w:tcW w:w="717"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1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20"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4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45"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53"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0</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500</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1000</w:t>
            </w:r>
          </w:p>
        </w:tc>
        <w:tc>
          <w:tcPr>
            <w:tcW w:w="77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2000</w:t>
            </w:r>
          </w:p>
        </w:tc>
        <w:tc>
          <w:tcPr>
            <w:tcW w:w="8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5000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222" w:type="dxa"/>
            <w:tcBorders>
              <w:left w:val="single" w:color="FFFFFF" w:themeColor="background1" w:sz="8" w:space="0"/>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6"/>
                <w:szCs w:val="18"/>
                <w14:textFill>
                  <w14:solidFill>
                    <w14:schemeClr w14:val="bg1"/>
                  </w14:solidFill>
                </w14:textFill>
              </w:rPr>
            </w:pPr>
            <w:r>
              <w:rPr>
                <w:rFonts w:hint="eastAsia" w:ascii="宋体" w:hAnsi="宋体" w:eastAsia="宋体"/>
                <w:b/>
                <w:bCs/>
                <w:i w:val="0"/>
                <w:iCs w:val="0"/>
                <w:color w:val="FFFFFF" w:themeColor="background1"/>
                <w:sz w:val="16"/>
                <w:szCs w:val="18"/>
                <w14:textFill>
                  <w14:solidFill>
                    <w14:schemeClr w14:val="bg1"/>
                  </w14:solidFill>
                </w14:textFill>
              </w:rPr>
              <w:t>合计</w:t>
            </w:r>
          </w:p>
        </w:tc>
        <w:tc>
          <w:tcPr>
            <w:tcW w:w="717"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2.03</w:t>
            </w:r>
          </w:p>
        </w:tc>
        <w:tc>
          <w:tcPr>
            <w:tcW w:w="71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4.41</w:t>
            </w:r>
          </w:p>
        </w:tc>
        <w:tc>
          <w:tcPr>
            <w:tcW w:w="720"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11.33</w:t>
            </w:r>
          </w:p>
        </w:tc>
        <w:tc>
          <w:tcPr>
            <w:tcW w:w="745"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143.90</w:t>
            </w:r>
          </w:p>
        </w:tc>
        <w:tc>
          <w:tcPr>
            <w:tcW w:w="745"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275.52</w:t>
            </w:r>
          </w:p>
        </w:tc>
        <w:tc>
          <w:tcPr>
            <w:tcW w:w="753"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515.44</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1619.30</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3361.20</w:t>
            </w:r>
          </w:p>
        </w:tc>
        <w:tc>
          <w:tcPr>
            <w:tcW w:w="77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5806.86</w:t>
            </w:r>
          </w:p>
        </w:tc>
        <w:tc>
          <w:tcPr>
            <w:tcW w:w="856" w:type="dxa"/>
            <w:shd w:val="clear" w:color="auto" w:fill="D6E6F4" w:themeFill="accent1" w:themeFillTint="3F"/>
          </w:tcPr>
          <w:p>
            <w:pPr>
              <w:spacing w:line="240" w:lineRule="auto"/>
              <w:ind w:firstLine="0" w:firstLineChars="0"/>
              <w:jc w:val="center"/>
              <w:rPr>
                <w:rFonts w:ascii="宋体" w:hAnsi="宋体" w:eastAsia="宋体"/>
                <w:sz w:val="16"/>
                <w:szCs w:val="18"/>
              </w:rPr>
            </w:pPr>
            <w:r>
              <w:rPr>
                <w:rFonts w:hint="eastAsia" w:ascii="宋体" w:hAnsi="宋体" w:eastAsia="宋体"/>
                <w:sz w:val="16"/>
                <w:szCs w:val="18"/>
              </w:rPr>
              <w:t>11779.28</w:t>
            </w:r>
          </w:p>
        </w:tc>
      </w:tr>
    </w:tbl>
    <w:p>
      <w:pPr>
        <w:ind w:firstLine="420"/>
        <w:rPr>
          <w:rFonts w:ascii="仿宋_GB2312"/>
          <w:sz w:val="21"/>
          <w:szCs w:val="24"/>
        </w:rPr>
      </w:pPr>
      <w:r>
        <w:rPr>
          <w:rFonts w:hint="eastAsia" w:ascii="仿宋_GB2312"/>
          <w:sz w:val="21"/>
          <w:szCs w:val="24"/>
        </w:rPr>
        <w:t>注：大数据服务费包括科研机构、卫计委、医院、用户病情预测预防</w:t>
      </w:r>
    </w:p>
    <w:p>
      <w:pPr>
        <w:ind w:firstLine="480"/>
        <w:jc w:val="left"/>
        <w:rPr>
          <w:rFonts w:ascii="仿宋_GB2312" w:hAnsi="仿宋_GB2312" w:cs="仿宋_GB2312"/>
          <w:color w:val="000000"/>
          <w:sz w:val="24"/>
          <w:szCs w:val="28"/>
        </w:rPr>
      </w:pPr>
    </w:p>
    <w:p>
      <w:pPr>
        <w:pStyle w:val="84"/>
        <w:ind w:firstLine="0" w:firstLineChars="0"/>
        <w:outlineLvl w:val="1"/>
        <w:rPr>
          <w:rFonts w:ascii="黑体" w:hAnsi="黑体"/>
          <w:b w:val="0"/>
          <w:sz w:val="30"/>
          <w:szCs w:val="30"/>
        </w:rPr>
      </w:pPr>
      <w:bookmarkStart w:id="149" w:name="_Toc61100256"/>
      <w:r>
        <w:rPr>
          <w:rFonts w:hint="eastAsia" w:ascii="黑体" w:hAnsi="黑体"/>
          <w:b w:val="0"/>
          <w:sz w:val="30"/>
          <w:szCs w:val="30"/>
        </w:rPr>
        <w:t>8.3费用预测</w:t>
      </w:r>
      <w:bookmarkEnd w:id="149"/>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根据市场分析及企业的相关标准，公司在运营过程中发生的相关成本费用如表8-2所示。</w:t>
      </w:r>
    </w:p>
    <w:p>
      <w:pPr>
        <w:spacing w:line="240" w:lineRule="auto"/>
        <w:ind w:firstLine="0" w:firstLineChars="0"/>
        <w:jc w:val="center"/>
        <w:rPr>
          <w:rFonts w:ascii="仿宋_GB2312"/>
          <w:sz w:val="21"/>
          <w:szCs w:val="24"/>
        </w:rPr>
      </w:pPr>
      <w:r>
        <w:rPr>
          <w:rFonts w:hint="eastAsia" w:ascii="仿宋_GB2312"/>
          <w:sz w:val="21"/>
          <w:szCs w:val="24"/>
        </w:rPr>
        <w:t>表8-2总成本费用估算表</w:t>
      </w:r>
    </w:p>
    <w:p>
      <w:pPr>
        <w:spacing w:line="240" w:lineRule="auto"/>
        <w:ind w:firstLine="420"/>
        <w:jc w:val="right"/>
        <w:rPr>
          <w:rFonts w:ascii="仿宋_GB2312"/>
          <w:sz w:val="21"/>
          <w:szCs w:val="24"/>
        </w:rPr>
      </w:pPr>
      <w:r>
        <w:rPr>
          <w:rFonts w:hint="eastAsia" w:ascii="仿宋_GB2312"/>
          <w:sz w:val="21"/>
          <w:szCs w:val="24"/>
        </w:rPr>
        <w:t>（单位：万元）</w:t>
      </w:r>
    </w:p>
    <w:tbl>
      <w:tblPr>
        <w:tblStyle w:val="40"/>
        <w:tblW w:w="10121" w:type="dxa"/>
        <w:tblInd w:w="-459"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autofit"/>
        <w:tblCellMar>
          <w:top w:w="0" w:type="dxa"/>
          <w:left w:w="108" w:type="dxa"/>
          <w:bottom w:w="0" w:type="dxa"/>
          <w:right w:w="108" w:type="dxa"/>
        </w:tblCellMar>
      </w:tblPr>
      <w:tblGrid>
        <w:gridCol w:w="2273"/>
        <w:gridCol w:w="756"/>
        <w:gridCol w:w="756"/>
        <w:gridCol w:w="756"/>
        <w:gridCol w:w="756"/>
        <w:gridCol w:w="756"/>
        <w:gridCol w:w="756"/>
        <w:gridCol w:w="768"/>
        <w:gridCol w:w="846"/>
        <w:gridCol w:w="846"/>
        <w:gridCol w:w="852"/>
      </w:tblGrid>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时期</w:t>
            </w:r>
          </w:p>
        </w:tc>
        <w:tc>
          <w:tcPr>
            <w:tcW w:w="2268" w:type="dxa"/>
            <w:gridSpan w:val="3"/>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初期</w:t>
            </w:r>
          </w:p>
        </w:tc>
        <w:tc>
          <w:tcPr>
            <w:tcW w:w="2268" w:type="dxa"/>
            <w:gridSpan w:val="3"/>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中期</w:t>
            </w:r>
          </w:p>
        </w:tc>
        <w:tc>
          <w:tcPr>
            <w:tcW w:w="3312" w:type="dxa"/>
            <w:gridSpan w:val="4"/>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后期</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项目/年份</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ascii="宋体" w:hAnsi="宋体" w:eastAsia="宋体"/>
                <w:sz w:val="18"/>
                <w:szCs w:val="18"/>
              </w:rPr>
              <w:t>2019</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2020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2021</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2022</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2023</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2024</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2025</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2026</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2027</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2028</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567" w:hRule="atLeast"/>
        </w:trPr>
        <w:tc>
          <w:tcPr>
            <w:tcW w:w="2273"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一、销售费用（推广费）</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276.38</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ascii="宋体" w:hAnsi="宋体" w:eastAsia="宋体"/>
                <w:sz w:val="18"/>
                <w:szCs w:val="18"/>
              </w:rPr>
              <w:t>276.38</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ascii="宋体" w:hAnsi="宋体" w:eastAsia="宋体"/>
                <w:sz w:val="18"/>
                <w:szCs w:val="18"/>
              </w:rPr>
              <w:t>276.38</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24.54</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31.54</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42.74</w:t>
            </w:r>
          </w:p>
        </w:tc>
        <w:tc>
          <w:tcPr>
            <w:tcW w:w="768"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56.74</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79.14</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104.34</w:t>
            </w:r>
          </w:p>
        </w:tc>
        <w:tc>
          <w:tcPr>
            <w:tcW w:w="852"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140.74</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二、管理费用</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65.33</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62.33</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62.33</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123.33</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164</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204.66</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306.33</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408</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509.66</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814.66</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1.固定资产折旧费</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ascii="宋体" w:hAnsi="宋体" w:eastAsia="宋体"/>
                <w:sz w:val="18"/>
                <w:szCs w:val="18"/>
              </w:rPr>
              <w:t>0.30</w:t>
            </w:r>
          </w:p>
        </w:tc>
        <w:tc>
          <w:tcPr>
            <w:tcW w:w="768"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852"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2.固定资产修理费</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3.水电等基础设备</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w:t>
            </w:r>
          </w:p>
        </w:tc>
        <w:tc>
          <w:tcPr>
            <w:tcW w:w="768"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w:t>
            </w:r>
          </w:p>
        </w:tc>
        <w:tc>
          <w:tcPr>
            <w:tcW w:w="852"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4.办公设备购置</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5.调研费</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2.67</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3.33</w:t>
            </w:r>
          </w:p>
        </w:tc>
        <w:tc>
          <w:tcPr>
            <w:tcW w:w="768"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5.00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6.67</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5.33</w:t>
            </w:r>
          </w:p>
        </w:tc>
        <w:tc>
          <w:tcPr>
            <w:tcW w:w="852"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13.33</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6.保险费</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120.00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160.00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200.00</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300.00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400.00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500.00</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800.00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ascii="宋体" w:hAnsi="宋体" w:eastAsia="宋体"/>
                <w:b/>
                <w:bCs/>
                <w:i w:val="0"/>
                <w:iCs w:val="0"/>
                <w:color w:val="FFFFFF" w:themeColor="background1"/>
                <w:sz w:val="18"/>
                <w:szCs w:val="18"/>
                <w14:textFill>
                  <w14:solidFill>
                    <w14:schemeClr w14:val="bg1"/>
                  </w14:solidFill>
                </w14:textFill>
              </w:rPr>
              <w:t>三</w:t>
            </w:r>
            <w:r>
              <w:rPr>
                <w:rFonts w:hint="eastAsia" w:ascii="宋体" w:hAnsi="宋体" w:eastAsia="宋体"/>
                <w:b/>
                <w:bCs/>
                <w:i w:val="0"/>
                <w:iCs w:val="0"/>
                <w:color w:val="FFFFFF" w:themeColor="background1"/>
                <w:sz w:val="18"/>
                <w:szCs w:val="18"/>
                <w14:textFill>
                  <w14:solidFill>
                    <w14:schemeClr w14:val="bg1"/>
                  </w14:solidFill>
                </w14:textFill>
              </w:rPr>
              <w:t>、</w:t>
            </w:r>
            <w:r>
              <w:rPr>
                <w:rFonts w:ascii="宋体" w:hAnsi="宋体" w:eastAsia="宋体"/>
                <w:b/>
                <w:bCs/>
                <w:i w:val="0"/>
                <w:iCs w:val="0"/>
                <w:color w:val="FFFFFF" w:themeColor="background1"/>
                <w:sz w:val="18"/>
                <w:szCs w:val="18"/>
                <w14:textFill>
                  <w14:solidFill>
                    <w14:schemeClr w14:val="bg1"/>
                  </w14:solidFill>
                </w14:textFill>
              </w:rPr>
              <w:t>租赁费用</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21.80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21.80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21.80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43.60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58.21</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72.59</w:t>
            </w:r>
          </w:p>
        </w:tc>
        <w:tc>
          <w:tcPr>
            <w:tcW w:w="768"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109.00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145.41</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181.59</w:t>
            </w:r>
          </w:p>
        </w:tc>
        <w:tc>
          <w:tcPr>
            <w:tcW w:w="852"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290.59</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1.服务器租赁费</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1.80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1.80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1.80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3.60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4.81</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5.99</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9.00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12.01</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14.99</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23.99</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2.文献库租赁费</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53.40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66.60</w:t>
            </w:r>
          </w:p>
        </w:tc>
        <w:tc>
          <w:tcPr>
            <w:tcW w:w="768"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100.00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133.40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166.60</w:t>
            </w:r>
          </w:p>
        </w:tc>
        <w:tc>
          <w:tcPr>
            <w:tcW w:w="852"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266.60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四、软件研发和调试费用</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8.01</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9.99</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15.00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rPr>
                <w:rFonts w:ascii="宋体" w:hAnsi="宋体" w:eastAsia="宋体"/>
                <w:sz w:val="18"/>
                <w:szCs w:val="18"/>
              </w:rPr>
            </w:pPr>
            <w:r>
              <w:rPr>
                <w:rFonts w:hint="eastAsia" w:ascii="宋体" w:hAnsi="宋体" w:eastAsia="宋体"/>
                <w:sz w:val="18"/>
                <w:szCs w:val="18"/>
              </w:rPr>
              <w:t>20.01</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24.99</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39.99</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五、人员工资及补贴费用</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203.00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203.00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203.00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106.00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141.51</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176.49</w:t>
            </w:r>
          </w:p>
        </w:tc>
        <w:tc>
          <w:tcPr>
            <w:tcW w:w="768"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265.00</w:t>
            </w:r>
          </w:p>
        </w:tc>
        <w:tc>
          <w:tcPr>
            <w:tcW w:w="846" w:type="dxa"/>
            <w:shd w:val="clear" w:color="auto" w:fill="D6E6F4" w:themeFill="accent1" w:themeFillTint="3F"/>
          </w:tcPr>
          <w:p>
            <w:pPr>
              <w:spacing w:line="240" w:lineRule="auto"/>
              <w:ind w:firstLine="0" w:firstLineChars="0"/>
              <w:rPr>
                <w:rFonts w:ascii="宋体" w:hAnsi="宋体" w:eastAsia="宋体"/>
                <w:sz w:val="18"/>
                <w:szCs w:val="18"/>
              </w:rPr>
            </w:pPr>
            <w:r>
              <w:rPr>
                <w:rFonts w:hint="eastAsia" w:ascii="宋体" w:hAnsi="宋体" w:eastAsia="宋体"/>
                <w:sz w:val="18"/>
                <w:szCs w:val="18"/>
              </w:rPr>
              <w:t>353.51</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441.49</w:t>
            </w:r>
          </w:p>
        </w:tc>
        <w:tc>
          <w:tcPr>
            <w:tcW w:w="852"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705.49</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1.医生级别评定专家费</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8.01</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9.99</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15.00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rPr>
                <w:rFonts w:ascii="宋体" w:hAnsi="宋体" w:eastAsia="宋体"/>
                <w:sz w:val="18"/>
                <w:szCs w:val="18"/>
              </w:rPr>
            </w:pPr>
            <w:r>
              <w:rPr>
                <w:rFonts w:hint="eastAsia" w:ascii="宋体" w:hAnsi="宋体" w:eastAsia="宋体"/>
                <w:sz w:val="18"/>
                <w:szCs w:val="18"/>
              </w:rPr>
              <w:t>20.01</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24.99</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39.99</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2.医生处方补贴费</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68"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shd w:val="clear" w:color="auto" w:fill="D6E6F4" w:themeFill="accent1" w:themeFillTint="3F"/>
          </w:tcPr>
          <w:p>
            <w:pPr>
              <w:spacing w:line="240" w:lineRule="auto"/>
              <w:ind w:firstLine="0" w:firstLineChars="0"/>
              <w:rPr>
                <w:rFonts w:ascii="宋体" w:hAnsi="宋体" w:eastAsia="宋体"/>
                <w:sz w:val="18"/>
                <w:szCs w:val="18"/>
              </w:rPr>
            </w:pPr>
            <w:r>
              <w:rPr>
                <w:rFonts w:hint="eastAsia" w:ascii="宋体" w:hAnsi="宋体" w:eastAsia="宋体"/>
                <w:sz w:val="18"/>
                <w:szCs w:val="18"/>
              </w:rPr>
              <w:t>0.00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52"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3.医生咨询服务补贴费</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rPr>
                <w:rFonts w:ascii="宋体" w:hAnsi="宋体" w:eastAsia="宋体"/>
                <w:sz w:val="18"/>
                <w:szCs w:val="18"/>
              </w:rPr>
            </w:pPr>
            <w:r>
              <w:rPr>
                <w:rFonts w:hint="eastAsia" w:ascii="宋体" w:hAnsi="宋体" w:eastAsia="宋体"/>
                <w:sz w:val="18"/>
                <w:szCs w:val="18"/>
              </w:rPr>
              <w:t>0.00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4.员工工资（回访人员、技术人员）</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133.50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166.50</w:t>
            </w:r>
          </w:p>
        </w:tc>
        <w:tc>
          <w:tcPr>
            <w:tcW w:w="768"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250.00</w:t>
            </w:r>
          </w:p>
        </w:tc>
        <w:tc>
          <w:tcPr>
            <w:tcW w:w="846" w:type="dxa"/>
            <w:shd w:val="clear" w:color="auto" w:fill="D6E6F4" w:themeFill="accent1" w:themeFillTint="3F"/>
          </w:tcPr>
          <w:p>
            <w:pPr>
              <w:spacing w:line="240" w:lineRule="auto"/>
              <w:ind w:firstLine="0" w:firstLineChars="0"/>
              <w:rPr>
                <w:rFonts w:ascii="宋体" w:hAnsi="宋体" w:eastAsia="宋体"/>
                <w:sz w:val="18"/>
                <w:szCs w:val="18"/>
              </w:rPr>
            </w:pPr>
            <w:r>
              <w:rPr>
                <w:rFonts w:hint="eastAsia" w:ascii="宋体" w:hAnsi="宋体" w:eastAsia="宋体"/>
                <w:sz w:val="18"/>
                <w:szCs w:val="18"/>
              </w:rPr>
              <w:t>333.50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416.50</w:t>
            </w:r>
          </w:p>
        </w:tc>
        <w:tc>
          <w:tcPr>
            <w:tcW w:w="852"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666.50</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六、其他费用</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22.00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22.00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22.00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44.00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58.74</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73.26</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110.00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rPr>
                <w:rFonts w:ascii="宋体" w:hAnsi="宋体" w:eastAsia="宋体"/>
                <w:sz w:val="18"/>
                <w:szCs w:val="18"/>
              </w:rPr>
            </w:pPr>
            <w:r>
              <w:rPr>
                <w:rFonts w:hint="eastAsia" w:ascii="宋体" w:hAnsi="宋体" w:eastAsia="宋体"/>
                <w:sz w:val="18"/>
                <w:szCs w:val="18"/>
              </w:rPr>
              <w:t>146.74</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183.26</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293.26</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七、应交税费</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0.13</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0.29</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0.75</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9.50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18.18</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34.02</w:t>
            </w:r>
          </w:p>
        </w:tc>
        <w:tc>
          <w:tcPr>
            <w:tcW w:w="768"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106.87</w:t>
            </w:r>
          </w:p>
        </w:tc>
        <w:tc>
          <w:tcPr>
            <w:tcW w:w="846" w:type="dxa"/>
            <w:shd w:val="clear" w:color="auto" w:fill="D6E6F4" w:themeFill="accent1" w:themeFillTint="3F"/>
          </w:tcPr>
          <w:p>
            <w:pPr>
              <w:spacing w:line="240" w:lineRule="auto"/>
              <w:ind w:firstLine="0" w:firstLineChars="0"/>
              <w:rPr>
                <w:rFonts w:ascii="宋体" w:hAnsi="宋体" w:eastAsia="宋体"/>
                <w:sz w:val="18"/>
                <w:szCs w:val="18"/>
              </w:rPr>
            </w:pPr>
            <w:r>
              <w:rPr>
                <w:rFonts w:hint="eastAsia" w:ascii="宋体" w:hAnsi="宋体" w:eastAsia="宋体"/>
                <w:sz w:val="18"/>
                <w:szCs w:val="18"/>
              </w:rPr>
              <w:t>333.60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1216.07</w:t>
            </w:r>
          </w:p>
        </w:tc>
        <w:tc>
          <w:tcPr>
            <w:tcW w:w="852"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2596.04</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1.增值税</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0.06</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0.13</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0.34</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4.32</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8.27</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15.46</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48.58</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rPr>
                <w:rFonts w:ascii="宋体" w:hAnsi="宋体" w:eastAsia="宋体"/>
                <w:sz w:val="18"/>
                <w:szCs w:val="18"/>
              </w:rPr>
            </w:pPr>
            <w:r>
              <w:rPr>
                <w:rFonts w:hint="eastAsia" w:ascii="宋体" w:hAnsi="宋体" w:eastAsia="宋体"/>
                <w:sz w:val="18"/>
                <w:szCs w:val="18"/>
              </w:rPr>
              <w:t>100.84</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174.21</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353.38</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2.营业税金及附加</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0.07</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0.16</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0.41</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5.18</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9.92</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18.56</w:t>
            </w:r>
          </w:p>
        </w:tc>
        <w:tc>
          <w:tcPr>
            <w:tcW w:w="768"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58.29</w:t>
            </w:r>
          </w:p>
        </w:tc>
        <w:tc>
          <w:tcPr>
            <w:tcW w:w="846" w:type="dxa"/>
            <w:shd w:val="clear" w:color="auto" w:fill="D6E6F4" w:themeFill="accent1" w:themeFillTint="3F"/>
          </w:tcPr>
          <w:p>
            <w:pPr>
              <w:spacing w:line="240" w:lineRule="auto"/>
              <w:ind w:firstLine="0" w:firstLineChars="0"/>
              <w:rPr>
                <w:rFonts w:ascii="宋体" w:hAnsi="宋体" w:eastAsia="宋体"/>
                <w:sz w:val="18"/>
                <w:szCs w:val="18"/>
              </w:rPr>
            </w:pPr>
            <w:r>
              <w:rPr>
                <w:rFonts w:hint="eastAsia" w:ascii="宋体" w:hAnsi="宋体" w:eastAsia="宋体"/>
                <w:sz w:val="18"/>
                <w:szCs w:val="18"/>
              </w:rPr>
              <w:t>121.00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209.05</w:t>
            </w:r>
          </w:p>
        </w:tc>
        <w:tc>
          <w:tcPr>
            <w:tcW w:w="852"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424.05</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2.1城市维护建设税</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0.04</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0.09</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0.24</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3.02</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5.79</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10.82</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34.01</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rPr>
                <w:rFonts w:ascii="宋体" w:hAnsi="宋体" w:eastAsia="宋体"/>
                <w:sz w:val="18"/>
                <w:szCs w:val="18"/>
              </w:rPr>
            </w:pPr>
            <w:r>
              <w:rPr>
                <w:rFonts w:hint="eastAsia" w:ascii="宋体" w:hAnsi="宋体" w:eastAsia="宋体"/>
                <w:sz w:val="18"/>
                <w:szCs w:val="18"/>
              </w:rPr>
              <w:t>70.59</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121.94</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247.36</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2.2教育费附加</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0.02</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0.04</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0.10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1.30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2.48</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4.64</w:t>
            </w:r>
          </w:p>
        </w:tc>
        <w:tc>
          <w:tcPr>
            <w:tcW w:w="768"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14.57</w:t>
            </w:r>
          </w:p>
        </w:tc>
        <w:tc>
          <w:tcPr>
            <w:tcW w:w="846" w:type="dxa"/>
            <w:shd w:val="clear" w:color="auto" w:fill="D6E6F4" w:themeFill="accent1" w:themeFillTint="3F"/>
          </w:tcPr>
          <w:p>
            <w:pPr>
              <w:spacing w:line="240" w:lineRule="auto"/>
              <w:ind w:firstLine="0" w:firstLineChars="0"/>
              <w:rPr>
                <w:rFonts w:ascii="宋体" w:hAnsi="宋体" w:eastAsia="宋体"/>
                <w:sz w:val="18"/>
                <w:szCs w:val="18"/>
              </w:rPr>
            </w:pPr>
            <w:r>
              <w:rPr>
                <w:rFonts w:hint="eastAsia" w:ascii="宋体" w:hAnsi="宋体" w:eastAsia="宋体"/>
                <w:sz w:val="18"/>
                <w:szCs w:val="18"/>
              </w:rPr>
              <w:t>30.25</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52.26</w:t>
            </w:r>
          </w:p>
        </w:tc>
        <w:tc>
          <w:tcPr>
            <w:tcW w:w="852"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106.01</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2.3地方教育费附加</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0.01</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0.03</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0.07</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0.86</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1.65</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3.09</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9.72</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rPr>
                <w:rFonts w:ascii="宋体" w:hAnsi="宋体" w:eastAsia="宋体"/>
                <w:sz w:val="18"/>
                <w:szCs w:val="18"/>
              </w:rPr>
            </w:pPr>
            <w:r>
              <w:rPr>
                <w:rFonts w:hint="eastAsia" w:ascii="宋体" w:hAnsi="宋体" w:eastAsia="宋体"/>
                <w:sz w:val="18"/>
                <w:szCs w:val="18"/>
              </w:rPr>
              <w:t>20.17</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34.84</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70.68</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3.所得税</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68"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shd w:val="clear" w:color="auto" w:fill="D6E6F4" w:themeFill="accent1" w:themeFillTint="3F"/>
          </w:tcPr>
          <w:p>
            <w:pPr>
              <w:spacing w:line="240" w:lineRule="auto"/>
              <w:ind w:firstLine="0" w:firstLineChars="0"/>
              <w:rPr>
                <w:rFonts w:ascii="宋体" w:hAnsi="宋体" w:eastAsia="宋体"/>
                <w:sz w:val="18"/>
                <w:szCs w:val="18"/>
              </w:rPr>
            </w:pPr>
            <w:r>
              <w:rPr>
                <w:rFonts w:hint="eastAsia" w:ascii="宋体" w:hAnsi="宋体" w:eastAsia="宋体"/>
                <w:sz w:val="18"/>
                <w:szCs w:val="18"/>
              </w:rPr>
              <w:t>111.76</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832.82</w:t>
            </w:r>
          </w:p>
        </w:tc>
        <w:tc>
          <w:tcPr>
            <w:tcW w:w="852"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1816.61</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273" w:type="dxa"/>
            <w:tcBorders>
              <w:top w:val="single" w:color="FFFFFF" w:themeColor="background1" w:sz="8" w:space="0"/>
              <w:left w:val="single" w:color="FFFFFF" w:themeColor="background1" w:sz="8" w:space="0"/>
              <w:bottom w:val="single" w:color="FFFFFF" w:themeColor="background1" w:sz="8" w:space="0"/>
              <w:right w:val="single" w:color="FFFFFF" w:themeColor="background1" w:sz="24" w:space="0"/>
              <w:insideH w:val="single" w:sz="8" w:space="0"/>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合计</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591.64</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588.80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589.26</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356.97</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480.19</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613.75</w:t>
            </w:r>
          </w:p>
        </w:tc>
        <w:tc>
          <w:tcPr>
            <w:tcW w:w="768"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968.94</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rPr>
                <w:rFonts w:ascii="宋体" w:hAnsi="宋体" w:eastAsia="宋体"/>
                <w:sz w:val="18"/>
                <w:szCs w:val="18"/>
              </w:rPr>
            </w:pPr>
            <w:r>
              <w:rPr>
                <w:rFonts w:hint="eastAsia" w:ascii="宋体" w:hAnsi="宋体" w:eastAsia="宋体"/>
                <w:sz w:val="18"/>
                <w:szCs w:val="18"/>
              </w:rPr>
              <w:t>1486.40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2661.41</w:t>
            </w:r>
          </w:p>
        </w:tc>
        <w:tc>
          <w:tcPr>
            <w:tcW w:w="852"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4881.78</w:t>
            </w:r>
          </w:p>
        </w:tc>
      </w:tr>
    </w:tbl>
    <w:p>
      <w:pPr>
        <w:spacing w:line="240" w:lineRule="auto"/>
        <w:ind w:firstLine="420"/>
        <w:jc w:val="left"/>
        <w:rPr>
          <w:rFonts w:ascii="仿宋_GB2312" w:hAnsi="仿宋_GB2312" w:cs="仿宋_GB2312"/>
          <w:color w:val="000000"/>
          <w:sz w:val="21"/>
          <w:szCs w:val="21"/>
        </w:rPr>
      </w:pPr>
      <w:r>
        <w:rPr>
          <w:rFonts w:hint="eastAsia" w:ascii="仿宋_GB2312" w:hAnsi="仿宋_GB2312" w:cs="仿宋_GB2312"/>
          <w:color w:val="000000"/>
          <w:sz w:val="21"/>
          <w:szCs w:val="21"/>
        </w:rPr>
        <w:t>注:1.本公司销售费用主要为APP推广费用；</w:t>
      </w:r>
    </w:p>
    <w:p>
      <w:pPr>
        <w:spacing w:line="240" w:lineRule="auto"/>
        <w:ind w:firstLine="420"/>
        <w:jc w:val="left"/>
        <w:rPr>
          <w:rFonts w:ascii="仿宋_GB2312" w:hAnsi="仿宋_GB2312" w:cs="仿宋_GB2312"/>
          <w:color w:val="000000"/>
          <w:sz w:val="21"/>
          <w:szCs w:val="21"/>
        </w:rPr>
      </w:pPr>
      <w:r>
        <w:rPr>
          <w:rFonts w:hint="eastAsia" w:ascii="仿宋_GB2312" w:hAnsi="仿宋_GB2312" w:cs="仿宋_GB2312"/>
          <w:color w:val="000000"/>
          <w:sz w:val="21"/>
          <w:szCs w:val="21"/>
        </w:rPr>
        <w:t>2.固定资产修理费按折旧费的10%计提；</w:t>
      </w:r>
    </w:p>
    <w:p>
      <w:pPr>
        <w:spacing w:line="240" w:lineRule="auto"/>
        <w:ind w:firstLine="420"/>
        <w:jc w:val="left"/>
        <w:rPr>
          <w:rFonts w:ascii="仿宋_GB2312" w:hAnsi="仿宋_GB2312" w:cs="仿宋_GB2312"/>
          <w:color w:val="000000"/>
          <w:sz w:val="21"/>
          <w:szCs w:val="21"/>
        </w:rPr>
      </w:pPr>
      <w:r>
        <w:rPr>
          <w:rFonts w:hint="eastAsia" w:ascii="仿宋_GB2312" w:hAnsi="仿宋_GB2312" w:cs="仿宋_GB2312"/>
          <w:color w:val="000000"/>
          <w:sz w:val="21"/>
          <w:szCs w:val="21"/>
        </w:rPr>
        <w:t>3.其他费用主要是用户积分优惠券兑换费等；</w:t>
      </w:r>
    </w:p>
    <w:p>
      <w:pPr>
        <w:spacing w:line="240" w:lineRule="auto"/>
        <w:ind w:firstLine="420"/>
        <w:jc w:val="left"/>
        <w:rPr>
          <w:rFonts w:ascii="仿宋_GB2312" w:hAnsi="仿宋_GB2312" w:cs="仿宋_GB2312"/>
          <w:color w:val="000000"/>
          <w:sz w:val="21"/>
          <w:szCs w:val="21"/>
        </w:rPr>
      </w:pPr>
      <w:r>
        <w:rPr>
          <w:rFonts w:hint="eastAsia" w:ascii="仿宋_GB2312" w:hAnsi="仿宋_GB2312" w:cs="仿宋_GB2312"/>
          <w:color w:val="000000"/>
          <w:sz w:val="21"/>
          <w:szCs w:val="21"/>
        </w:rPr>
        <w:t>4.城市维护建设税税率为7%，教育费附加税率为3%，地方教育费附加税率为2%。</w:t>
      </w:r>
    </w:p>
    <w:p>
      <w:pPr>
        <w:spacing w:line="240" w:lineRule="auto"/>
        <w:ind w:firstLine="420"/>
        <w:jc w:val="left"/>
        <w:rPr>
          <w:rFonts w:ascii="仿宋_GB2312" w:hAnsi="仿宋_GB2312" w:cs="仿宋_GB2312"/>
          <w:color w:val="000000"/>
          <w:sz w:val="21"/>
          <w:szCs w:val="21"/>
        </w:rPr>
      </w:pPr>
    </w:p>
    <w:p>
      <w:pPr>
        <w:ind w:firstLine="0" w:firstLineChars="0"/>
        <w:jc w:val="left"/>
        <w:outlineLvl w:val="1"/>
        <w:rPr>
          <w:rFonts w:ascii="黑体" w:hAnsi="黑体" w:eastAsia="黑体"/>
          <w:sz w:val="30"/>
          <w:szCs w:val="30"/>
        </w:rPr>
      </w:pPr>
      <w:bookmarkStart w:id="150" w:name="_Toc61100257"/>
      <w:r>
        <w:rPr>
          <w:rFonts w:hint="eastAsia" w:ascii="黑体" w:hAnsi="黑体" w:eastAsia="黑体"/>
          <w:sz w:val="30"/>
          <w:szCs w:val="30"/>
        </w:rPr>
        <w:t>8.4财务报表预测</w:t>
      </w:r>
      <w:bookmarkEnd w:id="150"/>
    </w:p>
    <w:p>
      <w:pPr>
        <w:tabs>
          <w:tab w:val="center" w:pos="4434"/>
        </w:tabs>
        <w:spacing w:line="500" w:lineRule="exact"/>
        <w:ind w:firstLine="0" w:firstLineChars="0"/>
        <w:jc w:val="left"/>
        <w:outlineLvl w:val="2"/>
        <w:rPr>
          <w:rFonts w:ascii="黑体" w:hAnsi="黑体" w:eastAsia="黑体" w:cs="Times New Roman"/>
        </w:rPr>
      </w:pPr>
      <w:bookmarkStart w:id="151" w:name="_Toc29918"/>
      <w:bookmarkStart w:id="152" w:name="_Toc5364998"/>
      <w:bookmarkStart w:id="153" w:name="_Toc4788796"/>
      <w:bookmarkStart w:id="154" w:name="_Toc61100258"/>
      <w:r>
        <w:rPr>
          <w:rFonts w:hint="eastAsia" w:ascii="黑体" w:hAnsi="黑体" w:eastAsia="黑体" w:cs="Times New Roman"/>
        </w:rPr>
        <w:t>8.4.1利润</w:t>
      </w:r>
      <w:bookmarkEnd w:id="151"/>
      <w:bookmarkEnd w:id="152"/>
      <w:bookmarkEnd w:id="153"/>
      <w:r>
        <w:rPr>
          <w:rFonts w:hint="eastAsia" w:ascii="黑体" w:hAnsi="黑体" w:eastAsia="黑体" w:cs="Times New Roman"/>
        </w:rPr>
        <w:t>表</w:t>
      </w:r>
      <w:bookmarkEnd w:id="154"/>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根据公司前期的财务数据，我们对利润表进行了相关的分析与预测，预测的利润表如表8-3所示。</w:t>
      </w:r>
    </w:p>
    <w:p>
      <w:pPr>
        <w:spacing w:line="240" w:lineRule="auto"/>
        <w:ind w:firstLine="0" w:firstLineChars="0"/>
        <w:jc w:val="center"/>
        <w:rPr>
          <w:rFonts w:ascii="仿宋_GB2312"/>
          <w:sz w:val="21"/>
          <w:szCs w:val="24"/>
        </w:rPr>
      </w:pPr>
      <w:r>
        <w:rPr>
          <w:rFonts w:hint="eastAsia" w:ascii="仿宋_GB2312"/>
          <w:sz w:val="21"/>
          <w:szCs w:val="24"/>
        </w:rPr>
        <w:t>表8-3 利润表</w:t>
      </w:r>
    </w:p>
    <w:p>
      <w:pPr>
        <w:spacing w:line="240" w:lineRule="auto"/>
        <w:ind w:firstLine="0" w:firstLineChars="0"/>
        <w:jc w:val="right"/>
        <w:rPr>
          <w:rFonts w:ascii="仿宋_GB2312"/>
          <w:sz w:val="21"/>
          <w:szCs w:val="24"/>
        </w:rPr>
      </w:pPr>
      <w:r>
        <w:rPr>
          <w:rFonts w:hint="eastAsia" w:ascii="仿宋_GB2312"/>
          <w:sz w:val="21"/>
          <w:szCs w:val="24"/>
        </w:rPr>
        <w:t xml:space="preserve">       单位：万元</w:t>
      </w:r>
    </w:p>
    <w:tbl>
      <w:tblPr>
        <w:tblStyle w:val="22"/>
        <w:tblW w:w="8845" w:type="dxa"/>
        <w:jc w:val="center"/>
        <w:tblLayout w:type="fixed"/>
        <w:tblCellMar>
          <w:top w:w="0" w:type="dxa"/>
          <w:left w:w="0" w:type="dxa"/>
          <w:bottom w:w="0" w:type="dxa"/>
          <w:right w:w="0" w:type="dxa"/>
        </w:tblCellMar>
      </w:tblPr>
      <w:tblGrid>
        <w:gridCol w:w="1304"/>
        <w:gridCol w:w="737"/>
        <w:gridCol w:w="737"/>
        <w:gridCol w:w="737"/>
        <w:gridCol w:w="737"/>
        <w:gridCol w:w="737"/>
        <w:gridCol w:w="737"/>
        <w:gridCol w:w="737"/>
        <w:gridCol w:w="794"/>
        <w:gridCol w:w="794"/>
        <w:gridCol w:w="794"/>
      </w:tblGrid>
      <w:tr>
        <w:tblPrEx>
          <w:tblCellMar>
            <w:top w:w="0" w:type="dxa"/>
            <w:left w:w="0" w:type="dxa"/>
            <w:bottom w:w="0" w:type="dxa"/>
            <w:right w:w="0" w:type="dxa"/>
          </w:tblCellMar>
        </w:tblPrEx>
        <w:trPr>
          <w:trHeight w:val="433" w:hRule="atLeast"/>
          <w:jc w:val="center"/>
        </w:trPr>
        <w:tc>
          <w:tcPr>
            <w:tcW w:w="1304"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年份</w:t>
            </w:r>
          </w:p>
        </w:tc>
        <w:tc>
          <w:tcPr>
            <w:tcW w:w="737"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20</w:t>
            </w:r>
            <w:r>
              <w:rPr>
                <w:rFonts w:hint="eastAsia" w:ascii="宋体" w:hAnsi="宋体" w:eastAsia="宋体" w:cs="仿宋_GB2312"/>
                <w:sz w:val="18"/>
                <w:szCs w:val="18"/>
              </w:rPr>
              <w:t>19</w:t>
            </w:r>
          </w:p>
        </w:tc>
        <w:tc>
          <w:tcPr>
            <w:tcW w:w="737"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w:t>
            </w:r>
            <w:r>
              <w:rPr>
                <w:rFonts w:hint="eastAsia" w:ascii="宋体" w:hAnsi="宋体" w:eastAsia="宋体" w:cs="仿宋_GB2312"/>
                <w:sz w:val="18"/>
                <w:szCs w:val="18"/>
              </w:rPr>
              <w:t>020</w:t>
            </w:r>
          </w:p>
        </w:tc>
        <w:tc>
          <w:tcPr>
            <w:tcW w:w="737"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20</w:t>
            </w:r>
            <w:r>
              <w:rPr>
                <w:rFonts w:hint="eastAsia" w:ascii="宋体" w:hAnsi="宋体" w:eastAsia="宋体" w:cs="仿宋_GB2312"/>
                <w:sz w:val="18"/>
                <w:szCs w:val="18"/>
              </w:rPr>
              <w:t>21</w:t>
            </w:r>
          </w:p>
        </w:tc>
        <w:tc>
          <w:tcPr>
            <w:tcW w:w="737"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20</w:t>
            </w:r>
            <w:r>
              <w:rPr>
                <w:rFonts w:hint="eastAsia" w:ascii="宋体" w:hAnsi="宋体" w:eastAsia="宋体" w:cs="仿宋_GB2312"/>
                <w:sz w:val="18"/>
                <w:szCs w:val="18"/>
              </w:rPr>
              <w:t>22</w:t>
            </w:r>
          </w:p>
        </w:tc>
        <w:tc>
          <w:tcPr>
            <w:tcW w:w="737"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202</w:t>
            </w:r>
            <w:r>
              <w:rPr>
                <w:rFonts w:hint="eastAsia" w:ascii="宋体" w:hAnsi="宋体" w:eastAsia="宋体" w:cs="仿宋_GB2312"/>
                <w:sz w:val="18"/>
                <w:szCs w:val="18"/>
              </w:rPr>
              <w:t>3</w:t>
            </w:r>
          </w:p>
        </w:tc>
        <w:tc>
          <w:tcPr>
            <w:tcW w:w="737"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2024</w:t>
            </w:r>
          </w:p>
        </w:tc>
        <w:tc>
          <w:tcPr>
            <w:tcW w:w="737"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2025</w:t>
            </w:r>
          </w:p>
        </w:tc>
        <w:tc>
          <w:tcPr>
            <w:tcW w:w="794"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2026</w:t>
            </w:r>
          </w:p>
        </w:tc>
        <w:tc>
          <w:tcPr>
            <w:tcW w:w="794"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2027</w:t>
            </w:r>
          </w:p>
        </w:tc>
        <w:tc>
          <w:tcPr>
            <w:tcW w:w="794"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2028</w:t>
            </w:r>
          </w:p>
        </w:tc>
      </w:tr>
      <w:tr>
        <w:tblPrEx>
          <w:tblCellMar>
            <w:top w:w="0" w:type="dxa"/>
            <w:left w:w="0" w:type="dxa"/>
            <w:bottom w:w="0" w:type="dxa"/>
            <w:right w:w="0" w:type="dxa"/>
          </w:tblCellMar>
        </w:tblPrEx>
        <w:trPr>
          <w:trHeight w:val="415" w:hRule="atLeast"/>
          <w:jc w:val="center"/>
        </w:trPr>
        <w:tc>
          <w:tcPr>
            <w:tcW w:w="1304"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一、营业收入</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2.03</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4.41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11.33</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143.90</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275.52</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515.44</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1619.30</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3361.20</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5806.86</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11779.28</w:t>
            </w:r>
          </w:p>
        </w:tc>
      </w:tr>
      <w:tr>
        <w:tblPrEx>
          <w:tblCellMar>
            <w:top w:w="0" w:type="dxa"/>
            <w:left w:w="0" w:type="dxa"/>
            <w:bottom w:w="0" w:type="dxa"/>
            <w:right w:w="0" w:type="dxa"/>
          </w:tblCellMar>
        </w:tblPrEx>
        <w:trPr>
          <w:trHeight w:val="433" w:hRule="atLeast"/>
          <w:jc w:val="center"/>
        </w:trPr>
        <w:tc>
          <w:tcPr>
            <w:tcW w:w="1304"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减：营业成本额</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591.51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585.51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585.51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347.47</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462.01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autoSpaceDE w:val="0"/>
              <w:autoSpaceDN w:val="0"/>
              <w:spacing w:line="240" w:lineRule="auto"/>
              <w:ind w:firstLine="0" w:firstLineChars="0"/>
              <w:jc w:val="center"/>
              <w:rPr>
                <w:rFonts w:ascii="宋体" w:hAnsi="宋体" w:eastAsia="宋体" w:cs="Times New Roman"/>
                <w:color w:val="000000"/>
                <w:sz w:val="18"/>
                <w:szCs w:val="18"/>
                <w:lang w:val="ru-RU"/>
              </w:rPr>
            </w:pPr>
            <w:r>
              <w:rPr>
                <w:rFonts w:ascii="宋体" w:hAnsi="宋体" w:eastAsia="宋体" w:cs="Times New Roman"/>
                <w:color w:val="000000"/>
                <w:sz w:val="18"/>
                <w:szCs w:val="18"/>
                <w:lang w:val="ru-RU"/>
              </w:rPr>
              <w:t>579.73</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autoSpaceDE w:val="0"/>
              <w:autoSpaceDN w:val="0"/>
              <w:spacing w:line="240" w:lineRule="auto"/>
              <w:ind w:firstLine="0" w:firstLineChars="0"/>
              <w:jc w:val="center"/>
              <w:rPr>
                <w:rFonts w:ascii="宋体" w:hAnsi="宋体" w:eastAsia="宋体" w:cs="Times New Roman"/>
                <w:color w:val="000000"/>
                <w:sz w:val="18"/>
                <w:szCs w:val="18"/>
                <w:lang w:val="ru-RU"/>
              </w:rPr>
            </w:pPr>
            <w:r>
              <w:rPr>
                <w:rFonts w:ascii="宋体" w:hAnsi="宋体" w:eastAsia="宋体" w:cs="Times New Roman"/>
                <w:color w:val="000000"/>
                <w:sz w:val="18"/>
                <w:szCs w:val="18"/>
                <w:lang w:val="ru-RU"/>
              </w:rPr>
              <w:t>862.07</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autoSpaceDE w:val="0"/>
              <w:autoSpaceDN w:val="0"/>
              <w:spacing w:line="240" w:lineRule="auto"/>
              <w:ind w:firstLine="0" w:firstLineChars="0"/>
              <w:jc w:val="center"/>
              <w:rPr>
                <w:rFonts w:ascii="宋体" w:hAnsi="宋体" w:eastAsia="宋体" w:cs="Times New Roman"/>
                <w:color w:val="000000"/>
                <w:sz w:val="18"/>
                <w:szCs w:val="18"/>
                <w:lang w:val="ru-RU"/>
              </w:rPr>
            </w:pPr>
            <w:r>
              <w:rPr>
                <w:rFonts w:ascii="宋体" w:hAnsi="宋体" w:eastAsia="宋体" w:cs="Times New Roman"/>
                <w:color w:val="000000"/>
                <w:sz w:val="18"/>
                <w:szCs w:val="18"/>
                <w:lang w:val="ru-RU"/>
              </w:rPr>
              <w:t>1152.81</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autoSpaceDE w:val="0"/>
              <w:autoSpaceDN w:val="0"/>
              <w:spacing w:line="240" w:lineRule="auto"/>
              <w:ind w:firstLine="0" w:firstLineChars="0"/>
              <w:jc w:val="center"/>
              <w:rPr>
                <w:rFonts w:ascii="宋体" w:hAnsi="宋体" w:eastAsia="宋体" w:cs="Times New Roman"/>
                <w:color w:val="000000"/>
                <w:sz w:val="18"/>
                <w:szCs w:val="18"/>
                <w:lang w:val="ru-RU"/>
              </w:rPr>
            </w:pPr>
            <w:r>
              <w:rPr>
                <w:rFonts w:ascii="宋体" w:hAnsi="宋体" w:eastAsia="宋体" w:cs="Times New Roman"/>
                <w:color w:val="000000"/>
                <w:sz w:val="18"/>
                <w:szCs w:val="18"/>
                <w:lang w:val="ru-RU"/>
              </w:rPr>
              <w:t>1445.33</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Times New Roman"/>
                <w:color w:val="000000"/>
                <w:sz w:val="18"/>
                <w:szCs w:val="18"/>
                <w:lang w:val="ru-RU"/>
              </w:rPr>
              <w:t>2</w:t>
            </w:r>
            <w:r>
              <w:rPr>
                <w:rFonts w:ascii="宋体" w:hAnsi="宋体" w:eastAsia="宋体" w:cs="Times New Roman"/>
                <w:color w:val="000000"/>
                <w:sz w:val="18"/>
                <w:szCs w:val="18"/>
                <w:lang w:val="ru-RU"/>
              </w:rPr>
              <w:t>285.73</w:t>
            </w:r>
          </w:p>
        </w:tc>
      </w:tr>
      <w:tr>
        <w:tblPrEx>
          <w:tblCellMar>
            <w:top w:w="0" w:type="dxa"/>
            <w:left w:w="0" w:type="dxa"/>
            <w:bottom w:w="0" w:type="dxa"/>
            <w:right w:w="0" w:type="dxa"/>
          </w:tblCellMar>
        </w:tblPrEx>
        <w:trPr>
          <w:trHeight w:val="433" w:hRule="atLeast"/>
          <w:jc w:val="center"/>
        </w:trPr>
        <w:tc>
          <w:tcPr>
            <w:tcW w:w="1304"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营业税金及附加</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0.07</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0.16</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0.41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5.18</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9.92</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autoSpaceDE w:val="0"/>
              <w:autoSpaceDN w:val="0"/>
              <w:spacing w:line="240" w:lineRule="auto"/>
              <w:ind w:left="46" w:firstLine="0" w:firstLineChars="0"/>
              <w:jc w:val="center"/>
              <w:rPr>
                <w:rFonts w:ascii="宋体" w:hAnsi="宋体" w:eastAsia="宋体" w:cs="Times New Roman"/>
                <w:color w:val="000000"/>
                <w:sz w:val="18"/>
                <w:szCs w:val="18"/>
                <w:lang w:val="ru-RU"/>
              </w:rPr>
            </w:pPr>
            <w:r>
              <w:rPr>
                <w:rFonts w:ascii="宋体" w:hAnsi="宋体" w:eastAsia="宋体" w:cs="Times New Roman"/>
                <w:color w:val="000000"/>
                <w:sz w:val="18"/>
                <w:szCs w:val="18"/>
                <w:lang w:val="ru-RU"/>
              </w:rPr>
              <w:t>18.56</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58.29</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autoSpaceDE w:val="0"/>
              <w:autoSpaceDN w:val="0"/>
              <w:spacing w:line="240" w:lineRule="auto"/>
              <w:ind w:left="180" w:firstLine="0" w:firstLineChars="0"/>
              <w:jc w:val="center"/>
              <w:rPr>
                <w:rFonts w:ascii="宋体" w:hAnsi="宋体" w:eastAsia="宋体" w:cs="Times New Roman"/>
                <w:color w:val="000000"/>
                <w:sz w:val="18"/>
                <w:szCs w:val="18"/>
                <w:lang w:val="ru-RU"/>
              </w:rPr>
            </w:pPr>
            <w:r>
              <w:rPr>
                <w:rFonts w:ascii="宋体" w:hAnsi="宋体" w:eastAsia="宋体" w:cs="Times New Roman"/>
                <w:color w:val="000000"/>
                <w:sz w:val="18"/>
                <w:szCs w:val="18"/>
                <w:lang w:val="ru-RU"/>
              </w:rPr>
              <w:t>121</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autoSpaceDE w:val="0"/>
              <w:autoSpaceDN w:val="0"/>
              <w:spacing w:line="240" w:lineRule="auto"/>
              <w:ind w:left="46" w:firstLine="0" w:firstLineChars="0"/>
              <w:jc w:val="center"/>
              <w:rPr>
                <w:rFonts w:ascii="宋体" w:hAnsi="宋体" w:eastAsia="宋体" w:cs="Times New Roman"/>
                <w:color w:val="000000"/>
                <w:sz w:val="18"/>
                <w:szCs w:val="18"/>
                <w:lang w:val="ru-RU"/>
              </w:rPr>
            </w:pPr>
            <w:r>
              <w:rPr>
                <w:rFonts w:ascii="宋体" w:hAnsi="宋体" w:eastAsia="宋体" w:cs="Times New Roman"/>
                <w:color w:val="000000"/>
                <w:sz w:val="18"/>
                <w:szCs w:val="18"/>
                <w:lang w:val="ru-RU"/>
              </w:rPr>
              <w:t>209.05</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424.05</w:t>
            </w:r>
          </w:p>
        </w:tc>
      </w:tr>
      <w:tr>
        <w:tblPrEx>
          <w:tblCellMar>
            <w:top w:w="0" w:type="dxa"/>
            <w:left w:w="0" w:type="dxa"/>
            <w:bottom w:w="0" w:type="dxa"/>
            <w:right w:w="0" w:type="dxa"/>
          </w:tblCellMar>
        </w:tblPrEx>
        <w:trPr>
          <w:trHeight w:val="433" w:hRule="atLeast"/>
          <w:jc w:val="center"/>
        </w:trPr>
        <w:tc>
          <w:tcPr>
            <w:tcW w:w="1304"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二、营业利润</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-589.55</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-584.26</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-577.59</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-208.75</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-196.41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autoSpaceDE w:val="0"/>
              <w:autoSpaceDN w:val="0"/>
              <w:spacing w:line="240" w:lineRule="auto"/>
              <w:ind w:firstLine="0" w:firstLineChars="0"/>
              <w:jc w:val="center"/>
              <w:rPr>
                <w:rFonts w:ascii="宋体" w:hAnsi="宋体" w:eastAsia="宋体" w:cs="Times New Roman"/>
                <w:color w:val="000000"/>
                <w:sz w:val="18"/>
                <w:szCs w:val="18"/>
                <w:lang w:val="ru-RU"/>
              </w:rPr>
            </w:pPr>
            <w:r>
              <w:rPr>
                <w:rFonts w:ascii="宋体" w:hAnsi="宋体" w:eastAsia="宋体" w:cs="Times New Roman"/>
                <w:color w:val="000000"/>
                <w:sz w:val="18"/>
                <w:szCs w:val="18"/>
                <w:lang w:val="ru-RU"/>
              </w:rPr>
              <w:t>-82.85</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698.94</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2087.39</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4152.48</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9069.49</w:t>
            </w:r>
          </w:p>
        </w:tc>
      </w:tr>
      <w:tr>
        <w:tblPrEx>
          <w:tblCellMar>
            <w:top w:w="0" w:type="dxa"/>
            <w:left w:w="0" w:type="dxa"/>
            <w:bottom w:w="0" w:type="dxa"/>
            <w:right w:w="0" w:type="dxa"/>
          </w:tblCellMar>
        </w:tblPrEx>
        <w:trPr>
          <w:trHeight w:val="433" w:hRule="atLeast"/>
          <w:jc w:val="center"/>
        </w:trPr>
        <w:tc>
          <w:tcPr>
            <w:tcW w:w="1304"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加：营业外收入</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0.0</w:t>
            </w:r>
            <w:r>
              <w:rPr>
                <w:rFonts w:hint="eastAsia" w:ascii="宋体" w:hAnsi="宋体" w:eastAsia="宋体" w:cs="仿宋_GB2312"/>
                <w:sz w:val="18"/>
                <w:szCs w:val="18"/>
              </w:rPr>
              <w:t>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0.0</w:t>
            </w:r>
            <w:r>
              <w:rPr>
                <w:rFonts w:hint="eastAsia" w:ascii="宋体" w:hAnsi="宋体" w:eastAsia="宋体" w:cs="仿宋_GB2312"/>
                <w:sz w:val="18"/>
                <w:szCs w:val="18"/>
              </w:rPr>
              <w:t>2</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0.0</w:t>
            </w:r>
            <w:r>
              <w:rPr>
                <w:rFonts w:hint="eastAsia" w:ascii="宋体" w:hAnsi="宋体" w:eastAsia="宋体" w:cs="仿宋_GB2312"/>
                <w:sz w:val="18"/>
                <w:szCs w:val="18"/>
              </w:rPr>
              <w:t>6</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w:t>
            </w:r>
            <w:r>
              <w:rPr>
                <w:rFonts w:hint="eastAsia" w:ascii="宋体" w:hAnsi="宋体" w:eastAsia="宋体" w:cs="仿宋_GB2312"/>
                <w:sz w:val="18"/>
                <w:szCs w:val="18"/>
              </w:rPr>
              <w:t>72</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1.38</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2.58</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8.10</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16.81</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29.03</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58.90</w:t>
            </w:r>
          </w:p>
        </w:tc>
      </w:tr>
      <w:tr>
        <w:tblPrEx>
          <w:tblCellMar>
            <w:top w:w="0" w:type="dxa"/>
            <w:left w:w="0" w:type="dxa"/>
            <w:bottom w:w="0" w:type="dxa"/>
            <w:right w:w="0" w:type="dxa"/>
          </w:tblCellMar>
        </w:tblPrEx>
        <w:trPr>
          <w:trHeight w:val="433" w:hRule="atLeast"/>
          <w:jc w:val="center"/>
        </w:trPr>
        <w:tc>
          <w:tcPr>
            <w:tcW w:w="1304"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减：营业外支出</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0.0</w:t>
            </w:r>
            <w:r>
              <w:rPr>
                <w:rFonts w:hint="eastAsia" w:ascii="宋体" w:hAnsi="宋体" w:eastAsia="宋体" w:cs="仿宋_GB2312"/>
                <w:sz w:val="18"/>
                <w:szCs w:val="18"/>
              </w:rPr>
              <w:t>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0.0</w:t>
            </w:r>
            <w:r>
              <w:rPr>
                <w:rFonts w:hint="eastAsia" w:ascii="宋体" w:hAnsi="宋体" w:eastAsia="宋体" w:cs="仿宋_GB2312"/>
                <w:sz w:val="18"/>
                <w:szCs w:val="18"/>
              </w:rPr>
              <w:t>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0.0</w:t>
            </w:r>
            <w:r>
              <w:rPr>
                <w:rFonts w:hint="eastAsia" w:ascii="宋体" w:hAnsi="宋体" w:eastAsia="宋体" w:cs="仿宋_GB2312"/>
                <w:sz w:val="18"/>
                <w:szCs w:val="18"/>
              </w:rPr>
              <w:t>3</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w:t>
            </w:r>
            <w:r>
              <w:rPr>
                <w:rFonts w:hint="eastAsia" w:ascii="宋体" w:hAnsi="宋体" w:eastAsia="宋体" w:cs="仿宋_GB2312"/>
                <w:sz w:val="18"/>
                <w:szCs w:val="18"/>
              </w:rPr>
              <w:t>43</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w:t>
            </w:r>
            <w:r>
              <w:rPr>
                <w:rFonts w:hint="eastAsia" w:ascii="宋体" w:hAnsi="宋体" w:eastAsia="宋体" w:cs="仿宋_GB2312"/>
                <w:sz w:val="18"/>
                <w:szCs w:val="18"/>
              </w:rPr>
              <w:t>83</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1.55</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4.86</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10.08</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17.42</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35.34</w:t>
            </w:r>
          </w:p>
        </w:tc>
      </w:tr>
      <w:tr>
        <w:tblPrEx>
          <w:tblCellMar>
            <w:top w:w="0" w:type="dxa"/>
            <w:left w:w="0" w:type="dxa"/>
            <w:bottom w:w="0" w:type="dxa"/>
            <w:right w:w="0" w:type="dxa"/>
          </w:tblCellMar>
        </w:tblPrEx>
        <w:trPr>
          <w:trHeight w:val="277" w:hRule="atLeast"/>
          <w:jc w:val="center"/>
        </w:trPr>
        <w:tc>
          <w:tcPr>
            <w:tcW w:w="1304"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三、利润总额</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-589.55</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-584.25</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-577.57</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-208.47</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-195.85</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-61.82</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702.17</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2094.11</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4164.09</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9093.05</w:t>
            </w:r>
          </w:p>
        </w:tc>
      </w:tr>
      <w:tr>
        <w:tblPrEx>
          <w:tblCellMar>
            <w:top w:w="0" w:type="dxa"/>
            <w:left w:w="0" w:type="dxa"/>
            <w:bottom w:w="0" w:type="dxa"/>
            <w:right w:w="0" w:type="dxa"/>
          </w:tblCellMar>
        </w:tblPrEx>
        <w:trPr>
          <w:trHeight w:val="433" w:hRule="atLeast"/>
          <w:jc w:val="center"/>
        </w:trPr>
        <w:tc>
          <w:tcPr>
            <w:tcW w:w="1304"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减：所得税费用</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0.00</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0.00</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0.00</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0.00</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0.00</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0.00</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0.00</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111.76</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832.82</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1818.61</w:t>
            </w:r>
          </w:p>
        </w:tc>
      </w:tr>
      <w:tr>
        <w:tblPrEx>
          <w:tblCellMar>
            <w:top w:w="0" w:type="dxa"/>
            <w:left w:w="0" w:type="dxa"/>
            <w:bottom w:w="0" w:type="dxa"/>
            <w:right w:w="0" w:type="dxa"/>
          </w:tblCellMar>
        </w:tblPrEx>
        <w:trPr>
          <w:trHeight w:val="714" w:hRule="atLeast"/>
          <w:jc w:val="center"/>
        </w:trPr>
        <w:tc>
          <w:tcPr>
            <w:tcW w:w="1304"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四、净利润</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-589.55</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-584</w:t>
            </w:r>
            <w:r>
              <w:rPr>
                <w:rFonts w:ascii="宋体" w:hAnsi="宋体" w:eastAsia="宋体" w:cs="仿宋_GB2312"/>
                <w:sz w:val="18"/>
                <w:szCs w:val="18"/>
              </w:rPr>
              <w:t>.</w:t>
            </w:r>
            <w:r>
              <w:rPr>
                <w:rFonts w:hint="eastAsia" w:ascii="宋体" w:hAnsi="宋体" w:eastAsia="宋体" w:cs="仿宋_GB2312"/>
                <w:sz w:val="18"/>
                <w:szCs w:val="18"/>
              </w:rPr>
              <w:t>2</w:t>
            </w:r>
            <w:r>
              <w:rPr>
                <w:rFonts w:ascii="宋体" w:hAnsi="宋体" w:eastAsia="宋体" w:cs="仿宋_GB2312"/>
                <w:sz w:val="18"/>
                <w:szCs w:val="18"/>
              </w:rPr>
              <w:t>5</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-577.57</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-208.47</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-195.85</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-81.82</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702.17</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1982.36</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3331.27</w:t>
            </w:r>
          </w:p>
        </w:tc>
        <w:tc>
          <w:tcPr>
            <w:tcW w:w="794"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7274.44</w:t>
            </w:r>
          </w:p>
        </w:tc>
      </w:tr>
    </w:tbl>
    <w:p>
      <w:pPr>
        <w:spacing w:line="240" w:lineRule="auto"/>
        <w:ind w:firstLine="420"/>
        <w:jc w:val="left"/>
        <w:rPr>
          <w:rFonts w:ascii="仿宋_GB2312" w:hAnsi="仿宋_GB2312" w:cs="仿宋_GB2312"/>
          <w:color w:val="000000"/>
          <w:sz w:val="21"/>
          <w:szCs w:val="21"/>
        </w:rPr>
      </w:pPr>
      <w:bookmarkStart w:id="155" w:name="_Toc5364999"/>
      <w:bookmarkStart w:id="156" w:name="_Toc20661"/>
      <w:bookmarkStart w:id="157" w:name="_Toc4788797"/>
      <w:r>
        <w:rPr>
          <w:rFonts w:hint="eastAsia" w:ascii="仿宋_GB2312" w:hAnsi="仿宋_GB2312" w:cs="仿宋_GB2312"/>
          <w:color w:val="000000"/>
          <w:sz w:val="21"/>
          <w:szCs w:val="21"/>
        </w:rPr>
        <w:t>注：1.营业外收入按营业收入的0.5%计提，营业外支出按营业收入的0.3%计提。</w:t>
      </w:r>
    </w:p>
    <w:p>
      <w:pPr>
        <w:spacing w:line="240" w:lineRule="auto"/>
        <w:ind w:firstLine="420"/>
        <w:jc w:val="left"/>
        <w:rPr>
          <w:rFonts w:ascii="仿宋_GB2312" w:hAnsi="仿宋_GB2312" w:cs="仿宋_GB2312"/>
          <w:color w:val="000000"/>
          <w:sz w:val="21"/>
          <w:szCs w:val="21"/>
        </w:rPr>
      </w:pPr>
      <w:r>
        <w:rPr>
          <w:rFonts w:hint="eastAsia" w:ascii="仿宋_GB2312" w:hAnsi="仿宋_GB2312" w:cs="仿宋_GB2312"/>
          <w:color w:val="000000"/>
          <w:sz w:val="21"/>
          <w:szCs w:val="21"/>
        </w:rPr>
        <w:t>2.利润总额可在5年内用于弥补上一年度亏损后再计算所得税。</w:t>
      </w:r>
    </w:p>
    <w:p>
      <w:pPr>
        <w:spacing w:line="240" w:lineRule="auto"/>
        <w:ind w:firstLine="0" w:firstLineChars="0"/>
        <w:jc w:val="center"/>
        <w:rPr>
          <w:rFonts w:ascii="仿宋_GB2312"/>
          <w:sz w:val="21"/>
          <w:szCs w:val="24"/>
        </w:rPr>
      </w:pPr>
      <w:r>
        <w:rPr>
          <w:rFonts w:hint="eastAsia" w:ascii="仿宋_GB2312"/>
          <w:sz w:val="21"/>
          <w:szCs w:val="24"/>
        </w:rPr>
        <w:t>表8-4利润分配表</w:t>
      </w:r>
    </w:p>
    <w:p>
      <w:pPr>
        <w:spacing w:line="240" w:lineRule="auto"/>
        <w:ind w:firstLine="0" w:firstLineChars="0"/>
        <w:jc w:val="right"/>
        <w:rPr>
          <w:rFonts w:ascii="仿宋_GB2312"/>
          <w:sz w:val="21"/>
          <w:szCs w:val="24"/>
        </w:rPr>
      </w:pPr>
      <w:r>
        <w:rPr>
          <w:rFonts w:hint="eastAsia" w:ascii="仿宋_GB2312"/>
          <w:sz w:val="21"/>
          <w:szCs w:val="24"/>
        </w:rPr>
        <w:t>单位：万元</w:t>
      </w:r>
    </w:p>
    <w:tbl>
      <w:tblPr>
        <w:tblStyle w:val="40"/>
        <w:tblW w:w="10165" w:type="dxa"/>
        <w:tblInd w:w="-459"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autofit"/>
        <w:tblCellMar>
          <w:top w:w="0" w:type="dxa"/>
          <w:left w:w="108" w:type="dxa"/>
          <w:bottom w:w="0" w:type="dxa"/>
          <w:right w:w="108" w:type="dxa"/>
        </w:tblCellMar>
      </w:tblPr>
      <w:tblGrid>
        <w:gridCol w:w="1701"/>
        <w:gridCol w:w="846"/>
        <w:gridCol w:w="846"/>
        <w:gridCol w:w="846"/>
        <w:gridCol w:w="846"/>
        <w:gridCol w:w="846"/>
        <w:gridCol w:w="756"/>
        <w:gridCol w:w="846"/>
        <w:gridCol w:w="936"/>
        <w:gridCol w:w="846"/>
        <w:gridCol w:w="850"/>
      </w:tblGrid>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701" w:type="dxa"/>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项目/年份</w:t>
            </w:r>
          </w:p>
        </w:tc>
        <w:tc>
          <w:tcPr>
            <w:tcW w:w="846"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ascii="宋体" w:hAnsi="宋体" w:eastAsia="宋体"/>
                <w:b/>
                <w:bCs/>
                <w:i w:val="0"/>
                <w:iCs w:val="0"/>
                <w:color w:val="FFFFFF" w:themeColor="background1"/>
                <w:sz w:val="18"/>
                <w:szCs w:val="18"/>
                <w14:textFill>
                  <w14:solidFill>
                    <w14:schemeClr w14:val="bg1"/>
                  </w14:solidFill>
                </w14:textFill>
              </w:rPr>
              <w:t>2019</w:t>
            </w:r>
          </w:p>
        </w:tc>
        <w:tc>
          <w:tcPr>
            <w:tcW w:w="846"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2020</w:t>
            </w:r>
          </w:p>
        </w:tc>
        <w:tc>
          <w:tcPr>
            <w:tcW w:w="846"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2021</w:t>
            </w:r>
          </w:p>
        </w:tc>
        <w:tc>
          <w:tcPr>
            <w:tcW w:w="846"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2022</w:t>
            </w:r>
          </w:p>
        </w:tc>
        <w:tc>
          <w:tcPr>
            <w:tcW w:w="846"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2023</w:t>
            </w:r>
          </w:p>
        </w:tc>
        <w:tc>
          <w:tcPr>
            <w:tcW w:w="756"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2024</w:t>
            </w:r>
          </w:p>
        </w:tc>
        <w:tc>
          <w:tcPr>
            <w:tcW w:w="846"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2025</w:t>
            </w:r>
          </w:p>
        </w:tc>
        <w:tc>
          <w:tcPr>
            <w:tcW w:w="936"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2026</w:t>
            </w:r>
          </w:p>
        </w:tc>
        <w:tc>
          <w:tcPr>
            <w:tcW w:w="846"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2027</w:t>
            </w:r>
          </w:p>
        </w:tc>
        <w:tc>
          <w:tcPr>
            <w:tcW w:w="850" w:type="dxa"/>
            <w:tcBorders>
              <w:top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2028</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701"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净利润</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-589.55</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-584</w:t>
            </w:r>
            <w:r>
              <w:rPr>
                <w:rFonts w:ascii="宋体" w:hAnsi="宋体" w:eastAsia="宋体" w:cs="仿宋_GB2312"/>
                <w:sz w:val="18"/>
                <w:szCs w:val="18"/>
              </w:rPr>
              <w:t>.</w:t>
            </w:r>
            <w:r>
              <w:rPr>
                <w:rFonts w:hint="eastAsia" w:ascii="宋体" w:hAnsi="宋体" w:eastAsia="宋体" w:cs="仿宋_GB2312"/>
                <w:sz w:val="18"/>
                <w:szCs w:val="18"/>
              </w:rPr>
              <w:t>2</w:t>
            </w:r>
            <w:r>
              <w:rPr>
                <w:rFonts w:ascii="宋体" w:hAnsi="宋体" w:eastAsia="宋体" w:cs="仿宋_GB2312"/>
                <w:sz w:val="18"/>
                <w:szCs w:val="18"/>
              </w:rPr>
              <w:t>5</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-577.57</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-208.47</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-195.85</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-81.82</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702.17</w:t>
            </w:r>
          </w:p>
        </w:tc>
        <w:tc>
          <w:tcPr>
            <w:tcW w:w="93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1982.36</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3331.27</w:t>
            </w:r>
          </w:p>
        </w:tc>
        <w:tc>
          <w:tcPr>
            <w:tcW w:w="850"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7274.44</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701"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提取法定盈余公积</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-58.95</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-58.43</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-57.76</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-20.86</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-19.59</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-8.18</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70.22</w:t>
            </w:r>
          </w:p>
        </w:tc>
        <w:tc>
          <w:tcPr>
            <w:tcW w:w="93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198.24</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333.13</w:t>
            </w:r>
          </w:p>
        </w:tc>
        <w:tc>
          <w:tcPr>
            <w:tcW w:w="850"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727.44</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701" w:type="dxa"/>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提取任意盈余公积</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-17.69</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-17.53</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-17.33</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-6.25</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-5.88</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-2.45</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21.07</w:t>
            </w:r>
          </w:p>
        </w:tc>
        <w:tc>
          <w:tcPr>
            <w:tcW w:w="93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59.47</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99.94</w:t>
            </w:r>
          </w:p>
        </w:tc>
        <w:tc>
          <w:tcPr>
            <w:tcW w:w="850"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218.23</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701" w:type="dxa"/>
            <w:tcBorders>
              <w:left w:val="single" w:color="FFFFFF" w:themeColor="background1" w:sz="8" w:space="0"/>
              <w:bottom w:val="nil"/>
              <w:right w:val="single" w:color="FFFFFF" w:themeColor="background1" w:sz="24" w:space="0"/>
              <w:insideH w:val="nil"/>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向股东分配利润</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610.89</w:t>
            </w:r>
          </w:p>
        </w:tc>
        <w:tc>
          <w:tcPr>
            <w:tcW w:w="93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1724.65</w:t>
            </w:r>
          </w:p>
        </w:tc>
        <w:tc>
          <w:tcPr>
            <w:tcW w:w="846"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2898.21</w:t>
            </w:r>
          </w:p>
        </w:tc>
        <w:tc>
          <w:tcPr>
            <w:tcW w:w="850" w:type="dxa"/>
            <w:shd w:val="clear" w:color="auto" w:fill="D6E6F4" w:themeFill="accent1" w:themeFillTint="3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6326.76</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1701" w:type="dxa"/>
            <w:tcBorders>
              <w:top w:val="single" w:color="FFFFFF" w:themeColor="background1" w:sz="8" w:space="0"/>
              <w:left w:val="single" w:color="FFFFFF" w:themeColor="background1" w:sz="8" w:space="0"/>
              <w:bottom w:val="single" w:color="FFFFFF" w:themeColor="background1" w:sz="8" w:space="0"/>
              <w:right w:val="single" w:color="FFFFFF" w:themeColor="background1" w:sz="24" w:space="0"/>
              <w:insideH w:val="single" w:sz="8" w:space="0"/>
              <w:insideV w:val="single" w:sz="24" w:space="0"/>
            </w:tcBorders>
            <w:shd w:val="clear" w:color="auto" w:fill="5B9BD5" w:themeFill="accent1"/>
          </w:tcPr>
          <w:p>
            <w:pPr>
              <w:spacing w:line="240" w:lineRule="auto"/>
              <w:ind w:firstLine="0" w:firstLineChars="0"/>
              <w:jc w:val="center"/>
              <w:rPr>
                <w:rFonts w:ascii="宋体" w:hAnsi="宋体" w:eastAsia="宋体"/>
                <w:b/>
                <w:bCs/>
                <w:i w:val="0"/>
                <w:iCs w:val="0"/>
                <w:color w:val="FFFFFF" w:themeColor="background1"/>
                <w:sz w:val="18"/>
                <w:szCs w:val="18"/>
                <w14:textFill>
                  <w14:solidFill>
                    <w14:schemeClr w14:val="bg1"/>
                  </w14:solidFill>
                </w14:textFill>
              </w:rPr>
            </w:pPr>
            <w:r>
              <w:rPr>
                <w:rFonts w:hint="eastAsia" w:ascii="宋体" w:hAnsi="宋体" w:eastAsia="宋体"/>
                <w:b/>
                <w:bCs/>
                <w:i w:val="0"/>
                <w:iCs w:val="0"/>
                <w:color w:val="FFFFFF" w:themeColor="background1"/>
                <w:sz w:val="18"/>
                <w:szCs w:val="18"/>
                <w14:textFill>
                  <w14:solidFill>
                    <w14:schemeClr w14:val="bg1"/>
                  </w14:solidFill>
                </w14:textFill>
              </w:rPr>
              <w:t>未分配利润</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75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0.00001</w:t>
            </w:r>
          </w:p>
        </w:tc>
        <w:tc>
          <w:tcPr>
            <w:tcW w:w="93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-0.00041</w:t>
            </w:r>
          </w:p>
        </w:tc>
        <w:tc>
          <w:tcPr>
            <w:tcW w:w="846"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0.00038</w:t>
            </w:r>
          </w:p>
        </w:tc>
        <w:tc>
          <w:tcPr>
            <w:tcW w:w="850" w:type="dxa"/>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p>
            <w:pPr>
              <w:spacing w:line="240" w:lineRule="auto"/>
              <w:ind w:firstLine="0" w:firstLineChars="0"/>
              <w:jc w:val="center"/>
              <w:rPr>
                <w:rFonts w:ascii="宋体" w:hAnsi="宋体" w:eastAsia="宋体"/>
                <w:sz w:val="18"/>
                <w:szCs w:val="18"/>
              </w:rPr>
            </w:pPr>
            <w:r>
              <w:rPr>
                <w:rFonts w:hint="eastAsia" w:ascii="宋体" w:hAnsi="宋体" w:eastAsia="宋体"/>
                <w:sz w:val="18"/>
                <w:szCs w:val="18"/>
              </w:rPr>
              <w:t>-0.0003</w:t>
            </w:r>
          </w:p>
        </w:tc>
      </w:tr>
      <w:bookmarkEnd w:id="155"/>
      <w:bookmarkEnd w:id="156"/>
      <w:bookmarkEnd w:id="157"/>
    </w:tbl>
    <w:p>
      <w:pPr>
        <w:tabs>
          <w:tab w:val="center" w:pos="4434"/>
        </w:tabs>
        <w:spacing w:line="500" w:lineRule="exact"/>
        <w:ind w:firstLine="0" w:firstLineChars="0"/>
        <w:jc w:val="left"/>
        <w:outlineLvl w:val="2"/>
        <w:rPr>
          <w:rFonts w:ascii="黑体" w:hAnsi="黑体" w:eastAsia="黑体" w:cs="Times New Roman"/>
        </w:rPr>
      </w:pPr>
      <w:bookmarkStart w:id="158" w:name="_Toc61100259"/>
      <w:r>
        <w:rPr>
          <w:rFonts w:hint="eastAsia" w:ascii="黑体" w:hAnsi="黑体" w:eastAsia="黑体" w:cs="Times New Roman"/>
        </w:rPr>
        <w:t>8.4.2现金流量表</w:t>
      </w:r>
      <w:bookmarkEnd w:id="158"/>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预测的现金流量表如表8-5所示。</w:t>
      </w:r>
    </w:p>
    <w:p>
      <w:pPr>
        <w:spacing w:line="240" w:lineRule="auto"/>
        <w:ind w:firstLine="0" w:firstLineChars="0"/>
        <w:jc w:val="center"/>
        <w:rPr>
          <w:rFonts w:ascii="仿宋_GB2312"/>
          <w:sz w:val="21"/>
          <w:szCs w:val="24"/>
        </w:rPr>
      </w:pPr>
      <w:r>
        <w:rPr>
          <w:rFonts w:hint="eastAsia" w:ascii="仿宋_GB2312"/>
          <w:sz w:val="21"/>
          <w:szCs w:val="24"/>
        </w:rPr>
        <w:t>表8-5 现金流量表</w:t>
      </w:r>
    </w:p>
    <w:p>
      <w:pPr>
        <w:spacing w:line="240" w:lineRule="auto"/>
        <w:ind w:firstLine="0" w:firstLineChars="0"/>
        <w:jc w:val="right"/>
        <w:rPr>
          <w:rFonts w:ascii="仿宋_GB2312"/>
          <w:sz w:val="21"/>
          <w:szCs w:val="24"/>
        </w:rPr>
      </w:pPr>
      <w:r>
        <w:rPr>
          <w:rFonts w:hint="eastAsia" w:ascii="仿宋_GB2312"/>
          <w:sz w:val="21"/>
          <w:szCs w:val="24"/>
        </w:rPr>
        <w:t>单位：万元</w:t>
      </w:r>
    </w:p>
    <w:tbl>
      <w:tblPr>
        <w:tblStyle w:val="22"/>
        <w:tblW w:w="9804" w:type="dxa"/>
        <w:jc w:val="center"/>
        <w:tblLayout w:type="fixed"/>
        <w:tblCellMar>
          <w:top w:w="0" w:type="dxa"/>
          <w:left w:w="0" w:type="dxa"/>
          <w:bottom w:w="0" w:type="dxa"/>
          <w:right w:w="0" w:type="dxa"/>
        </w:tblCellMar>
      </w:tblPr>
      <w:tblGrid>
        <w:gridCol w:w="1417"/>
        <w:gridCol w:w="850"/>
        <w:gridCol w:w="737"/>
        <w:gridCol w:w="850"/>
        <w:gridCol w:w="850"/>
        <w:gridCol w:w="850"/>
        <w:gridCol w:w="850"/>
        <w:gridCol w:w="850"/>
        <w:gridCol w:w="850"/>
        <w:gridCol w:w="850"/>
        <w:gridCol w:w="850"/>
      </w:tblGrid>
      <w:tr>
        <w:tblPrEx>
          <w:tblCellMar>
            <w:top w:w="0" w:type="dxa"/>
            <w:left w:w="0" w:type="dxa"/>
            <w:bottom w:w="0" w:type="dxa"/>
            <w:right w:w="0" w:type="dxa"/>
          </w:tblCellMar>
        </w:tblPrEx>
        <w:trPr>
          <w:trHeight w:val="433" w:hRule="atLeast"/>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指标/年份</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20</w:t>
            </w:r>
            <w:r>
              <w:rPr>
                <w:rFonts w:hint="eastAsia" w:ascii="宋体" w:hAnsi="宋体" w:eastAsia="宋体" w:cs="仿宋_GB2312"/>
                <w:sz w:val="18"/>
                <w:szCs w:val="18"/>
              </w:rPr>
              <w:t>19</w:t>
            </w:r>
          </w:p>
        </w:tc>
        <w:tc>
          <w:tcPr>
            <w:tcW w:w="737"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w:t>
            </w:r>
            <w:r>
              <w:rPr>
                <w:rFonts w:hint="eastAsia" w:ascii="宋体" w:hAnsi="宋体" w:eastAsia="宋体" w:cs="仿宋_GB2312"/>
                <w:sz w:val="18"/>
                <w:szCs w:val="18"/>
              </w:rPr>
              <w:t>020</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20</w:t>
            </w:r>
            <w:r>
              <w:rPr>
                <w:rFonts w:hint="eastAsia" w:ascii="宋体" w:hAnsi="宋体" w:eastAsia="宋体" w:cs="仿宋_GB2312"/>
                <w:sz w:val="18"/>
                <w:szCs w:val="18"/>
              </w:rPr>
              <w:t>21</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20</w:t>
            </w:r>
            <w:r>
              <w:rPr>
                <w:rFonts w:hint="eastAsia" w:ascii="宋体" w:hAnsi="宋体" w:eastAsia="宋体" w:cs="仿宋_GB2312"/>
                <w:sz w:val="18"/>
                <w:szCs w:val="18"/>
              </w:rPr>
              <w:t>22</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202</w:t>
            </w:r>
            <w:r>
              <w:rPr>
                <w:rFonts w:hint="eastAsia" w:ascii="宋体" w:hAnsi="宋体" w:eastAsia="宋体" w:cs="仿宋_GB2312"/>
                <w:sz w:val="18"/>
                <w:szCs w:val="18"/>
              </w:rPr>
              <w:t>3</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2024</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2025</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2026</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2027</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2028</w:t>
            </w:r>
          </w:p>
        </w:tc>
      </w:tr>
      <w:tr>
        <w:tblPrEx>
          <w:tblCellMar>
            <w:top w:w="0" w:type="dxa"/>
            <w:left w:w="0" w:type="dxa"/>
            <w:bottom w:w="0" w:type="dxa"/>
            <w:right w:w="0" w:type="dxa"/>
          </w:tblCellMar>
        </w:tblPrEx>
        <w:trPr>
          <w:trHeight w:val="415" w:hRule="atLeast"/>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固定资产投资</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3.00</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r>
      <w:tr>
        <w:tblPrEx>
          <w:tblCellMar>
            <w:top w:w="0" w:type="dxa"/>
            <w:left w:w="0" w:type="dxa"/>
            <w:bottom w:w="0" w:type="dxa"/>
            <w:right w:w="0" w:type="dxa"/>
          </w:tblCellMar>
        </w:tblPrEx>
        <w:trPr>
          <w:trHeight w:val="415" w:hRule="atLeast"/>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流动资金</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p>
        </w:tc>
      </w:tr>
      <w:tr>
        <w:tblPrEx>
          <w:tblCellMar>
            <w:top w:w="0" w:type="dxa"/>
            <w:left w:w="0" w:type="dxa"/>
            <w:bottom w:w="0" w:type="dxa"/>
            <w:right w:w="0" w:type="dxa"/>
          </w:tblCellMar>
        </w:tblPrEx>
        <w:trPr>
          <w:trHeight w:val="415" w:hRule="atLeast"/>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一、营业收入</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2.03</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4.41</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11.33</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143.90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275.52</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515.44</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1619.30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3361.20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5806.86</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11779.28</w:t>
            </w:r>
          </w:p>
        </w:tc>
      </w:tr>
      <w:tr>
        <w:tblPrEx>
          <w:tblCellMar>
            <w:top w:w="0" w:type="dxa"/>
            <w:left w:w="0" w:type="dxa"/>
            <w:bottom w:w="0" w:type="dxa"/>
            <w:right w:w="0" w:type="dxa"/>
          </w:tblCellMar>
        </w:tblPrEx>
        <w:trPr>
          <w:trHeight w:val="433" w:hRule="atLeast"/>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减：营业成本</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591.51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585.51</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585.51</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347.47</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462.01</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autoSpaceDE w:val="0"/>
              <w:autoSpaceDN w:val="0"/>
              <w:spacing w:line="240" w:lineRule="auto"/>
              <w:ind w:firstLine="0" w:firstLineChars="0"/>
              <w:jc w:val="center"/>
              <w:rPr>
                <w:rFonts w:ascii="宋体" w:hAnsi="宋体" w:eastAsia="宋体" w:cs="Times New Roman"/>
                <w:color w:val="000000"/>
                <w:sz w:val="18"/>
                <w:szCs w:val="18"/>
                <w:lang w:val="ru-RU"/>
              </w:rPr>
            </w:pPr>
            <w:r>
              <w:rPr>
                <w:rFonts w:ascii="宋体" w:hAnsi="宋体" w:eastAsia="宋体" w:cs="Times New Roman"/>
                <w:color w:val="000000"/>
                <w:sz w:val="18"/>
                <w:szCs w:val="18"/>
                <w:lang w:val="ru-RU"/>
              </w:rPr>
              <w:t>579.73</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autoSpaceDE w:val="0"/>
              <w:autoSpaceDN w:val="0"/>
              <w:spacing w:line="240" w:lineRule="auto"/>
              <w:ind w:firstLine="0" w:firstLineChars="0"/>
              <w:jc w:val="center"/>
              <w:rPr>
                <w:rFonts w:ascii="宋体" w:hAnsi="宋体" w:eastAsia="宋体" w:cs="Times New Roman"/>
                <w:color w:val="000000"/>
                <w:sz w:val="18"/>
                <w:szCs w:val="18"/>
                <w:lang w:val="ru-RU"/>
              </w:rPr>
            </w:pPr>
            <w:r>
              <w:rPr>
                <w:rFonts w:ascii="宋体" w:hAnsi="宋体" w:eastAsia="宋体" w:cs="Times New Roman"/>
                <w:color w:val="000000"/>
                <w:sz w:val="18"/>
                <w:szCs w:val="18"/>
                <w:lang w:val="ru-RU"/>
              </w:rPr>
              <w:t>862.07</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autoSpaceDE w:val="0"/>
              <w:autoSpaceDN w:val="0"/>
              <w:spacing w:line="240" w:lineRule="auto"/>
              <w:ind w:firstLine="0" w:firstLineChars="0"/>
              <w:jc w:val="center"/>
              <w:rPr>
                <w:rFonts w:ascii="宋体" w:hAnsi="宋体" w:eastAsia="宋体" w:cs="Times New Roman"/>
                <w:color w:val="000000"/>
                <w:sz w:val="18"/>
                <w:szCs w:val="18"/>
                <w:lang w:val="ru-RU"/>
              </w:rPr>
            </w:pPr>
            <w:r>
              <w:rPr>
                <w:rFonts w:ascii="宋体" w:hAnsi="宋体" w:eastAsia="宋体" w:cs="Times New Roman"/>
                <w:color w:val="000000"/>
                <w:sz w:val="18"/>
                <w:szCs w:val="18"/>
                <w:lang w:val="ru-RU"/>
              </w:rPr>
              <w:t>1152.81</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autoSpaceDE w:val="0"/>
              <w:autoSpaceDN w:val="0"/>
              <w:spacing w:line="240" w:lineRule="auto"/>
              <w:ind w:firstLine="0" w:firstLineChars="0"/>
              <w:jc w:val="center"/>
              <w:rPr>
                <w:rFonts w:ascii="宋体" w:hAnsi="宋体" w:eastAsia="宋体" w:cs="Times New Roman"/>
                <w:color w:val="000000"/>
                <w:sz w:val="18"/>
                <w:szCs w:val="18"/>
                <w:lang w:val="ru-RU"/>
              </w:rPr>
            </w:pPr>
            <w:r>
              <w:rPr>
                <w:rFonts w:ascii="宋体" w:hAnsi="宋体" w:eastAsia="宋体" w:cs="Times New Roman"/>
                <w:color w:val="000000"/>
                <w:sz w:val="18"/>
                <w:szCs w:val="18"/>
                <w:lang w:val="ru-RU"/>
              </w:rPr>
              <w:t>1445.33</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Times New Roman"/>
                <w:color w:val="000000"/>
                <w:sz w:val="18"/>
                <w:szCs w:val="18"/>
                <w:lang w:val="ru-RU"/>
              </w:rPr>
              <w:t>2</w:t>
            </w:r>
            <w:r>
              <w:rPr>
                <w:rFonts w:ascii="宋体" w:hAnsi="宋体" w:eastAsia="宋体" w:cs="Times New Roman"/>
                <w:color w:val="000000"/>
                <w:sz w:val="18"/>
                <w:szCs w:val="18"/>
                <w:lang w:val="ru-RU"/>
              </w:rPr>
              <w:t>285.73</w:t>
            </w:r>
          </w:p>
        </w:tc>
      </w:tr>
      <w:tr>
        <w:tblPrEx>
          <w:tblCellMar>
            <w:top w:w="0" w:type="dxa"/>
            <w:left w:w="0" w:type="dxa"/>
            <w:bottom w:w="0" w:type="dxa"/>
            <w:right w:w="0" w:type="dxa"/>
          </w:tblCellMar>
        </w:tblPrEx>
        <w:trPr>
          <w:trHeight w:val="433" w:hRule="atLeast"/>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营业利润</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-589.55</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-584.26</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-577.59</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-208.75</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-196.41</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autoSpaceDE w:val="0"/>
              <w:autoSpaceDN w:val="0"/>
              <w:spacing w:line="240" w:lineRule="auto"/>
              <w:ind w:firstLine="0" w:firstLineChars="0"/>
              <w:jc w:val="center"/>
              <w:rPr>
                <w:rFonts w:ascii="宋体" w:hAnsi="宋体" w:eastAsia="宋体" w:cs="Times New Roman"/>
                <w:color w:val="000000"/>
                <w:sz w:val="18"/>
                <w:szCs w:val="18"/>
                <w:lang w:val="ru-RU"/>
              </w:rPr>
            </w:pPr>
            <w:r>
              <w:rPr>
                <w:rFonts w:ascii="宋体" w:hAnsi="宋体" w:eastAsia="宋体" w:cs="Times New Roman"/>
                <w:color w:val="000000"/>
                <w:sz w:val="18"/>
                <w:szCs w:val="18"/>
                <w:lang w:val="ru-RU"/>
              </w:rPr>
              <w:t>-82.85</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698.94</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2087.39</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4152.48</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9069.49</w:t>
            </w:r>
          </w:p>
        </w:tc>
      </w:tr>
      <w:tr>
        <w:tblPrEx>
          <w:tblCellMar>
            <w:top w:w="0" w:type="dxa"/>
            <w:left w:w="0" w:type="dxa"/>
            <w:bottom w:w="0" w:type="dxa"/>
            <w:right w:w="0" w:type="dxa"/>
          </w:tblCellMar>
        </w:tblPrEx>
        <w:trPr>
          <w:trHeight w:val="433" w:hRule="atLeast"/>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加：营业外收入</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0.0</w:t>
            </w:r>
            <w:r>
              <w:rPr>
                <w:rFonts w:hint="eastAsia" w:ascii="宋体" w:hAnsi="宋体" w:eastAsia="宋体" w:cs="仿宋_GB2312"/>
                <w:sz w:val="18"/>
                <w:szCs w:val="18"/>
              </w:rPr>
              <w:t>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0.0</w:t>
            </w:r>
            <w:r>
              <w:rPr>
                <w:rFonts w:hint="eastAsia" w:ascii="宋体" w:hAnsi="宋体" w:eastAsia="宋体" w:cs="仿宋_GB2312"/>
                <w:sz w:val="18"/>
                <w:szCs w:val="18"/>
              </w:rPr>
              <w:t>2</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0.0</w:t>
            </w:r>
            <w:r>
              <w:rPr>
                <w:rFonts w:hint="eastAsia" w:ascii="宋体" w:hAnsi="宋体" w:eastAsia="宋体" w:cs="仿宋_GB2312"/>
                <w:sz w:val="18"/>
                <w:szCs w:val="18"/>
              </w:rPr>
              <w:t>6</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w:t>
            </w:r>
            <w:r>
              <w:rPr>
                <w:rFonts w:hint="eastAsia" w:ascii="宋体" w:hAnsi="宋体" w:eastAsia="宋体" w:cs="仿宋_GB2312"/>
                <w:sz w:val="18"/>
                <w:szCs w:val="18"/>
              </w:rPr>
              <w:t>72</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1.38</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2.58</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8.10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16.81</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29.03</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58.90</w:t>
            </w:r>
          </w:p>
        </w:tc>
      </w:tr>
      <w:tr>
        <w:tblPrEx>
          <w:tblCellMar>
            <w:top w:w="0" w:type="dxa"/>
            <w:left w:w="0" w:type="dxa"/>
            <w:bottom w:w="0" w:type="dxa"/>
            <w:right w:w="0" w:type="dxa"/>
          </w:tblCellMar>
        </w:tblPrEx>
        <w:trPr>
          <w:trHeight w:val="433" w:hRule="atLeast"/>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减：营业外支出</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0.0</w:t>
            </w:r>
            <w:r>
              <w:rPr>
                <w:rFonts w:hint="eastAsia" w:ascii="宋体" w:hAnsi="宋体" w:eastAsia="宋体" w:cs="仿宋_GB2312"/>
                <w:sz w:val="18"/>
                <w:szCs w:val="18"/>
              </w:rPr>
              <w:t>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0.0</w:t>
            </w:r>
            <w:r>
              <w:rPr>
                <w:rFonts w:hint="eastAsia" w:ascii="宋体" w:hAnsi="宋体" w:eastAsia="宋体" w:cs="仿宋_GB2312"/>
                <w:sz w:val="18"/>
                <w:szCs w:val="18"/>
              </w:rPr>
              <w:t>1</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0.0</w:t>
            </w:r>
            <w:r>
              <w:rPr>
                <w:rFonts w:hint="eastAsia" w:ascii="宋体" w:hAnsi="宋体" w:eastAsia="宋体" w:cs="仿宋_GB2312"/>
                <w:sz w:val="18"/>
                <w:szCs w:val="18"/>
              </w:rPr>
              <w:t>3</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w:t>
            </w:r>
            <w:r>
              <w:rPr>
                <w:rFonts w:hint="eastAsia" w:ascii="宋体" w:hAnsi="宋体" w:eastAsia="宋体" w:cs="仿宋_GB2312"/>
                <w:sz w:val="18"/>
                <w:szCs w:val="18"/>
              </w:rPr>
              <w:t>43</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0.</w:t>
            </w:r>
            <w:r>
              <w:rPr>
                <w:rFonts w:hint="eastAsia" w:ascii="宋体" w:hAnsi="宋体" w:eastAsia="宋体" w:cs="仿宋_GB2312"/>
                <w:sz w:val="18"/>
                <w:szCs w:val="18"/>
              </w:rPr>
              <w:t>83</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1.55</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4.86</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10.08</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17.42</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35.34</w:t>
            </w:r>
          </w:p>
        </w:tc>
      </w:tr>
      <w:tr>
        <w:tblPrEx>
          <w:tblCellMar>
            <w:top w:w="0" w:type="dxa"/>
            <w:left w:w="0" w:type="dxa"/>
            <w:bottom w:w="0" w:type="dxa"/>
            <w:right w:w="0" w:type="dxa"/>
          </w:tblCellMar>
        </w:tblPrEx>
        <w:trPr>
          <w:trHeight w:val="433" w:hRule="atLeast"/>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减：税费</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0.13</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0.29</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0.75</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9.50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18.16</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34.02</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106.87</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333.60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1216.07</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2596.04</w:t>
            </w:r>
          </w:p>
        </w:tc>
      </w:tr>
      <w:tr>
        <w:tblPrEx>
          <w:tblCellMar>
            <w:top w:w="0" w:type="dxa"/>
            <w:left w:w="0" w:type="dxa"/>
            <w:bottom w:w="0" w:type="dxa"/>
            <w:right w:w="0" w:type="dxa"/>
          </w:tblCellMar>
        </w:tblPrEx>
        <w:trPr>
          <w:trHeight w:val="714" w:hRule="atLeast"/>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税后利润</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-589.55</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-584</w:t>
            </w:r>
            <w:r>
              <w:rPr>
                <w:rFonts w:ascii="宋体" w:hAnsi="宋体" w:eastAsia="宋体" w:cs="仿宋_GB2312"/>
                <w:sz w:val="18"/>
                <w:szCs w:val="18"/>
              </w:rPr>
              <w:t>.</w:t>
            </w:r>
            <w:r>
              <w:rPr>
                <w:rFonts w:hint="eastAsia" w:ascii="宋体" w:hAnsi="宋体" w:eastAsia="宋体" w:cs="仿宋_GB2312"/>
                <w:sz w:val="18"/>
                <w:szCs w:val="18"/>
              </w:rPr>
              <w:t>2</w:t>
            </w:r>
            <w:r>
              <w:rPr>
                <w:rFonts w:ascii="宋体" w:hAnsi="宋体" w:eastAsia="宋体" w:cs="仿宋_GB2312"/>
                <w:sz w:val="18"/>
                <w:szCs w:val="18"/>
              </w:rPr>
              <w:t>5</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-577.91</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-212.78</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-204.12</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-97.29</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653.59</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1881.52</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3157.07</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6921.06</w:t>
            </w:r>
          </w:p>
        </w:tc>
      </w:tr>
      <w:tr>
        <w:tblPrEx>
          <w:tblCellMar>
            <w:top w:w="0" w:type="dxa"/>
            <w:left w:w="0" w:type="dxa"/>
            <w:bottom w:w="0" w:type="dxa"/>
            <w:right w:w="0" w:type="dxa"/>
          </w:tblCellMar>
        </w:tblPrEx>
        <w:trPr>
          <w:trHeight w:val="714" w:hRule="atLeast"/>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加：固定资产折旧</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0.30</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0.30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0.30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0.30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0.03</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0.30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0.30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0.30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0.30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0.30</w:t>
            </w:r>
          </w:p>
        </w:tc>
      </w:tr>
      <w:tr>
        <w:tblPrEx>
          <w:tblCellMar>
            <w:top w:w="0" w:type="dxa"/>
            <w:left w:w="0" w:type="dxa"/>
            <w:bottom w:w="0" w:type="dxa"/>
            <w:right w:w="0" w:type="dxa"/>
          </w:tblCellMar>
        </w:tblPrEx>
        <w:trPr>
          <w:trHeight w:val="714" w:hRule="atLeast"/>
          <w:jc w:val="center"/>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净现金流量</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-589.31</w:t>
            </w:r>
          </w:p>
        </w:tc>
        <w:tc>
          <w:tcPr>
            <w:tcW w:w="737"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-584</w:t>
            </w:r>
            <w:r>
              <w:rPr>
                <w:rFonts w:ascii="宋体" w:hAnsi="宋体" w:eastAsia="宋体" w:cs="仿宋_GB2312"/>
                <w:sz w:val="18"/>
                <w:szCs w:val="18"/>
              </w:rPr>
              <w:t>.</w:t>
            </w:r>
            <w:r>
              <w:rPr>
                <w:rFonts w:hint="eastAsia" w:ascii="宋体" w:hAnsi="宋体" w:eastAsia="宋体" w:cs="仿宋_GB2312"/>
                <w:sz w:val="18"/>
                <w:szCs w:val="18"/>
              </w:rPr>
              <w:t>08</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-577.61</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-212.48</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-203.62</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-96.99</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653.89</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1881.82</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3157.37</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6921.36</w:t>
            </w:r>
          </w:p>
        </w:tc>
      </w:tr>
    </w:tbl>
    <w:p>
      <w:pPr>
        <w:tabs>
          <w:tab w:val="center" w:pos="4434"/>
        </w:tabs>
        <w:spacing w:line="500" w:lineRule="exact"/>
        <w:ind w:firstLine="0" w:firstLineChars="0"/>
        <w:jc w:val="left"/>
        <w:outlineLvl w:val="2"/>
        <w:rPr>
          <w:rFonts w:ascii="黑体" w:hAnsi="黑体" w:eastAsia="黑体" w:cs="Times New Roman"/>
        </w:rPr>
      </w:pPr>
      <w:bookmarkStart w:id="159" w:name="_Toc61100260"/>
      <w:r>
        <w:rPr>
          <w:rFonts w:hint="eastAsia" w:ascii="黑体" w:hAnsi="黑体" w:eastAsia="黑体" w:cs="Times New Roman"/>
        </w:rPr>
        <w:t>8.4.3资产负债表</w:t>
      </w:r>
      <w:bookmarkEnd w:id="159"/>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预测的资产负债流量表如表8-5所示。</w:t>
      </w:r>
    </w:p>
    <w:p>
      <w:pPr>
        <w:spacing w:line="240" w:lineRule="auto"/>
        <w:ind w:firstLine="0" w:firstLineChars="0"/>
        <w:jc w:val="center"/>
        <w:rPr>
          <w:rFonts w:hint="eastAsia" w:ascii="仿宋_GB2312"/>
          <w:sz w:val="21"/>
          <w:szCs w:val="24"/>
        </w:rPr>
      </w:pPr>
    </w:p>
    <w:p>
      <w:pPr>
        <w:spacing w:line="240" w:lineRule="auto"/>
        <w:ind w:firstLine="0" w:firstLineChars="0"/>
        <w:jc w:val="center"/>
        <w:rPr>
          <w:rFonts w:hint="eastAsia" w:ascii="仿宋_GB2312"/>
          <w:sz w:val="21"/>
          <w:szCs w:val="24"/>
        </w:rPr>
      </w:pPr>
    </w:p>
    <w:p>
      <w:pPr>
        <w:spacing w:line="240" w:lineRule="auto"/>
        <w:ind w:firstLine="0" w:firstLineChars="0"/>
        <w:jc w:val="center"/>
        <w:rPr>
          <w:rFonts w:hint="eastAsia" w:ascii="仿宋_GB2312"/>
          <w:sz w:val="21"/>
          <w:szCs w:val="24"/>
        </w:rPr>
      </w:pPr>
    </w:p>
    <w:p>
      <w:pPr>
        <w:spacing w:line="240" w:lineRule="auto"/>
        <w:ind w:firstLine="0" w:firstLineChars="0"/>
        <w:jc w:val="center"/>
        <w:rPr>
          <w:rFonts w:hint="eastAsia" w:ascii="仿宋_GB2312"/>
          <w:sz w:val="21"/>
          <w:szCs w:val="24"/>
        </w:rPr>
      </w:pPr>
    </w:p>
    <w:p>
      <w:pPr>
        <w:spacing w:line="240" w:lineRule="auto"/>
        <w:ind w:firstLine="0" w:firstLineChars="0"/>
        <w:jc w:val="center"/>
        <w:rPr>
          <w:rFonts w:ascii="仿宋_GB2312"/>
          <w:sz w:val="21"/>
          <w:szCs w:val="24"/>
        </w:rPr>
      </w:pPr>
      <w:r>
        <w:rPr>
          <w:rFonts w:ascii="仿宋_GB2312"/>
          <w:sz w:val="21"/>
          <w:szCs w:val="24"/>
        </w:rPr>
        <w:t>表</w:t>
      </w:r>
      <w:r>
        <w:rPr>
          <w:rFonts w:hint="eastAsia" w:ascii="仿宋_GB2312"/>
          <w:sz w:val="21"/>
          <w:szCs w:val="24"/>
        </w:rPr>
        <w:t xml:space="preserve">8-5 </w:t>
      </w:r>
      <w:r>
        <w:rPr>
          <w:rFonts w:ascii="仿宋_GB2312"/>
          <w:sz w:val="21"/>
          <w:szCs w:val="24"/>
        </w:rPr>
        <w:t>资产负债表</w:t>
      </w:r>
    </w:p>
    <w:p>
      <w:pPr>
        <w:spacing w:line="240" w:lineRule="auto"/>
        <w:ind w:firstLine="0" w:firstLineChars="0"/>
        <w:jc w:val="right"/>
        <w:rPr>
          <w:rFonts w:ascii="仿宋_GB2312"/>
          <w:sz w:val="21"/>
          <w:szCs w:val="24"/>
        </w:rPr>
      </w:pPr>
      <w:r>
        <w:rPr>
          <w:rFonts w:hint="eastAsia" w:ascii="仿宋_GB2312"/>
          <w:sz w:val="21"/>
          <w:szCs w:val="24"/>
        </w:rPr>
        <w:t xml:space="preserve">  单位：万元</w:t>
      </w:r>
    </w:p>
    <w:tbl>
      <w:tblPr>
        <w:tblStyle w:val="22"/>
        <w:tblW w:w="9124" w:type="dxa"/>
        <w:tblInd w:w="-279" w:type="dxa"/>
        <w:tblLayout w:type="fixed"/>
        <w:tblCellMar>
          <w:top w:w="0" w:type="dxa"/>
          <w:left w:w="0" w:type="dxa"/>
          <w:bottom w:w="0" w:type="dxa"/>
          <w:right w:w="0" w:type="dxa"/>
        </w:tblCellMar>
      </w:tblPr>
      <w:tblGrid>
        <w:gridCol w:w="1417"/>
        <w:gridCol w:w="850"/>
        <w:gridCol w:w="850"/>
        <w:gridCol w:w="850"/>
        <w:gridCol w:w="850"/>
        <w:gridCol w:w="850"/>
        <w:gridCol w:w="57"/>
        <w:gridCol w:w="793"/>
        <w:gridCol w:w="57"/>
        <w:gridCol w:w="793"/>
        <w:gridCol w:w="57"/>
        <w:gridCol w:w="793"/>
        <w:gridCol w:w="57"/>
        <w:gridCol w:w="793"/>
        <w:gridCol w:w="57"/>
      </w:tblGrid>
      <w:tr>
        <w:tblPrEx>
          <w:tblCellMar>
            <w:top w:w="0" w:type="dxa"/>
            <w:left w:w="0" w:type="dxa"/>
            <w:bottom w:w="0" w:type="dxa"/>
            <w:right w:w="0" w:type="dxa"/>
          </w:tblCellMar>
        </w:tblPrEx>
        <w:trPr>
          <w:gridAfter w:val="1"/>
          <w:wAfter w:w="57" w:type="dxa"/>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hint="eastAsia" w:ascii="宋体" w:hAnsi="宋体" w:eastAsia="宋体" w:cs="仿宋_GB2312"/>
                <w:sz w:val="18"/>
                <w:szCs w:val="18"/>
              </w:rPr>
              <w:t>项目/年份</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20</w:t>
            </w:r>
            <w:r>
              <w:rPr>
                <w:rFonts w:hint="eastAsia" w:ascii="宋体" w:hAnsi="宋体" w:eastAsia="宋体" w:cs="仿宋_GB2312"/>
                <w:sz w:val="18"/>
                <w:szCs w:val="18"/>
              </w:rPr>
              <w:t>19</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w:t>
            </w:r>
            <w:r>
              <w:rPr>
                <w:rFonts w:hint="eastAsia" w:ascii="宋体" w:hAnsi="宋体" w:eastAsia="宋体" w:cs="仿宋_GB2312"/>
                <w:sz w:val="18"/>
                <w:szCs w:val="18"/>
              </w:rPr>
              <w:t>020</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20</w:t>
            </w:r>
            <w:r>
              <w:rPr>
                <w:rFonts w:hint="eastAsia" w:ascii="宋体" w:hAnsi="宋体" w:eastAsia="宋体" w:cs="仿宋_GB2312"/>
                <w:sz w:val="18"/>
                <w:szCs w:val="18"/>
              </w:rPr>
              <w:t>21</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20</w:t>
            </w:r>
            <w:r>
              <w:rPr>
                <w:rFonts w:hint="eastAsia" w:ascii="宋体" w:hAnsi="宋体" w:eastAsia="宋体" w:cs="仿宋_GB2312"/>
                <w:sz w:val="18"/>
                <w:szCs w:val="18"/>
              </w:rPr>
              <w:t>22</w:t>
            </w:r>
          </w:p>
        </w:tc>
        <w:tc>
          <w:tcPr>
            <w:tcW w:w="850" w:type="dxa"/>
            <w:tcBorders>
              <w:top w:val="single" w:color="000000" w:sz="4" w:space="0"/>
              <w:left w:val="nil"/>
              <w:bottom w:val="single" w:color="000000" w:sz="4" w:space="0"/>
              <w:right w:val="single" w:color="000000" w:sz="4" w:space="0"/>
            </w:tcBorders>
            <w:shd w:val="clear" w:color="auto" w:fill="D6DCE4" w:themeFill="text2" w:themeFillTint="33"/>
            <w:vAlign w:val="center"/>
          </w:tcPr>
          <w:p>
            <w:pPr>
              <w:spacing w:line="240" w:lineRule="auto"/>
              <w:ind w:firstLine="0" w:firstLineChars="0"/>
              <w:jc w:val="center"/>
              <w:rPr>
                <w:rFonts w:ascii="宋体" w:hAnsi="宋体" w:eastAsia="宋体" w:cs="仿宋_GB2312"/>
                <w:sz w:val="18"/>
                <w:szCs w:val="18"/>
              </w:rPr>
            </w:pPr>
            <w:r>
              <w:rPr>
                <w:rFonts w:ascii="宋体" w:hAnsi="宋体" w:eastAsia="宋体" w:cs="仿宋_GB2312"/>
                <w:sz w:val="18"/>
                <w:szCs w:val="18"/>
              </w:rPr>
              <w:t>202</w:t>
            </w:r>
            <w:r>
              <w:rPr>
                <w:rFonts w:hint="eastAsia" w:ascii="宋体" w:hAnsi="宋体" w:eastAsia="宋体" w:cs="仿宋_GB2312"/>
                <w:sz w:val="18"/>
                <w:szCs w:val="18"/>
              </w:rPr>
              <w:t>3</w:t>
            </w:r>
          </w:p>
        </w:tc>
        <w:tc>
          <w:tcPr>
            <w:tcW w:w="850" w:type="dxa"/>
            <w:gridSpan w:val="2"/>
            <w:tcBorders>
              <w:top w:val="single" w:color="000000" w:sz="4" w:space="0"/>
              <w:left w:val="nil"/>
              <w:bottom w:val="single" w:color="000000" w:sz="4" w:space="0"/>
              <w:right w:val="single" w:color="000000" w:sz="4" w:space="0"/>
            </w:tcBorders>
            <w:shd w:val="clear" w:color="auto" w:fill="D6DCE4" w:themeFill="text2" w:themeFillTint="33"/>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2024</w:t>
            </w:r>
          </w:p>
        </w:tc>
        <w:tc>
          <w:tcPr>
            <w:tcW w:w="850" w:type="dxa"/>
            <w:gridSpan w:val="2"/>
            <w:tcBorders>
              <w:top w:val="single" w:color="000000" w:sz="4" w:space="0"/>
              <w:left w:val="nil"/>
              <w:bottom w:val="single" w:color="000000" w:sz="4" w:space="0"/>
              <w:right w:val="single" w:color="000000" w:sz="4" w:space="0"/>
            </w:tcBorders>
            <w:shd w:val="clear" w:color="auto" w:fill="D6DCE4" w:themeFill="text2" w:themeFillTint="33"/>
          </w:tcPr>
          <w:p>
            <w:pPr>
              <w:spacing w:line="240" w:lineRule="auto"/>
              <w:ind w:firstLine="0" w:firstLineChars="0"/>
              <w:jc w:val="center"/>
              <w:rPr>
                <w:rFonts w:ascii="宋体" w:hAnsi="宋体" w:eastAsia="宋体" w:cs="仿宋_GB2312"/>
                <w:sz w:val="18"/>
                <w:szCs w:val="18"/>
              </w:rPr>
            </w:pPr>
            <w:r>
              <w:rPr>
                <w:rFonts w:hint="eastAsia" w:ascii="宋体" w:hAnsi="宋体" w:eastAsia="宋体" w:cs="仿宋_GB2312"/>
                <w:sz w:val="18"/>
                <w:szCs w:val="18"/>
              </w:rPr>
              <w:t>2025</w:t>
            </w:r>
          </w:p>
        </w:tc>
        <w:tc>
          <w:tcPr>
            <w:tcW w:w="850" w:type="dxa"/>
            <w:gridSpan w:val="2"/>
            <w:tcBorders>
              <w:top w:val="single" w:color="000000" w:sz="4" w:space="0"/>
              <w:left w:val="nil"/>
              <w:bottom w:val="single" w:color="000000" w:sz="4" w:space="0"/>
              <w:right w:val="single" w:color="000000" w:sz="4" w:space="0"/>
            </w:tcBorders>
            <w:shd w:val="clear" w:color="auto" w:fill="D6DCE4" w:themeFill="text2" w:themeFillTint="33"/>
          </w:tcPr>
          <w:p>
            <w:pPr>
              <w:spacing w:line="240" w:lineRule="auto"/>
              <w:ind w:firstLine="0" w:firstLineChars="0"/>
              <w:jc w:val="center"/>
              <w:rPr>
                <w:rFonts w:hint="eastAsia" w:ascii="宋体" w:hAnsi="宋体" w:eastAsia="宋体" w:cs="仿宋_GB2312"/>
                <w:sz w:val="18"/>
                <w:szCs w:val="18"/>
              </w:rPr>
            </w:pPr>
            <w:r>
              <w:rPr>
                <w:rFonts w:hint="eastAsia" w:ascii="宋体" w:hAnsi="宋体" w:eastAsia="宋体" w:cs="仿宋_GB2312"/>
                <w:sz w:val="18"/>
                <w:szCs w:val="18"/>
              </w:rPr>
              <w:t>2026</w:t>
            </w:r>
          </w:p>
        </w:tc>
        <w:tc>
          <w:tcPr>
            <w:tcW w:w="850" w:type="dxa"/>
            <w:gridSpan w:val="2"/>
            <w:tcBorders>
              <w:top w:val="single" w:color="000000" w:sz="4" w:space="0"/>
              <w:left w:val="nil"/>
              <w:bottom w:val="single" w:color="000000" w:sz="4" w:space="0"/>
              <w:right w:val="single" w:color="000000" w:sz="4" w:space="0"/>
            </w:tcBorders>
            <w:shd w:val="clear" w:color="auto" w:fill="D6DCE4" w:themeFill="text2" w:themeFillTint="33"/>
          </w:tcPr>
          <w:p>
            <w:pPr>
              <w:spacing w:line="240" w:lineRule="auto"/>
              <w:ind w:firstLine="0" w:firstLineChars="0"/>
              <w:jc w:val="center"/>
              <w:rPr>
                <w:rFonts w:hint="eastAsia" w:ascii="宋体" w:hAnsi="宋体" w:eastAsia="宋体" w:cs="仿宋_GB2312"/>
                <w:sz w:val="18"/>
                <w:szCs w:val="18"/>
              </w:rPr>
            </w:pPr>
            <w:r>
              <w:rPr>
                <w:rFonts w:hint="eastAsia" w:ascii="宋体" w:hAnsi="宋体" w:eastAsia="宋体" w:cs="仿宋_GB2312"/>
                <w:sz w:val="18"/>
                <w:szCs w:val="18"/>
              </w:rPr>
              <w:t>2027</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hint="eastAsia" w:ascii="宋体" w:hAnsi="宋体" w:eastAsia="宋体" w:cs="仿宋_GB2312"/>
                <w:sz w:val="18"/>
                <w:szCs w:val="18"/>
              </w:rPr>
              <w:t>资产</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hint="eastAsia" w:ascii="宋体" w:hAnsi="宋体" w:eastAsia="宋体" w:cs="仿宋_GB2312"/>
                <w:sz w:val="18"/>
                <w:szCs w:val="18"/>
              </w:rPr>
              <w:t>流动资产</w:t>
            </w:r>
            <w:r>
              <w:rPr>
                <w:rFonts w:ascii="宋体" w:hAnsi="宋体" w:eastAsia="宋体" w:cs="仿宋_GB2312"/>
                <w:sz w:val="18"/>
                <w:szCs w:val="18"/>
              </w:rPr>
              <w:t>:</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620.79</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623.02</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279.79</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290.14</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320.83</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806.53</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2313.46</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4544.89</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9868.05</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hint="eastAsia" w:ascii="宋体" w:hAnsi="宋体" w:eastAsia="宋体" w:cs="仿宋_GB2312"/>
                <w:sz w:val="18"/>
                <w:szCs w:val="18"/>
              </w:rPr>
              <w:t>固定资产</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3.00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2.94</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2.91</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2.88</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2.85</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2.82</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2.79</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2.76</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2.73</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ascii="宋体" w:hAnsi="宋体" w:eastAsia="宋体" w:cs="仿宋_GB2312"/>
                <w:sz w:val="18"/>
                <w:szCs w:val="18"/>
              </w:rPr>
              <w:t>减</w:t>
            </w:r>
            <w:r>
              <w:rPr>
                <w:rFonts w:hint="eastAsia" w:ascii="宋体" w:hAnsi="宋体" w:eastAsia="宋体" w:cs="仿宋_GB2312"/>
                <w:sz w:val="18"/>
                <w:szCs w:val="18"/>
              </w:rPr>
              <w:t>；</w:t>
            </w:r>
            <w:r>
              <w:rPr>
                <w:rFonts w:ascii="宋体" w:hAnsi="宋体" w:eastAsia="宋体" w:cs="仿宋_GB2312"/>
                <w:sz w:val="18"/>
                <w:szCs w:val="18"/>
              </w:rPr>
              <w:t>累计折旧</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0.30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0.30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0.30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0.30</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0.30</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0.30</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0.30</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0.30</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0.30</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ascii="宋体" w:hAnsi="宋体" w:eastAsia="宋体" w:cs="仿宋_GB2312"/>
                <w:sz w:val="18"/>
                <w:szCs w:val="18"/>
              </w:rPr>
              <w:t>固定资产净值</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2.70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2.64</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2.61</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2.58</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2.55</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2.52</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2.49</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2.46</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2.43</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b/>
                <w:sz w:val="18"/>
                <w:szCs w:val="18"/>
              </w:rPr>
            </w:pPr>
            <w:r>
              <w:rPr>
                <w:rFonts w:ascii="宋体" w:hAnsi="宋体" w:eastAsia="宋体" w:cs="仿宋_GB2312"/>
                <w:b/>
                <w:sz w:val="18"/>
                <w:szCs w:val="18"/>
              </w:rPr>
              <w:t>资产合计</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623.49</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625.66</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282.40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292.72</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323.38</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809.05</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2315.95</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4547.35</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9870.48</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ascii="宋体" w:hAnsi="宋体" w:eastAsia="宋体" w:cs="仿宋_GB2312"/>
                <w:sz w:val="18"/>
                <w:szCs w:val="18"/>
              </w:rPr>
              <w:t>负债</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ascii="宋体" w:hAnsi="宋体" w:eastAsia="宋体" w:cs="仿宋_GB2312"/>
                <w:sz w:val="18"/>
                <w:szCs w:val="18"/>
              </w:rPr>
              <w:t>流动负债</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ascii="宋体" w:hAnsi="宋体" w:eastAsia="宋体" w:cs="仿宋_GB2312"/>
                <w:sz w:val="18"/>
                <w:szCs w:val="18"/>
              </w:rPr>
              <w:t>应交税费</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0.13</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0.75</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9.50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18.18</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34.02</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106.87</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333.60</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1216.07</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2596.04</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ascii="宋体" w:hAnsi="宋体" w:eastAsia="宋体" w:cs="仿宋_GB2312"/>
                <w:sz w:val="18"/>
                <w:szCs w:val="18"/>
              </w:rPr>
              <w:t>非流动负债</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b/>
                <w:sz w:val="18"/>
                <w:szCs w:val="18"/>
              </w:rPr>
            </w:pPr>
            <w:r>
              <w:rPr>
                <w:rFonts w:ascii="宋体" w:hAnsi="宋体" w:eastAsia="宋体" w:cs="仿宋_GB2312"/>
                <w:b/>
                <w:sz w:val="18"/>
                <w:szCs w:val="18"/>
              </w:rPr>
              <w:t>负债合计</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0.13</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0.75</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9.50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18.18</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34.02</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106.87</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333.60</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1216.07</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2596.04</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ascii="宋体" w:hAnsi="宋体" w:eastAsia="宋体" w:cs="仿宋_GB2312"/>
                <w:sz w:val="18"/>
                <w:szCs w:val="18"/>
              </w:rPr>
              <w:t>所有者权益</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ascii="宋体" w:hAnsi="宋体" w:eastAsia="宋体" w:cs="仿宋_GB2312"/>
                <w:sz w:val="18"/>
                <w:szCs w:val="18"/>
              </w:rPr>
              <w:t>实收资本</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700.00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700.00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300.00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300.00</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300.00</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ascii="宋体" w:hAnsi="宋体" w:eastAsia="宋体" w:cs="仿宋_GB2312"/>
                <w:sz w:val="18"/>
                <w:szCs w:val="18"/>
              </w:rPr>
              <w:t>盈余公积</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ascii="宋体" w:hAnsi="宋体" w:eastAsia="宋体" w:cs="仿宋_GB2312"/>
                <w:sz w:val="18"/>
                <w:szCs w:val="18"/>
              </w:rPr>
              <w:t>法定盈余公积</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-58.95</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-57.76</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-20.95</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-19.59</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-8.18</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70.22</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198.24</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333.13</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727.44</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ascii="宋体" w:hAnsi="宋体" w:eastAsia="宋体" w:cs="仿宋_GB2312"/>
                <w:sz w:val="18"/>
                <w:szCs w:val="18"/>
              </w:rPr>
              <w:t>任意盈余公积</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-17.69</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-17.33</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-6.25</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-5.88</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-2.45</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21.07</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59.47</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99.94</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218.23</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ascii="宋体" w:hAnsi="宋体" w:eastAsia="宋体" w:cs="仿宋_GB2312"/>
                <w:sz w:val="18"/>
                <w:szCs w:val="18"/>
              </w:rPr>
              <w:t>向股东分配利润</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610.89</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1724.65</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2898.21</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6328.76</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sz w:val="18"/>
                <w:szCs w:val="18"/>
              </w:rPr>
            </w:pPr>
            <w:r>
              <w:rPr>
                <w:rFonts w:ascii="宋体" w:hAnsi="宋体" w:eastAsia="宋体" w:cs="仿宋_GB2312"/>
                <w:sz w:val="18"/>
                <w:szCs w:val="18"/>
              </w:rPr>
              <w:t>未分配利润</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0.00001</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-0.0004</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0.0004</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-0.00003</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b/>
                <w:sz w:val="18"/>
                <w:szCs w:val="18"/>
              </w:rPr>
            </w:pPr>
            <w:r>
              <w:rPr>
                <w:rFonts w:ascii="宋体" w:hAnsi="宋体" w:eastAsia="宋体" w:cs="仿宋_GB2312"/>
                <w:b/>
                <w:sz w:val="18"/>
                <w:szCs w:val="18"/>
              </w:rPr>
              <w:t>所有者权益合计</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623.36</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624.92</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272.90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274.54</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289.36</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702.17</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1982.36</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3331.27</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7274.44</w:t>
            </w:r>
          </w:p>
        </w:tc>
      </w:tr>
      <w:tr>
        <w:tblPrEx>
          <w:tblCellMar>
            <w:top w:w="0" w:type="dxa"/>
            <w:left w:w="0" w:type="dxa"/>
            <w:bottom w:w="0" w:type="dxa"/>
            <w:right w:w="0" w:type="dxa"/>
          </w:tblCellMar>
        </w:tblPrEx>
        <w:trPr>
          <w:trHeight w:val="386" w:hRule="atLeast"/>
        </w:trPr>
        <w:tc>
          <w:tcPr>
            <w:tcW w:w="1417" w:type="dxa"/>
            <w:tcBorders>
              <w:top w:val="single" w:color="000000" w:sz="4" w:space="0"/>
              <w:left w:val="single" w:color="000000" w:sz="4" w:space="0"/>
              <w:bottom w:val="single" w:color="000000" w:sz="4" w:space="0"/>
              <w:right w:val="single" w:color="000000" w:sz="4" w:space="0"/>
            </w:tcBorders>
            <w:shd w:val="clear" w:color="auto" w:fill="D6DCE4" w:themeFill="text2" w:themeFillTint="33"/>
            <w:vAlign w:val="center"/>
          </w:tcPr>
          <w:p>
            <w:pPr>
              <w:spacing w:line="240" w:lineRule="auto"/>
              <w:ind w:firstLine="0" w:firstLineChars="0"/>
              <w:jc w:val="left"/>
              <w:rPr>
                <w:rFonts w:ascii="宋体" w:hAnsi="宋体" w:eastAsia="宋体" w:cs="仿宋_GB2312"/>
                <w:b/>
                <w:sz w:val="18"/>
                <w:szCs w:val="18"/>
              </w:rPr>
            </w:pPr>
            <w:r>
              <w:rPr>
                <w:rFonts w:ascii="宋体" w:hAnsi="宋体" w:eastAsia="宋体" w:cs="仿宋_GB2312"/>
                <w:b/>
                <w:sz w:val="18"/>
                <w:szCs w:val="18"/>
              </w:rPr>
              <w:t>负债及权益合计</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623.49</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625.66</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282.40</w:t>
            </w:r>
          </w:p>
        </w:tc>
        <w:tc>
          <w:tcPr>
            <w:tcW w:w="850" w:type="dxa"/>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292.72</w:t>
            </w:r>
          </w:p>
        </w:tc>
        <w:tc>
          <w:tcPr>
            <w:tcW w:w="907" w:type="dxa"/>
            <w:gridSpan w:val="2"/>
            <w:tcBorders>
              <w:top w:val="single" w:color="000000" w:sz="4" w:space="0"/>
              <w:left w:val="nil"/>
              <w:bottom w:val="single" w:color="000000" w:sz="4" w:space="0"/>
              <w:right w:val="single" w:color="000000" w:sz="4" w:space="0"/>
            </w:tcBorders>
            <w:shd w:val="clear" w:color="auto" w:fill="F1F1F1"/>
            <w:vAlign w:val="center"/>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323.38</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809.05</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2315.95</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4547.35</w:t>
            </w:r>
          </w:p>
        </w:tc>
        <w:tc>
          <w:tcPr>
            <w:tcW w:w="850" w:type="dxa"/>
            <w:gridSpan w:val="2"/>
            <w:tcBorders>
              <w:top w:val="single" w:color="000000" w:sz="4" w:space="0"/>
              <w:left w:val="nil"/>
              <w:bottom w:val="single" w:color="000000" w:sz="4" w:space="0"/>
              <w:right w:val="single" w:color="000000" w:sz="4" w:space="0"/>
            </w:tcBorders>
            <w:shd w:val="clear" w:color="auto" w:fill="F1F1F1"/>
          </w:tcPr>
          <w:p>
            <w:pPr>
              <w:spacing w:line="240" w:lineRule="auto"/>
              <w:ind w:firstLine="0" w:firstLineChars="0"/>
              <w:rPr>
                <w:rFonts w:ascii="宋体" w:hAnsi="宋体" w:eastAsia="宋体" w:cs="仿宋_GB2312"/>
                <w:sz w:val="18"/>
                <w:szCs w:val="18"/>
              </w:rPr>
            </w:pPr>
            <w:r>
              <w:rPr>
                <w:rFonts w:hint="eastAsia" w:ascii="宋体" w:hAnsi="宋体" w:eastAsia="宋体" w:cs="仿宋_GB2312"/>
                <w:sz w:val="18"/>
                <w:szCs w:val="18"/>
              </w:rPr>
              <w:t>9870.48</w:t>
            </w:r>
          </w:p>
        </w:tc>
      </w:tr>
    </w:tbl>
    <w:p>
      <w:pPr>
        <w:spacing w:line="240" w:lineRule="auto"/>
        <w:ind w:firstLine="420"/>
        <w:jc w:val="left"/>
        <w:rPr>
          <w:rFonts w:hint="eastAsia" w:ascii="仿宋_GB2312" w:hAnsi="仿宋_GB2312" w:cs="仿宋_GB2312"/>
          <w:color w:val="000000"/>
          <w:sz w:val="21"/>
          <w:szCs w:val="21"/>
        </w:rPr>
      </w:pPr>
      <w:bookmarkStart w:id="160" w:name="_Toc11512"/>
      <w:bookmarkStart w:id="161" w:name="_Toc4788798"/>
      <w:r>
        <w:rPr>
          <w:rFonts w:hint="eastAsia" w:ascii="仿宋_GB2312" w:hAnsi="仿宋_GB2312" w:cs="仿宋_GB2312"/>
          <w:color w:val="000000"/>
          <w:sz w:val="21"/>
          <w:szCs w:val="21"/>
        </w:rPr>
        <w:t>注：1.每年从税后利润中提取法定盈余公积10%和任意盈余公积5%，共提取15%，当法定盈余公积累计额达到注册资本的50%时，不再提取法定盈余公积，继续提取任意盈余公积。</w:t>
      </w:r>
    </w:p>
    <w:p>
      <w:pPr>
        <w:spacing w:line="240" w:lineRule="auto"/>
        <w:ind w:firstLine="420"/>
        <w:jc w:val="left"/>
        <w:rPr>
          <w:rFonts w:ascii="仿宋_GB2312" w:hAnsi="仿宋_GB2312" w:cs="仿宋_GB2312"/>
          <w:color w:val="000000"/>
          <w:sz w:val="21"/>
          <w:szCs w:val="21"/>
        </w:rPr>
      </w:pPr>
      <w:r>
        <w:rPr>
          <w:rFonts w:hint="eastAsia" w:ascii="仿宋_GB2312" w:hAnsi="仿宋_GB2312" w:cs="仿宋_GB2312"/>
          <w:color w:val="000000"/>
          <w:sz w:val="21"/>
          <w:szCs w:val="21"/>
        </w:rPr>
        <w:t>2.公司从第二年起，每年按可供分配利润的20%向投资者进行分配。</w:t>
      </w:r>
    </w:p>
    <w:p>
      <w:pPr>
        <w:tabs>
          <w:tab w:val="center" w:pos="4434"/>
        </w:tabs>
        <w:spacing w:line="500" w:lineRule="exact"/>
        <w:ind w:firstLine="0" w:firstLineChars="0"/>
        <w:jc w:val="left"/>
        <w:outlineLvl w:val="2"/>
        <w:rPr>
          <w:rFonts w:ascii="黑体" w:hAnsi="黑体" w:eastAsia="黑体" w:cs="Times New Roman"/>
        </w:rPr>
      </w:pPr>
      <w:bookmarkStart w:id="162" w:name="_Toc5365000"/>
      <w:bookmarkStart w:id="163" w:name="_Toc61100261"/>
      <w:r>
        <w:rPr>
          <w:rFonts w:hint="eastAsia" w:ascii="黑体" w:hAnsi="黑体" w:eastAsia="黑体" w:cs="Times New Roman"/>
        </w:rPr>
        <w:t>8</w:t>
      </w:r>
      <w:r>
        <w:rPr>
          <w:rFonts w:ascii="黑体" w:hAnsi="黑体" w:eastAsia="黑体" w:cs="Times New Roman"/>
        </w:rPr>
        <w:t>.</w:t>
      </w:r>
      <w:r>
        <w:rPr>
          <w:rFonts w:hint="eastAsia" w:ascii="黑体" w:hAnsi="黑体" w:eastAsia="黑体" w:cs="Times New Roman"/>
        </w:rPr>
        <w:t>4.4财务报表分析</w:t>
      </w:r>
      <w:bookmarkEnd w:id="160"/>
      <w:bookmarkEnd w:id="161"/>
      <w:bookmarkEnd w:id="162"/>
      <w:bookmarkEnd w:id="163"/>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为了对本项目的财务状况进行客观分析和评价，从而为投资者及其他利益相关者提供了解本项目历史经营情况以评价现状，同时预测本项目未来发展的信息，对本项目的偿债能力及盈利能力等进行分析，我们分别选取了它们的相关指标，分析如下：</w:t>
      </w:r>
    </w:p>
    <w:p>
      <w:pPr>
        <w:ind w:firstLine="482"/>
        <w:rPr>
          <w:rFonts w:ascii="仿宋_GB2312" w:hAnsi="仿宋_GB2312" w:cs="仿宋_GB2312"/>
          <w:b/>
          <w:color w:val="000000"/>
          <w:sz w:val="24"/>
          <w:szCs w:val="28"/>
        </w:rPr>
      </w:pPr>
      <w:r>
        <w:rPr>
          <w:rFonts w:hint="eastAsia" w:ascii="仿宋_GB2312" w:hAnsi="仿宋_GB2312" w:cs="仿宋_GB2312"/>
          <w:b/>
          <w:color w:val="000000"/>
          <w:sz w:val="24"/>
          <w:szCs w:val="28"/>
        </w:rPr>
        <w:t>偿债能力</w:t>
      </w:r>
    </w:p>
    <w:p>
      <w:pPr>
        <w:ind w:firstLine="480"/>
        <w:rPr>
          <w:rFonts w:ascii="仿宋_GB2312" w:hAnsi="仿宋_GB2312" w:cs="仿宋_GB2312"/>
          <w:color w:val="000000"/>
          <w:sz w:val="24"/>
          <w:szCs w:val="28"/>
        </w:rPr>
      </w:pPr>
      <w:r>
        <w:rPr>
          <w:rFonts w:hint="eastAsia" w:ascii="仿宋_GB2312" w:hAnsi="仿宋_GB2312" w:cs="仿宋_GB2312"/>
          <w:color w:val="000000"/>
          <w:sz w:val="24"/>
          <w:szCs w:val="28"/>
        </w:rPr>
        <w:t>债务是企业在未来要偿还以前经济业务所承担的经济责任，偿债能力关系到筹资活动的风险，公司如不能按期足额偿付债务，则会面临一系列损失。下面从流动比率进行分析。</w:t>
      </w:r>
    </w:p>
    <w:tbl>
      <w:tblPr>
        <w:tblStyle w:val="22"/>
        <w:tblpPr w:leftFromText="180" w:rightFromText="180" w:vertAnchor="text" w:horzAnchor="margin" w:tblpXSpec="center" w:tblpY="809"/>
        <w:tblW w:w="8364" w:type="dxa"/>
        <w:tblInd w:w="0" w:type="dxa"/>
        <w:tblLayout w:type="fixed"/>
        <w:tblCellMar>
          <w:top w:w="0" w:type="dxa"/>
          <w:left w:w="0" w:type="dxa"/>
          <w:bottom w:w="0" w:type="dxa"/>
          <w:right w:w="0" w:type="dxa"/>
        </w:tblCellMar>
      </w:tblPr>
      <w:tblGrid>
        <w:gridCol w:w="1380"/>
        <w:gridCol w:w="1382"/>
        <w:gridCol w:w="1382"/>
        <w:gridCol w:w="1383"/>
        <w:gridCol w:w="1382"/>
        <w:gridCol w:w="1455"/>
      </w:tblGrid>
      <w:tr>
        <w:tblPrEx>
          <w:tblCellMar>
            <w:top w:w="0" w:type="dxa"/>
            <w:left w:w="0" w:type="dxa"/>
            <w:bottom w:w="0" w:type="dxa"/>
            <w:right w:w="0" w:type="dxa"/>
          </w:tblCellMar>
        </w:tblPrEx>
        <w:trPr>
          <w:trHeight w:val="403" w:hRule="atLeast"/>
        </w:trPr>
        <w:tc>
          <w:tcPr>
            <w:tcW w:w="2762" w:type="dxa"/>
            <w:gridSpan w:val="2"/>
            <w:tcBorders>
              <w:top w:val="nil"/>
              <w:left w:val="nil"/>
              <w:bottom w:val="single" w:color="FFFFFF" w:sz="2" w:space="0"/>
              <w:right w:val="nil"/>
            </w:tcBorders>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第一年</w:t>
            </w:r>
          </w:p>
        </w:tc>
        <w:tc>
          <w:tcPr>
            <w:tcW w:w="1382" w:type="dxa"/>
            <w:tcBorders>
              <w:top w:val="nil"/>
              <w:left w:val="nil"/>
              <w:bottom w:val="single" w:color="FFFFFF" w:sz="2" w:space="0"/>
              <w:right w:val="nil"/>
            </w:tcBorders>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第二年</w:t>
            </w:r>
          </w:p>
        </w:tc>
        <w:tc>
          <w:tcPr>
            <w:tcW w:w="1383" w:type="dxa"/>
            <w:tcBorders>
              <w:top w:val="nil"/>
              <w:left w:val="nil"/>
              <w:bottom w:val="single" w:color="FFFFFF" w:sz="2" w:space="0"/>
              <w:right w:val="nil"/>
            </w:tcBorders>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第三年</w:t>
            </w:r>
          </w:p>
        </w:tc>
        <w:tc>
          <w:tcPr>
            <w:tcW w:w="1382" w:type="dxa"/>
            <w:tcBorders>
              <w:top w:val="nil"/>
              <w:left w:val="nil"/>
              <w:bottom w:val="single" w:color="FFFFFF" w:sz="2" w:space="0"/>
              <w:right w:val="nil"/>
            </w:tcBorders>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第四年</w:t>
            </w:r>
          </w:p>
        </w:tc>
        <w:tc>
          <w:tcPr>
            <w:tcW w:w="1455" w:type="dxa"/>
            <w:tcBorders>
              <w:top w:val="nil"/>
              <w:left w:val="nil"/>
              <w:bottom w:val="single" w:color="FFFFFF" w:sz="2" w:space="0"/>
              <w:right w:val="nil"/>
            </w:tcBorders>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第五年</w:t>
            </w:r>
          </w:p>
        </w:tc>
      </w:tr>
      <w:tr>
        <w:tblPrEx>
          <w:tblCellMar>
            <w:top w:w="0" w:type="dxa"/>
            <w:left w:w="0" w:type="dxa"/>
            <w:bottom w:w="0" w:type="dxa"/>
            <w:right w:w="0" w:type="dxa"/>
          </w:tblCellMar>
        </w:tblPrEx>
        <w:trPr>
          <w:trHeight w:val="377" w:hRule="atLeast"/>
        </w:trPr>
        <w:tc>
          <w:tcPr>
            <w:tcW w:w="1380" w:type="dxa"/>
            <w:tcBorders>
              <w:top w:val="single" w:color="FFFFFF" w:sz="2" w:space="0"/>
              <w:left w:val="nil"/>
              <w:bottom w:val="nil"/>
              <w:right w:val="single" w:color="FFFFFF" w:sz="2" w:space="0"/>
            </w:tcBorders>
            <w:shd w:val="clear" w:color="auto" w:fill="D6DCE4" w:themeFill="text2" w:themeFillTint="33"/>
            <w:vAlign w:val="center"/>
          </w:tcPr>
          <w:p>
            <w:pPr>
              <w:ind w:firstLine="420"/>
              <w:jc w:val="left"/>
              <w:rPr>
                <w:rFonts w:ascii="仿宋_GB2312" w:hAnsi="仿宋_GB2312" w:cs="仿宋_GB2312"/>
                <w:sz w:val="21"/>
                <w:szCs w:val="28"/>
              </w:rPr>
            </w:pPr>
            <w:r>
              <w:rPr>
                <w:rFonts w:hint="eastAsia" w:ascii="仿宋_GB2312" w:hAnsi="仿宋_GB2312" w:cs="仿宋_GB2312"/>
                <w:sz w:val="21"/>
                <w:szCs w:val="28"/>
              </w:rPr>
              <w:t>流动比率</w:t>
            </w:r>
          </w:p>
        </w:tc>
        <w:tc>
          <w:tcPr>
            <w:tcW w:w="1382" w:type="dxa"/>
            <w:tcBorders>
              <w:top w:val="single" w:color="FFFFFF" w:sz="2" w:space="0"/>
              <w:left w:val="nil"/>
              <w:bottom w:val="nil"/>
              <w:right w:val="nil"/>
            </w:tcBorders>
            <w:shd w:val="clear" w:color="auto" w:fill="F2F2F2"/>
            <w:vAlign w:val="center"/>
          </w:tcPr>
          <w:p>
            <w:pPr>
              <w:ind w:firstLine="420"/>
              <w:jc w:val="left"/>
              <w:rPr>
                <w:rFonts w:ascii="仿宋_GB2312" w:hAnsi="仿宋_GB2312" w:cs="仿宋_GB2312"/>
                <w:sz w:val="21"/>
                <w:szCs w:val="28"/>
              </w:rPr>
            </w:pPr>
            <w:r>
              <w:rPr>
                <w:rFonts w:ascii="仿宋_GB2312" w:hAnsi="仿宋_GB2312" w:cs="仿宋_GB2312"/>
                <w:sz w:val="21"/>
                <w:szCs w:val="28"/>
              </w:rPr>
              <w:t>2.94</w:t>
            </w:r>
          </w:p>
        </w:tc>
        <w:tc>
          <w:tcPr>
            <w:tcW w:w="1382" w:type="dxa"/>
            <w:tcBorders>
              <w:top w:val="single" w:color="FFFFFF" w:sz="2" w:space="0"/>
              <w:left w:val="nil"/>
              <w:bottom w:val="nil"/>
              <w:right w:val="nil"/>
            </w:tcBorders>
            <w:shd w:val="clear" w:color="auto" w:fill="F2F2F2"/>
            <w:vAlign w:val="center"/>
          </w:tcPr>
          <w:p>
            <w:pPr>
              <w:ind w:firstLine="420"/>
              <w:jc w:val="left"/>
              <w:rPr>
                <w:rFonts w:ascii="仿宋_GB2312" w:hAnsi="仿宋_GB2312" w:cs="仿宋_GB2312"/>
                <w:sz w:val="21"/>
                <w:szCs w:val="28"/>
              </w:rPr>
            </w:pPr>
            <w:r>
              <w:rPr>
                <w:rFonts w:ascii="仿宋_GB2312" w:hAnsi="仿宋_GB2312" w:cs="仿宋_GB2312"/>
                <w:sz w:val="21"/>
                <w:szCs w:val="28"/>
              </w:rPr>
              <w:t>2.75</w:t>
            </w:r>
          </w:p>
        </w:tc>
        <w:tc>
          <w:tcPr>
            <w:tcW w:w="1383" w:type="dxa"/>
            <w:tcBorders>
              <w:top w:val="single" w:color="FFFFFF" w:sz="2" w:space="0"/>
              <w:left w:val="nil"/>
              <w:bottom w:val="nil"/>
              <w:right w:val="nil"/>
            </w:tcBorders>
            <w:shd w:val="clear" w:color="auto" w:fill="F2F2F2"/>
            <w:vAlign w:val="center"/>
          </w:tcPr>
          <w:p>
            <w:pPr>
              <w:ind w:firstLine="420"/>
              <w:jc w:val="left"/>
              <w:rPr>
                <w:rFonts w:ascii="仿宋_GB2312" w:hAnsi="仿宋_GB2312" w:cs="仿宋_GB2312"/>
                <w:sz w:val="21"/>
                <w:szCs w:val="28"/>
              </w:rPr>
            </w:pPr>
            <w:r>
              <w:rPr>
                <w:rFonts w:ascii="仿宋_GB2312" w:hAnsi="仿宋_GB2312" w:cs="仿宋_GB2312"/>
                <w:sz w:val="21"/>
                <w:szCs w:val="28"/>
              </w:rPr>
              <w:t>2.86</w:t>
            </w:r>
          </w:p>
        </w:tc>
        <w:tc>
          <w:tcPr>
            <w:tcW w:w="1382" w:type="dxa"/>
            <w:tcBorders>
              <w:top w:val="single" w:color="FFFFFF" w:sz="2" w:space="0"/>
              <w:left w:val="nil"/>
              <w:bottom w:val="nil"/>
              <w:right w:val="nil"/>
            </w:tcBorders>
            <w:shd w:val="clear" w:color="auto" w:fill="F2F2F2"/>
            <w:vAlign w:val="center"/>
          </w:tcPr>
          <w:p>
            <w:pPr>
              <w:ind w:firstLine="420"/>
              <w:jc w:val="left"/>
              <w:rPr>
                <w:rFonts w:ascii="仿宋_GB2312" w:hAnsi="仿宋_GB2312" w:cs="仿宋_GB2312"/>
                <w:sz w:val="21"/>
                <w:szCs w:val="28"/>
              </w:rPr>
            </w:pPr>
            <w:r>
              <w:rPr>
                <w:rFonts w:ascii="仿宋_GB2312" w:hAnsi="仿宋_GB2312" w:cs="仿宋_GB2312"/>
                <w:sz w:val="21"/>
                <w:szCs w:val="28"/>
              </w:rPr>
              <w:t>2.43</w:t>
            </w:r>
          </w:p>
        </w:tc>
        <w:tc>
          <w:tcPr>
            <w:tcW w:w="1455" w:type="dxa"/>
            <w:tcBorders>
              <w:top w:val="single" w:color="FFFFFF" w:sz="2" w:space="0"/>
              <w:left w:val="nil"/>
              <w:bottom w:val="nil"/>
              <w:right w:val="nil"/>
            </w:tcBorders>
            <w:shd w:val="clear" w:color="auto" w:fill="F2F2F2"/>
            <w:vAlign w:val="center"/>
          </w:tcPr>
          <w:p>
            <w:pPr>
              <w:ind w:firstLine="420"/>
              <w:jc w:val="left"/>
              <w:rPr>
                <w:rFonts w:ascii="仿宋_GB2312" w:hAnsi="仿宋_GB2312" w:cs="仿宋_GB2312"/>
                <w:sz w:val="21"/>
                <w:szCs w:val="28"/>
              </w:rPr>
            </w:pPr>
            <w:r>
              <w:rPr>
                <w:rFonts w:ascii="仿宋_GB2312" w:hAnsi="仿宋_GB2312" w:cs="仿宋_GB2312"/>
                <w:sz w:val="21"/>
                <w:szCs w:val="28"/>
              </w:rPr>
              <w:t>3.17</w:t>
            </w:r>
          </w:p>
        </w:tc>
      </w:tr>
    </w:tbl>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流动比率</w:t>
      </w:r>
      <w:r>
        <w:rPr>
          <w:rFonts w:ascii="仿宋_GB2312" w:hAnsi="仿宋_GB2312" w:cs="仿宋_GB2312"/>
          <w:b/>
          <w:color w:val="000000"/>
          <w:sz w:val="24"/>
          <w:szCs w:val="28"/>
        </w:rPr>
        <w:t>=</w:t>
      </w:r>
      <w:r>
        <w:rPr>
          <w:rFonts w:hint="eastAsia" w:ascii="仿宋_GB2312" w:hAnsi="仿宋_GB2312" w:cs="仿宋_GB2312"/>
          <w:b/>
          <w:color w:val="000000"/>
          <w:sz w:val="24"/>
          <w:szCs w:val="28"/>
        </w:rPr>
        <w:t>流动资产</w:t>
      </w:r>
      <w:r>
        <w:rPr>
          <w:rFonts w:ascii="仿宋_GB2312" w:hAnsi="仿宋_GB2312" w:cs="仿宋_GB2312"/>
          <w:b/>
          <w:color w:val="000000"/>
          <w:sz w:val="24"/>
          <w:szCs w:val="28"/>
        </w:rPr>
        <w:t>/</w:t>
      </w:r>
      <w:r>
        <w:rPr>
          <w:rFonts w:hint="eastAsia" w:ascii="仿宋_GB2312" w:hAnsi="仿宋_GB2312" w:cs="仿宋_GB2312"/>
          <w:b/>
          <w:color w:val="000000"/>
          <w:sz w:val="24"/>
          <w:szCs w:val="28"/>
        </w:rPr>
        <w:t>流动负债</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流动比率大说明企业资产的变现能力强，有足够的能力偿还债务，不用担心由于无法支付短期债务而导致公司现金断流，且波动程度不大说明资金得到了合理的利用。</w:t>
      </w:r>
    </w:p>
    <w:p>
      <w:pPr>
        <w:ind w:firstLine="482"/>
        <w:jc w:val="left"/>
        <w:rPr>
          <w:rFonts w:ascii="仿宋_GB2312" w:hAnsi="仿宋_GB2312" w:cs="仿宋_GB2312"/>
          <w:b/>
          <w:color w:val="000000"/>
          <w:sz w:val="24"/>
          <w:szCs w:val="28"/>
        </w:rPr>
      </w:pPr>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营运能力</w:t>
      </w:r>
    </w:p>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营运能力能反应公司对有限资源的配置和利用能力，为了反应公司的营运能力，从流动资产周转率进行分析。</w:t>
      </w:r>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流动资产周转率</w:t>
      </w:r>
      <w:r>
        <w:rPr>
          <w:rFonts w:ascii="仿宋_GB2312" w:hAnsi="仿宋_GB2312" w:cs="仿宋_GB2312"/>
          <w:b/>
          <w:color w:val="000000"/>
          <w:sz w:val="24"/>
          <w:szCs w:val="28"/>
        </w:rPr>
        <w:t>=</w:t>
      </w:r>
      <w:r>
        <w:rPr>
          <w:rFonts w:hint="eastAsia" w:ascii="仿宋_GB2312" w:hAnsi="仿宋_GB2312" w:cs="仿宋_GB2312"/>
          <w:b/>
          <w:color w:val="000000"/>
          <w:sz w:val="24"/>
          <w:szCs w:val="28"/>
        </w:rPr>
        <w:t>销售收入</w:t>
      </w:r>
      <w:r>
        <w:rPr>
          <w:rFonts w:ascii="仿宋_GB2312" w:hAnsi="仿宋_GB2312" w:cs="仿宋_GB2312"/>
          <w:b/>
          <w:color w:val="000000"/>
          <w:sz w:val="24"/>
          <w:szCs w:val="28"/>
        </w:rPr>
        <w:t>/</w:t>
      </w:r>
      <w:r>
        <w:rPr>
          <w:rFonts w:hint="eastAsia" w:ascii="仿宋_GB2312" w:hAnsi="仿宋_GB2312" w:cs="仿宋_GB2312"/>
          <w:b/>
          <w:color w:val="000000"/>
          <w:sz w:val="24"/>
          <w:szCs w:val="28"/>
        </w:rPr>
        <w:t>流动资产周转率</w:t>
      </w:r>
    </w:p>
    <w:tbl>
      <w:tblPr>
        <w:tblStyle w:val="22"/>
        <w:tblW w:w="8661" w:type="dxa"/>
        <w:jc w:val="center"/>
        <w:tblLayout w:type="fixed"/>
        <w:tblCellMar>
          <w:top w:w="0" w:type="dxa"/>
          <w:left w:w="0" w:type="dxa"/>
          <w:bottom w:w="0" w:type="dxa"/>
          <w:right w:w="0" w:type="dxa"/>
        </w:tblCellMar>
      </w:tblPr>
      <w:tblGrid>
        <w:gridCol w:w="2348"/>
        <w:gridCol w:w="1275"/>
        <w:gridCol w:w="1275"/>
        <w:gridCol w:w="1276"/>
        <w:gridCol w:w="1260"/>
        <w:gridCol w:w="1227"/>
      </w:tblGrid>
      <w:tr>
        <w:tblPrEx>
          <w:tblCellMar>
            <w:top w:w="0" w:type="dxa"/>
            <w:left w:w="0" w:type="dxa"/>
            <w:bottom w:w="0" w:type="dxa"/>
            <w:right w:w="0" w:type="dxa"/>
          </w:tblCellMar>
        </w:tblPrEx>
        <w:trPr>
          <w:trHeight w:val="531" w:hRule="atLeast"/>
          <w:jc w:val="center"/>
        </w:trPr>
        <w:tc>
          <w:tcPr>
            <w:tcW w:w="3623" w:type="dxa"/>
            <w:gridSpan w:val="2"/>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第一年</w:t>
            </w:r>
          </w:p>
        </w:tc>
        <w:tc>
          <w:tcPr>
            <w:tcW w:w="1275" w:type="dxa"/>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第二年</w:t>
            </w:r>
          </w:p>
        </w:tc>
        <w:tc>
          <w:tcPr>
            <w:tcW w:w="1276" w:type="dxa"/>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第三年</w:t>
            </w:r>
          </w:p>
        </w:tc>
        <w:tc>
          <w:tcPr>
            <w:tcW w:w="1260" w:type="dxa"/>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第四年</w:t>
            </w:r>
          </w:p>
        </w:tc>
        <w:tc>
          <w:tcPr>
            <w:tcW w:w="1227" w:type="dxa"/>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第五年</w:t>
            </w:r>
          </w:p>
        </w:tc>
      </w:tr>
      <w:tr>
        <w:tblPrEx>
          <w:tblCellMar>
            <w:top w:w="0" w:type="dxa"/>
            <w:left w:w="0" w:type="dxa"/>
            <w:bottom w:w="0" w:type="dxa"/>
            <w:right w:w="0" w:type="dxa"/>
          </w:tblCellMar>
        </w:tblPrEx>
        <w:trPr>
          <w:trHeight w:val="442" w:hRule="atLeast"/>
          <w:jc w:val="center"/>
        </w:trPr>
        <w:tc>
          <w:tcPr>
            <w:tcW w:w="2348" w:type="dxa"/>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流动资产周转率</w:t>
            </w:r>
          </w:p>
        </w:tc>
        <w:tc>
          <w:tcPr>
            <w:tcW w:w="1275" w:type="dxa"/>
            <w:shd w:val="clear" w:color="auto" w:fill="F2F2F2"/>
            <w:vAlign w:val="center"/>
          </w:tcPr>
          <w:p>
            <w:pPr>
              <w:ind w:firstLine="420"/>
              <w:rPr>
                <w:rFonts w:ascii="仿宋_GB2312" w:hAnsi="仿宋_GB2312" w:cs="仿宋_GB2312"/>
                <w:sz w:val="21"/>
                <w:szCs w:val="28"/>
              </w:rPr>
            </w:pPr>
            <w:r>
              <w:rPr>
                <w:rFonts w:ascii="仿宋_GB2312" w:hAnsi="仿宋_GB2312" w:cs="仿宋_GB2312"/>
                <w:sz w:val="21"/>
                <w:szCs w:val="28"/>
              </w:rPr>
              <w:t>0.71</w:t>
            </w:r>
          </w:p>
        </w:tc>
        <w:tc>
          <w:tcPr>
            <w:tcW w:w="1275" w:type="dxa"/>
            <w:shd w:val="clear" w:color="auto" w:fill="F2F2F2"/>
            <w:vAlign w:val="center"/>
          </w:tcPr>
          <w:p>
            <w:pPr>
              <w:ind w:firstLine="420"/>
              <w:rPr>
                <w:rFonts w:ascii="仿宋_GB2312" w:hAnsi="仿宋_GB2312" w:cs="仿宋_GB2312"/>
                <w:sz w:val="21"/>
                <w:szCs w:val="28"/>
              </w:rPr>
            </w:pPr>
            <w:r>
              <w:rPr>
                <w:rFonts w:ascii="仿宋_GB2312" w:hAnsi="仿宋_GB2312" w:cs="仿宋_GB2312"/>
                <w:sz w:val="21"/>
                <w:szCs w:val="28"/>
              </w:rPr>
              <w:t>0.74</w:t>
            </w:r>
          </w:p>
        </w:tc>
        <w:tc>
          <w:tcPr>
            <w:tcW w:w="1276" w:type="dxa"/>
            <w:shd w:val="clear" w:color="auto" w:fill="F2F2F2"/>
            <w:vAlign w:val="center"/>
          </w:tcPr>
          <w:p>
            <w:pPr>
              <w:ind w:firstLine="420"/>
              <w:rPr>
                <w:rFonts w:ascii="仿宋_GB2312" w:hAnsi="仿宋_GB2312" w:cs="仿宋_GB2312"/>
                <w:sz w:val="21"/>
                <w:szCs w:val="28"/>
              </w:rPr>
            </w:pPr>
            <w:r>
              <w:rPr>
                <w:rFonts w:ascii="仿宋_GB2312" w:hAnsi="仿宋_GB2312" w:cs="仿宋_GB2312"/>
                <w:sz w:val="21"/>
                <w:szCs w:val="28"/>
              </w:rPr>
              <w:t>0.84</w:t>
            </w:r>
          </w:p>
        </w:tc>
        <w:tc>
          <w:tcPr>
            <w:tcW w:w="1260" w:type="dxa"/>
            <w:shd w:val="clear" w:color="auto" w:fill="F2F2F2"/>
            <w:vAlign w:val="center"/>
          </w:tcPr>
          <w:p>
            <w:pPr>
              <w:ind w:firstLine="420"/>
              <w:rPr>
                <w:rFonts w:ascii="仿宋_GB2312" w:hAnsi="仿宋_GB2312" w:cs="仿宋_GB2312"/>
                <w:sz w:val="21"/>
                <w:szCs w:val="28"/>
              </w:rPr>
            </w:pPr>
            <w:r>
              <w:rPr>
                <w:rFonts w:ascii="仿宋_GB2312" w:hAnsi="仿宋_GB2312" w:cs="仿宋_GB2312"/>
                <w:sz w:val="21"/>
                <w:szCs w:val="28"/>
              </w:rPr>
              <w:t>1.03</w:t>
            </w:r>
          </w:p>
        </w:tc>
        <w:tc>
          <w:tcPr>
            <w:tcW w:w="1227" w:type="dxa"/>
            <w:shd w:val="clear" w:color="auto" w:fill="F2F2F2"/>
            <w:vAlign w:val="center"/>
          </w:tcPr>
          <w:p>
            <w:pPr>
              <w:ind w:firstLine="420"/>
              <w:rPr>
                <w:rFonts w:ascii="仿宋_GB2312" w:hAnsi="仿宋_GB2312" w:cs="仿宋_GB2312"/>
                <w:sz w:val="21"/>
                <w:szCs w:val="28"/>
              </w:rPr>
            </w:pPr>
            <w:r>
              <w:rPr>
                <w:rFonts w:ascii="仿宋_GB2312" w:hAnsi="仿宋_GB2312" w:cs="仿宋_GB2312"/>
                <w:sz w:val="21"/>
                <w:szCs w:val="28"/>
              </w:rPr>
              <w:t>0.97</w:t>
            </w:r>
          </w:p>
        </w:tc>
      </w:tr>
    </w:tbl>
    <w:p>
      <w:pPr>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流动资产周转率大，而且逐年在增长，说明资产使用效率高，运营能力强。</w:t>
      </w:r>
    </w:p>
    <w:p>
      <w:pPr>
        <w:ind w:firstLine="482"/>
        <w:jc w:val="left"/>
        <w:rPr>
          <w:rFonts w:ascii="仿宋_GB2312" w:hAnsi="仿宋_GB2312" w:cs="仿宋_GB2312"/>
          <w:b/>
          <w:color w:val="000000"/>
          <w:sz w:val="24"/>
          <w:szCs w:val="28"/>
        </w:rPr>
      </w:pPr>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盈利能力</w:t>
      </w:r>
    </w:p>
    <w:p>
      <w:pPr>
        <w:ind w:firstLine="480"/>
        <w:rPr>
          <w:rFonts w:ascii="仿宋_GB2312" w:hAnsi="仿宋_GB2312" w:cs="仿宋_GB2312"/>
          <w:color w:val="000000"/>
          <w:sz w:val="24"/>
          <w:szCs w:val="28"/>
        </w:rPr>
      </w:pPr>
      <w:r>
        <w:rPr>
          <w:rFonts w:hint="eastAsia" w:ascii="仿宋_GB2312" w:hAnsi="仿宋_GB2312" w:cs="仿宋_GB2312"/>
          <w:color w:val="000000"/>
          <w:sz w:val="24"/>
          <w:szCs w:val="28"/>
        </w:rPr>
        <w:t>盈利能力是公司在一定时期内赚取利润的动力，反映公司成本费 用管理的效果问题，为反映公司的盈利能力，从销售净利润进行分析。</w:t>
      </w:r>
    </w:p>
    <w:p>
      <w:pPr>
        <w:ind w:firstLine="482"/>
        <w:jc w:val="left"/>
        <w:rPr>
          <w:rFonts w:ascii="仿宋_GB2312" w:hAnsi="仿宋_GB2312" w:cs="仿宋_GB2312"/>
          <w:b/>
          <w:color w:val="000000"/>
          <w:sz w:val="24"/>
          <w:szCs w:val="28"/>
        </w:rPr>
      </w:pPr>
      <w:r>
        <w:rPr>
          <w:rFonts w:hint="eastAsia" w:ascii="仿宋_GB2312" w:hAnsi="仿宋_GB2312" w:cs="仿宋_GB2312"/>
          <w:b/>
          <w:color w:val="000000"/>
          <w:sz w:val="24"/>
          <w:szCs w:val="28"/>
        </w:rPr>
        <w:t>销售净利润</w:t>
      </w:r>
      <w:r>
        <w:rPr>
          <w:rFonts w:ascii="仿宋_GB2312" w:hAnsi="仿宋_GB2312" w:cs="仿宋_GB2312"/>
          <w:b/>
          <w:color w:val="000000"/>
          <w:sz w:val="24"/>
          <w:szCs w:val="28"/>
        </w:rPr>
        <w:t>=</w:t>
      </w:r>
      <w:r>
        <w:rPr>
          <w:rFonts w:hint="eastAsia" w:ascii="仿宋_GB2312" w:hAnsi="仿宋_GB2312" w:cs="仿宋_GB2312"/>
          <w:b/>
          <w:color w:val="000000"/>
          <w:sz w:val="24"/>
          <w:szCs w:val="28"/>
        </w:rPr>
        <w:t>净利润</w:t>
      </w:r>
      <w:r>
        <w:rPr>
          <w:rFonts w:ascii="仿宋_GB2312" w:hAnsi="仿宋_GB2312" w:cs="仿宋_GB2312"/>
          <w:b/>
          <w:color w:val="000000"/>
          <w:sz w:val="24"/>
          <w:szCs w:val="28"/>
        </w:rPr>
        <w:t>/</w:t>
      </w:r>
      <w:r>
        <w:rPr>
          <w:rFonts w:hint="eastAsia" w:ascii="仿宋_GB2312" w:hAnsi="仿宋_GB2312" w:cs="仿宋_GB2312"/>
          <w:b/>
          <w:color w:val="000000"/>
          <w:sz w:val="24"/>
          <w:szCs w:val="28"/>
        </w:rPr>
        <w:t>销售收入净额</w:t>
      </w:r>
    </w:p>
    <w:tbl>
      <w:tblPr>
        <w:tblStyle w:val="22"/>
        <w:tblW w:w="8553" w:type="dxa"/>
        <w:jc w:val="center"/>
        <w:tblLayout w:type="fixed"/>
        <w:tblCellMar>
          <w:top w:w="0" w:type="dxa"/>
          <w:left w:w="0" w:type="dxa"/>
          <w:bottom w:w="0" w:type="dxa"/>
          <w:right w:w="0" w:type="dxa"/>
        </w:tblCellMar>
      </w:tblPr>
      <w:tblGrid>
        <w:gridCol w:w="1642"/>
        <w:gridCol w:w="1382"/>
        <w:gridCol w:w="1383"/>
        <w:gridCol w:w="1382"/>
        <w:gridCol w:w="1384"/>
        <w:gridCol w:w="1380"/>
      </w:tblGrid>
      <w:tr>
        <w:tblPrEx>
          <w:tblCellMar>
            <w:top w:w="0" w:type="dxa"/>
            <w:left w:w="0" w:type="dxa"/>
            <w:bottom w:w="0" w:type="dxa"/>
            <w:right w:w="0" w:type="dxa"/>
          </w:tblCellMar>
        </w:tblPrEx>
        <w:trPr>
          <w:trHeight w:val="539" w:hRule="atLeast"/>
          <w:jc w:val="center"/>
        </w:trPr>
        <w:tc>
          <w:tcPr>
            <w:tcW w:w="3024" w:type="dxa"/>
            <w:gridSpan w:val="2"/>
            <w:tcBorders>
              <w:top w:val="nil"/>
              <w:left w:val="nil"/>
              <w:bottom w:val="single" w:color="FFFFFF" w:sz="2" w:space="0"/>
              <w:right w:val="nil"/>
            </w:tcBorders>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第一年</w:t>
            </w:r>
          </w:p>
        </w:tc>
        <w:tc>
          <w:tcPr>
            <w:tcW w:w="1383" w:type="dxa"/>
            <w:tcBorders>
              <w:top w:val="nil"/>
              <w:left w:val="nil"/>
              <w:bottom w:val="single" w:color="FFFFFF" w:sz="2" w:space="0"/>
              <w:right w:val="nil"/>
            </w:tcBorders>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第二年</w:t>
            </w:r>
          </w:p>
        </w:tc>
        <w:tc>
          <w:tcPr>
            <w:tcW w:w="1382" w:type="dxa"/>
            <w:tcBorders>
              <w:top w:val="nil"/>
              <w:left w:val="nil"/>
              <w:bottom w:val="single" w:color="FFFFFF" w:sz="2" w:space="0"/>
              <w:right w:val="nil"/>
            </w:tcBorders>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第三年</w:t>
            </w:r>
          </w:p>
        </w:tc>
        <w:tc>
          <w:tcPr>
            <w:tcW w:w="1384" w:type="dxa"/>
            <w:tcBorders>
              <w:top w:val="nil"/>
              <w:left w:val="nil"/>
              <w:bottom w:val="single" w:color="FFFFFF" w:sz="2" w:space="0"/>
              <w:right w:val="nil"/>
            </w:tcBorders>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第四年</w:t>
            </w:r>
          </w:p>
        </w:tc>
        <w:tc>
          <w:tcPr>
            <w:tcW w:w="1380" w:type="dxa"/>
            <w:tcBorders>
              <w:top w:val="nil"/>
              <w:left w:val="nil"/>
              <w:bottom w:val="single" w:color="FFFFFF" w:sz="2" w:space="0"/>
              <w:right w:val="nil"/>
            </w:tcBorders>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第五年</w:t>
            </w:r>
          </w:p>
        </w:tc>
      </w:tr>
      <w:tr>
        <w:tblPrEx>
          <w:tblCellMar>
            <w:top w:w="0" w:type="dxa"/>
            <w:left w:w="0" w:type="dxa"/>
            <w:bottom w:w="0" w:type="dxa"/>
            <w:right w:w="0" w:type="dxa"/>
          </w:tblCellMar>
        </w:tblPrEx>
        <w:trPr>
          <w:trHeight w:val="428" w:hRule="atLeast"/>
          <w:jc w:val="center"/>
        </w:trPr>
        <w:tc>
          <w:tcPr>
            <w:tcW w:w="1642" w:type="dxa"/>
            <w:tcBorders>
              <w:top w:val="single" w:color="FFFFFF" w:sz="2" w:space="0"/>
              <w:left w:val="nil"/>
              <w:bottom w:val="nil"/>
              <w:right w:val="single" w:color="FFFFFF" w:sz="2" w:space="0"/>
            </w:tcBorders>
            <w:shd w:val="clear" w:color="auto" w:fill="D6DCE4" w:themeFill="text2" w:themeFillTint="33"/>
            <w:vAlign w:val="center"/>
          </w:tcPr>
          <w:p>
            <w:pPr>
              <w:ind w:firstLine="420"/>
              <w:rPr>
                <w:rFonts w:ascii="仿宋_GB2312" w:hAnsi="仿宋_GB2312" w:cs="仿宋_GB2312"/>
                <w:sz w:val="21"/>
                <w:szCs w:val="28"/>
              </w:rPr>
            </w:pPr>
            <w:r>
              <w:rPr>
                <w:rFonts w:hint="eastAsia" w:ascii="仿宋_GB2312" w:hAnsi="仿宋_GB2312" w:cs="仿宋_GB2312"/>
                <w:sz w:val="21"/>
                <w:szCs w:val="28"/>
              </w:rPr>
              <w:t>销售净收入</w:t>
            </w:r>
          </w:p>
        </w:tc>
        <w:tc>
          <w:tcPr>
            <w:tcW w:w="1382" w:type="dxa"/>
            <w:tcBorders>
              <w:top w:val="single" w:color="FFFFFF" w:sz="2" w:space="0"/>
              <w:left w:val="nil"/>
              <w:bottom w:val="nil"/>
              <w:right w:val="nil"/>
            </w:tcBorders>
            <w:shd w:val="clear" w:color="auto" w:fill="F2F2F2"/>
            <w:vAlign w:val="center"/>
          </w:tcPr>
          <w:p>
            <w:pPr>
              <w:ind w:firstLine="420"/>
              <w:rPr>
                <w:rFonts w:ascii="仿宋_GB2312" w:hAnsi="仿宋_GB2312" w:cs="仿宋_GB2312"/>
                <w:sz w:val="21"/>
                <w:szCs w:val="28"/>
              </w:rPr>
            </w:pPr>
            <w:r>
              <w:rPr>
                <w:rFonts w:ascii="仿宋_GB2312" w:hAnsi="仿宋_GB2312" w:cs="仿宋_GB2312"/>
                <w:sz w:val="21"/>
                <w:szCs w:val="28"/>
              </w:rPr>
              <w:t>44.92%</w:t>
            </w:r>
          </w:p>
        </w:tc>
        <w:tc>
          <w:tcPr>
            <w:tcW w:w="1383" w:type="dxa"/>
            <w:tcBorders>
              <w:top w:val="single" w:color="FFFFFF" w:sz="2" w:space="0"/>
              <w:left w:val="nil"/>
              <w:bottom w:val="nil"/>
              <w:right w:val="nil"/>
            </w:tcBorders>
            <w:shd w:val="clear" w:color="auto" w:fill="F2F2F2"/>
            <w:vAlign w:val="center"/>
          </w:tcPr>
          <w:p>
            <w:pPr>
              <w:ind w:firstLine="420"/>
              <w:rPr>
                <w:rFonts w:ascii="仿宋_GB2312" w:hAnsi="仿宋_GB2312" w:cs="仿宋_GB2312"/>
                <w:sz w:val="21"/>
                <w:szCs w:val="28"/>
              </w:rPr>
            </w:pPr>
            <w:r>
              <w:rPr>
                <w:rFonts w:ascii="仿宋_GB2312" w:hAnsi="仿宋_GB2312" w:cs="仿宋_GB2312"/>
                <w:sz w:val="21"/>
                <w:szCs w:val="28"/>
              </w:rPr>
              <w:t>46.55%</w:t>
            </w:r>
          </w:p>
        </w:tc>
        <w:tc>
          <w:tcPr>
            <w:tcW w:w="1382" w:type="dxa"/>
            <w:tcBorders>
              <w:top w:val="single" w:color="FFFFFF" w:sz="2" w:space="0"/>
              <w:left w:val="nil"/>
              <w:bottom w:val="nil"/>
              <w:right w:val="nil"/>
            </w:tcBorders>
            <w:shd w:val="clear" w:color="auto" w:fill="F2F2F2"/>
            <w:vAlign w:val="center"/>
          </w:tcPr>
          <w:p>
            <w:pPr>
              <w:ind w:firstLine="420"/>
              <w:rPr>
                <w:rFonts w:ascii="仿宋_GB2312" w:hAnsi="仿宋_GB2312" w:cs="仿宋_GB2312"/>
                <w:sz w:val="21"/>
                <w:szCs w:val="28"/>
              </w:rPr>
            </w:pPr>
            <w:r>
              <w:rPr>
                <w:rFonts w:ascii="仿宋_GB2312" w:hAnsi="仿宋_GB2312" w:cs="仿宋_GB2312"/>
                <w:sz w:val="21"/>
                <w:szCs w:val="28"/>
              </w:rPr>
              <w:t>46.14%</w:t>
            </w:r>
          </w:p>
        </w:tc>
        <w:tc>
          <w:tcPr>
            <w:tcW w:w="1384" w:type="dxa"/>
            <w:tcBorders>
              <w:top w:val="single" w:color="FFFFFF" w:sz="2" w:space="0"/>
              <w:left w:val="nil"/>
              <w:bottom w:val="nil"/>
              <w:right w:val="nil"/>
            </w:tcBorders>
            <w:shd w:val="clear" w:color="auto" w:fill="F2F2F2"/>
            <w:vAlign w:val="center"/>
          </w:tcPr>
          <w:p>
            <w:pPr>
              <w:ind w:firstLine="420"/>
              <w:rPr>
                <w:rFonts w:ascii="仿宋_GB2312" w:hAnsi="仿宋_GB2312" w:cs="仿宋_GB2312"/>
                <w:sz w:val="21"/>
                <w:szCs w:val="28"/>
              </w:rPr>
            </w:pPr>
            <w:r>
              <w:rPr>
                <w:rFonts w:ascii="仿宋_GB2312" w:hAnsi="仿宋_GB2312" w:cs="仿宋_GB2312"/>
                <w:sz w:val="21"/>
                <w:szCs w:val="28"/>
              </w:rPr>
              <w:t>47.64%</w:t>
            </w:r>
          </w:p>
        </w:tc>
        <w:tc>
          <w:tcPr>
            <w:tcW w:w="1380" w:type="dxa"/>
            <w:tcBorders>
              <w:top w:val="single" w:color="FFFFFF" w:sz="2" w:space="0"/>
              <w:left w:val="nil"/>
              <w:bottom w:val="nil"/>
              <w:right w:val="nil"/>
            </w:tcBorders>
            <w:shd w:val="clear" w:color="auto" w:fill="F2F2F2"/>
            <w:vAlign w:val="center"/>
          </w:tcPr>
          <w:p>
            <w:pPr>
              <w:ind w:firstLine="420"/>
              <w:rPr>
                <w:rFonts w:ascii="仿宋_GB2312" w:hAnsi="仿宋_GB2312" w:cs="仿宋_GB2312"/>
                <w:sz w:val="21"/>
                <w:szCs w:val="28"/>
              </w:rPr>
            </w:pPr>
            <w:r>
              <w:rPr>
                <w:rFonts w:ascii="仿宋_GB2312" w:hAnsi="仿宋_GB2312" w:cs="仿宋_GB2312"/>
                <w:sz w:val="21"/>
                <w:szCs w:val="28"/>
              </w:rPr>
              <w:t>48.51%</w:t>
            </w:r>
          </w:p>
        </w:tc>
      </w:tr>
    </w:tbl>
    <w:p>
      <w:pPr>
        <w:ind w:firstLine="480"/>
        <w:rPr>
          <w:rFonts w:ascii="仿宋_GB2312" w:hAnsi="仿宋_GB2312" w:cs="仿宋_GB2312"/>
          <w:color w:val="000000"/>
          <w:sz w:val="24"/>
          <w:szCs w:val="28"/>
        </w:rPr>
      </w:pPr>
      <w:r>
        <w:rPr>
          <w:rFonts w:hint="eastAsia" w:ascii="仿宋_GB2312" w:hAnsi="仿宋_GB2312" w:cs="仿宋_GB2312"/>
          <w:color w:val="000000"/>
          <w:sz w:val="24"/>
          <w:szCs w:val="28"/>
        </w:rPr>
        <w:t>公司盈利能力较强且在往后的几年有良好的发展。</w:t>
      </w:r>
    </w:p>
    <w:p>
      <w:pPr>
        <w:pStyle w:val="84"/>
        <w:ind w:firstLine="643"/>
      </w:pPr>
      <w:bookmarkStart w:id="164" w:name="_Toc4788799"/>
      <w:bookmarkStart w:id="165" w:name="_Toc31500"/>
    </w:p>
    <w:p>
      <w:pPr>
        <w:pStyle w:val="84"/>
        <w:ind w:firstLine="0" w:firstLineChars="0"/>
        <w:outlineLvl w:val="1"/>
        <w:rPr>
          <w:rFonts w:ascii="黑体" w:hAnsi="黑体"/>
          <w:b w:val="0"/>
          <w:sz w:val="30"/>
          <w:szCs w:val="30"/>
        </w:rPr>
      </w:pPr>
      <w:bookmarkStart w:id="166" w:name="_Toc5365001"/>
      <w:bookmarkStart w:id="167" w:name="_Toc61100262"/>
      <w:r>
        <w:rPr>
          <w:rFonts w:hint="eastAsia" w:ascii="黑体" w:hAnsi="黑体"/>
          <w:b w:val="0"/>
          <w:sz w:val="30"/>
          <w:szCs w:val="30"/>
        </w:rPr>
        <w:t>8</w:t>
      </w:r>
      <w:r>
        <w:rPr>
          <w:rFonts w:ascii="黑体" w:hAnsi="黑体"/>
          <w:b w:val="0"/>
          <w:sz w:val="30"/>
          <w:szCs w:val="30"/>
        </w:rPr>
        <w:t>.</w:t>
      </w:r>
      <w:r>
        <w:rPr>
          <w:rFonts w:hint="eastAsia" w:ascii="黑体" w:hAnsi="黑体"/>
          <w:b w:val="0"/>
          <w:sz w:val="30"/>
          <w:szCs w:val="30"/>
        </w:rPr>
        <w:t>5经济效益指标分析</w:t>
      </w:r>
      <w:bookmarkEnd w:id="164"/>
      <w:bookmarkEnd w:id="165"/>
      <w:bookmarkEnd w:id="166"/>
      <w:bookmarkEnd w:id="167"/>
    </w:p>
    <w:p>
      <w:pPr>
        <w:kinsoku w:val="0"/>
        <w:overflowPunct w:val="0"/>
        <w:autoSpaceDE w:val="0"/>
        <w:autoSpaceDN w:val="0"/>
        <w:adjustRightInd w:val="0"/>
        <w:ind w:firstLine="474"/>
        <w:jc w:val="left"/>
        <w:rPr>
          <w:rFonts w:eastAsia="仿宋" w:cs="Times New Roman"/>
          <w:b/>
          <w:color w:val="000000"/>
          <w:kern w:val="0"/>
          <w:szCs w:val="31"/>
        </w:rPr>
      </w:pPr>
      <w:r>
        <w:rPr>
          <w:rFonts w:hint="eastAsia" w:eastAsia="仿宋" w:cs="Times New Roman"/>
          <w:b/>
          <w:color w:val="000000"/>
          <w:spacing w:val="-2"/>
          <w:kern w:val="0"/>
          <w:sz w:val="24"/>
          <w:szCs w:val="28"/>
        </w:rPr>
        <w:t>1.</w:t>
      </w:r>
      <w:r>
        <w:rPr>
          <w:rFonts w:hint="eastAsia" w:ascii="仿宋_GB2312" w:hAnsi="仿宋_GB2312" w:cs="仿宋_GB2312"/>
          <w:b/>
          <w:color w:val="000000"/>
          <w:szCs w:val="32"/>
        </w:rPr>
        <w:t>净现值</w:t>
      </w:r>
      <w:r>
        <w:rPr>
          <w:rFonts w:eastAsia="仿宋" w:cs="Times New Roman"/>
          <w:b/>
          <w:i/>
          <w:iCs/>
          <w:color w:val="000000"/>
          <w:spacing w:val="5"/>
          <w:kern w:val="0"/>
          <w:szCs w:val="31"/>
        </w:rPr>
        <w:t xml:space="preserve">NPV </w:t>
      </w:r>
      <w:r>
        <w:rPr>
          <w:rFonts w:ascii="Symbol" w:hAnsi="Symbol" w:eastAsia="仿宋" w:cs="宋体"/>
          <w:b/>
          <w:color w:val="000000"/>
          <w:kern w:val="0"/>
          <w:szCs w:val="31"/>
        </w:rPr>
        <w:t></w:t>
      </w:r>
      <w:r>
        <w:rPr>
          <w:rFonts w:ascii="Symbol" w:hAnsi="Symbol" w:eastAsia="仿宋" w:cs="宋体"/>
          <w:b/>
          <w:color w:val="000000"/>
          <w:kern w:val="0"/>
          <w:position w:val="-7"/>
          <w:sz w:val="44"/>
          <w:szCs w:val="47"/>
        </w:rPr>
        <w:t></w:t>
      </w:r>
      <w:r>
        <w:rPr>
          <w:rFonts w:eastAsia="仿宋" w:cs="Times New Roman"/>
          <w:b/>
          <w:color w:val="000000"/>
          <w:spacing w:val="11"/>
          <w:kern w:val="0"/>
          <w:szCs w:val="31"/>
        </w:rPr>
        <w:t xml:space="preserve"> (CI-</w:t>
      </w:r>
      <w:r>
        <w:rPr>
          <w:rFonts w:eastAsia="仿宋" w:cs="Times New Roman"/>
          <w:b/>
          <w:color w:val="000000"/>
          <w:kern w:val="0"/>
          <w:szCs w:val="31"/>
        </w:rPr>
        <w:t>CO)t(1</w:t>
      </w:r>
      <w:r>
        <w:rPr>
          <w:rFonts w:ascii="Symbol" w:hAnsi="Symbol" w:eastAsia="仿宋" w:cs="宋体"/>
          <w:b/>
          <w:color w:val="000000"/>
          <w:kern w:val="0"/>
          <w:szCs w:val="31"/>
        </w:rPr>
        <w:t></w:t>
      </w:r>
      <w:r>
        <w:rPr>
          <w:rFonts w:eastAsia="仿宋" w:cs="Times New Roman"/>
          <w:b/>
          <w:i/>
          <w:iCs/>
          <w:color w:val="000000"/>
          <w:spacing w:val="5"/>
          <w:kern w:val="0"/>
          <w:szCs w:val="31"/>
        </w:rPr>
        <w:t>i</w:t>
      </w:r>
      <w:r>
        <w:rPr>
          <w:rFonts w:eastAsia="仿宋" w:cs="Times New Roman"/>
          <w:b/>
          <w:color w:val="000000"/>
          <w:spacing w:val="5"/>
          <w:kern w:val="0"/>
          <w:szCs w:val="31"/>
        </w:rPr>
        <w:t>)</w:t>
      </w:r>
      <w:r>
        <w:rPr>
          <w:rFonts w:eastAsia="仿宋" w:cs="Times New Roman"/>
          <w:b/>
          <w:color w:val="000000"/>
          <w:kern w:val="0"/>
          <w:szCs w:val="31"/>
        </w:rPr>
        <w:t>-t</w:t>
      </w:r>
    </w:p>
    <w:p>
      <w:pPr>
        <w:kinsoku w:val="0"/>
        <w:overflowPunct w:val="0"/>
        <w:autoSpaceDE w:val="0"/>
        <w:autoSpaceDN w:val="0"/>
        <w:adjustRightInd w:val="0"/>
        <w:spacing w:before="84" w:line="560" w:lineRule="exact"/>
        <w:ind w:firstLine="480"/>
        <w:jc w:val="left"/>
        <w:rPr>
          <w:rFonts w:ascii="仿宋_GB2312" w:hAnsi="仿宋_GB2312" w:cs="仿宋_GB2312"/>
          <w:color w:val="000000"/>
          <w:sz w:val="24"/>
          <w:szCs w:val="28"/>
        </w:rPr>
      </w:pPr>
      <w:bookmarkStart w:id="168" w:name="_Toc4788800"/>
      <w:bookmarkStart w:id="169" w:name="_Toc4524"/>
      <w:r>
        <w:rPr>
          <w:rFonts w:hint="eastAsia" w:ascii="仿宋_GB2312" w:hAnsi="仿宋_GB2312" w:cs="仿宋_GB2312"/>
          <w:color w:val="000000"/>
          <w:sz w:val="24"/>
          <w:szCs w:val="28"/>
        </w:rPr>
        <w:t>故</w:t>
      </w:r>
      <w:r>
        <w:rPr>
          <w:rFonts w:ascii="仿宋_GB2312" w:hAnsi="仿宋_GB2312" w:cs="仿宋_GB2312"/>
          <w:color w:val="000000"/>
          <w:sz w:val="24"/>
          <w:szCs w:val="28"/>
        </w:rPr>
        <w:t>NPV=</w:t>
      </w:r>
      <w:r>
        <w:rPr>
          <w:rFonts w:hint="eastAsia" w:ascii="仿宋_GB2312" w:hAnsi="仿宋_GB2312" w:cs="仿宋_GB2312"/>
          <w:color w:val="000000"/>
          <w:sz w:val="24"/>
          <w:szCs w:val="28"/>
        </w:rPr>
        <w:t>3786.32万元，按照</w:t>
      </w:r>
      <w:r>
        <w:rPr>
          <w:rFonts w:ascii="仿宋_GB2312" w:hAnsi="仿宋_GB2312" w:cs="仿宋_GB2312"/>
          <w:color w:val="000000"/>
          <w:sz w:val="24"/>
          <w:szCs w:val="28"/>
        </w:rPr>
        <w:t>1</w:t>
      </w:r>
      <w:r>
        <w:rPr>
          <w:rFonts w:hint="eastAsia" w:ascii="仿宋_GB2312" w:hAnsi="仿宋_GB2312" w:cs="仿宋_GB2312"/>
          <w:color w:val="000000"/>
          <w:sz w:val="24"/>
          <w:szCs w:val="28"/>
        </w:rPr>
        <w:t>0</w:t>
      </w:r>
      <w:r>
        <w:rPr>
          <w:rFonts w:ascii="仿宋_GB2312" w:hAnsi="仿宋_GB2312" w:cs="仿宋_GB2312"/>
          <w:color w:val="000000"/>
          <w:sz w:val="24"/>
          <w:szCs w:val="28"/>
        </w:rPr>
        <w:t>%</w:t>
      </w:r>
      <w:r>
        <w:rPr>
          <w:rFonts w:hint="eastAsia" w:ascii="仿宋_GB2312" w:hAnsi="仿宋_GB2312" w:cs="仿宋_GB2312"/>
          <w:color w:val="000000"/>
          <w:sz w:val="24"/>
          <w:szCs w:val="28"/>
        </w:rPr>
        <w:t>折现率计算净现值</w:t>
      </w:r>
      <w:r>
        <w:rPr>
          <w:rFonts w:ascii="仿宋_GB2312" w:hAnsi="仿宋_GB2312" w:cs="仿宋_GB2312"/>
          <w:color w:val="000000"/>
          <w:sz w:val="24"/>
          <w:szCs w:val="28"/>
        </w:rPr>
        <w:t>NPV</w:t>
      </w:r>
      <w:r>
        <w:rPr>
          <w:rFonts w:hint="eastAsia" w:ascii="仿宋_GB2312" w:hAnsi="仿宋_GB2312" w:cs="仿宋_GB2312"/>
          <w:color w:val="000000"/>
          <w:sz w:val="24"/>
          <w:szCs w:val="28"/>
        </w:rPr>
        <w:t>远远大于</w:t>
      </w:r>
      <w:r>
        <w:rPr>
          <w:rFonts w:ascii="仿宋_GB2312" w:hAnsi="仿宋_GB2312" w:cs="仿宋_GB2312"/>
          <w:color w:val="000000"/>
          <w:sz w:val="24"/>
          <w:szCs w:val="28"/>
        </w:rPr>
        <w:t>0</w:t>
      </w:r>
      <w:r>
        <w:rPr>
          <w:rFonts w:hint="eastAsia" w:ascii="仿宋_GB2312" w:hAnsi="仿宋_GB2312" w:cs="仿宋_GB2312"/>
          <w:color w:val="000000"/>
          <w:sz w:val="24"/>
          <w:szCs w:val="28"/>
        </w:rPr>
        <w:t>，由此可知本公司在五年内盈利很可观，投资者得到的投资回报很高</w:t>
      </w:r>
      <w:r>
        <w:rPr>
          <w:rFonts w:ascii="仿宋_GB2312" w:hAnsi="仿宋_GB2312" w:cs="仿宋_GB2312"/>
          <w:color w:val="000000"/>
          <w:sz w:val="24"/>
          <w:szCs w:val="28"/>
        </w:rPr>
        <w:t>,</w:t>
      </w:r>
      <w:r>
        <w:rPr>
          <w:rFonts w:hint="eastAsia" w:ascii="仿宋_GB2312" w:hAnsi="仿宋_GB2312" w:cs="仿宋_GB2312"/>
          <w:color w:val="000000"/>
          <w:sz w:val="24"/>
          <w:szCs w:val="28"/>
        </w:rPr>
        <w:t>说明本项目具有可行性</w:t>
      </w:r>
    </w:p>
    <w:p>
      <w:pPr>
        <w:kinsoku w:val="0"/>
        <w:overflowPunct w:val="0"/>
        <w:autoSpaceDE w:val="0"/>
        <w:autoSpaceDN w:val="0"/>
        <w:adjustRightInd w:val="0"/>
        <w:ind w:firstLine="474"/>
        <w:jc w:val="left"/>
        <w:rPr>
          <w:rFonts w:eastAsia="仿宋" w:cs="Times New Roman"/>
          <w:b/>
          <w:color w:val="000000"/>
          <w:spacing w:val="-2"/>
          <w:kern w:val="0"/>
          <w:sz w:val="24"/>
          <w:szCs w:val="28"/>
        </w:rPr>
      </w:pPr>
      <w:r>
        <w:rPr>
          <w:rFonts w:hint="eastAsia" w:eastAsia="仿宋" w:cs="Times New Roman"/>
          <w:b/>
          <w:color w:val="000000"/>
          <w:spacing w:val="-2"/>
          <w:kern w:val="0"/>
          <w:sz w:val="24"/>
          <w:szCs w:val="28"/>
        </w:rPr>
        <w:t>2.净现值率</w:t>
      </w:r>
    </w:p>
    <w:p>
      <w:pPr>
        <w:kinsoku w:val="0"/>
        <w:overflowPunct w:val="0"/>
        <w:autoSpaceDE w:val="0"/>
        <w:autoSpaceDN w:val="0"/>
        <w:adjustRightInd w:val="0"/>
        <w:ind w:firstLine="240" w:firstLineChars="100"/>
        <w:jc w:val="left"/>
        <w:rPr>
          <w:rFonts w:ascii="仿宋_GB2312" w:hAnsi="仿宋_GB2312" w:cs="仿宋_GB2312"/>
          <w:color w:val="000000"/>
          <w:szCs w:val="32"/>
        </w:rPr>
      </w:pPr>
      <w:r>
        <w:rPr>
          <w:rFonts w:hint="eastAsia" w:ascii="仿宋_GB2312" w:hAnsi="仿宋_GB2312" w:cs="仿宋_GB2312"/>
          <w:color w:val="000000"/>
          <w:sz w:val="24"/>
          <w:szCs w:val="28"/>
        </w:rPr>
        <w:t>净现值率</w:t>
      </w:r>
      <w:r>
        <w:rPr>
          <w:rFonts w:ascii="仿宋_GB2312" w:hAnsi="仿宋_GB2312" w:cs="仿宋_GB2312"/>
          <w:color w:val="000000"/>
          <w:sz w:val="24"/>
          <w:szCs w:val="28"/>
        </w:rPr>
        <w:t>=</w:t>
      </w:r>
      <w:r>
        <w:rPr>
          <w:rFonts w:hint="eastAsia" w:ascii="仿宋_GB2312" w:hAnsi="仿宋_GB2312" w:cs="仿宋_GB2312"/>
          <w:color w:val="000000"/>
          <w:sz w:val="24"/>
          <w:szCs w:val="28"/>
        </w:rPr>
        <w:t>财务净现值</w:t>
      </w:r>
      <w:r>
        <w:rPr>
          <w:rFonts w:ascii="仿宋_GB2312" w:hAnsi="仿宋_GB2312" w:cs="仿宋_GB2312"/>
          <w:color w:val="000000"/>
          <w:sz w:val="24"/>
          <w:szCs w:val="28"/>
        </w:rPr>
        <w:t>/</w:t>
      </w:r>
      <w:r>
        <w:rPr>
          <w:rFonts w:hint="eastAsia" w:ascii="仿宋_GB2312" w:hAnsi="仿宋_GB2312" w:cs="仿宋_GB2312"/>
          <w:color w:val="000000"/>
          <w:sz w:val="24"/>
          <w:szCs w:val="28"/>
        </w:rPr>
        <w:t>原始投资现值</w:t>
      </w:r>
      <w:r>
        <w:rPr>
          <w:rFonts w:ascii="仿宋_GB2312" w:hAnsi="仿宋_GB2312" w:cs="仿宋_GB2312"/>
          <w:color w:val="000000"/>
          <w:sz w:val="24"/>
          <w:szCs w:val="28"/>
        </w:rPr>
        <w:t>=</w:t>
      </w:r>
      <w:r>
        <w:rPr>
          <w:rFonts w:hint="eastAsia" w:ascii="仿宋_GB2312" w:hAnsi="仿宋_GB2312" w:cs="仿宋_GB2312"/>
          <w:color w:val="000000"/>
          <w:szCs w:val="32"/>
        </w:rPr>
        <w:t>￥</w:t>
      </w:r>
      <w:r>
        <w:rPr>
          <w:rFonts w:ascii="仿宋_GB2312" w:hAnsi="仿宋_GB2312" w:cs="仿宋_GB2312"/>
          <w:color w:val="000000"/>
          <w:szCs w:val="32"/>
        </w:rPr>
        <w:t>657.23/250=2.63</w:t>
      </w:r>
    </w:p>
    <w:p>
      <w:pPr>
        <w:kinsoku w:val="0"/>
        <w:overflowPunct w:val="0"/>
        <w:autoSpaceDE w:val="0"/>
        <w:autoSpaceDN w:val="0"/>
        <w:adjustRightInd w:val="0"/>
        <w:ind w:firstLine="474"/>
        <w:jc w:val="left"/>
        <w:rPr>
          <w:rFonts w:eastAsia="仿宋" w:cs="Times New Roman"/>
          <w:b/>
          <w:color w:val="000000"/>
          <w:spacing w:val="-2"/>
          <w:kern w:val="0"/>
          <w:sz w:val="24"/>
          <w:szCs w:val="28"/>
        </w:rPr>
      </w:pPr>
      <w:r>
        <w:rPr>
          <w:rFonts w:hint="eastAsia" w:eastAsia="仿宋" w:cs="Times New Roman"/>
          <w:b/>
          <w:color w:val="000000"/>
          <w:spacing w:val="-2"/>
          <w:kern w:val="0"/>
          <w:sz w:val="24"/>
          <w:szCs w:val="28"/>
        </w:rPr>
        <w:t>3.内部报酬率</w:t>
      </w:r>
    </w:p>
    <w:p>
      <w:pPr>
        <w:kinsoku w:val="0"/>
        <w:overflowPunct w:val="0"/>
        <w:autoSpaceDE w:val="0"/>
        <w:autoSpaceDN w:val="0"/>
        <w:adjustRightInd w:val="0"/>
        <w:spacing w:line="500" w:lineRule="exact"/>
        <w:ind w:firstLine="604"/>
        <w:jc w:val="center"/>
        <w:rPr>
          <w:rFonts w:ascii="宋体" w:eastAsia="仿宋" w:cs="宋体"/>
          <w:color w:val="000000"/>
          <w:kern w:val="0"/>
          <w:sz w:val="24"/>
          <w:szCs w:val="28"/>
        </w:rPr>
      </w:pPr>
      <w:r>
        <w:rPr>
          <w:rFonts w:eastAsia="仿宋" w:cs="Times New Roman"/>
          <w:i/>
          <w:color w:val="000000"/>
          <w:spacing w:val="11"/>
          <w:kern w:val="0"/>
          <w:szCs w:val="30"/>
        </w:rPr>
        <w:t>NPV</w:t>
      </w:r>
      <w:r>
        <w:rPr>
          <w:rFonts w:eastAsia="仿宋" w:cs="Times New Roman"/>
          <w:color w:val="000000"/>
          <w:spacing w:val="11"/>
          <w:kern w:val="0"/>
          <w:szCs w:val="30"/>
        </w:rPr>
        <w:t>=(CI-</w:t>
      </w:r>
      <w:r>
        <w:rPr>
          <w:rFonts w:eastAsia="仿宋" w:cs="Times New Roman"/>
          <w:color w:val="000000"/>
          <w:spacing w:val="2"/>
          <w:kern w:val="0"/>
          <w:szCs w:val="30"/>
        </w:rPr>
        <w:t>CO)t(1</w:t>
      </w:r>
      <w:r>
        <w:rPr>
          <w:rFonts w:ascii="Symbol" w:hAnsi="Symbol" w:eastAsia="仿宋" w:cs="宋体"/>
          <w:color w:val="000000"/>
          <w:spacing w:val="2"/>
          <w:kern w:val="0"/>
          <w:szCs w:val="30"/>
        </w:rPr>
        <w:t></w:t>
      </w:r>
      <w:r>
        <w:rPr>
          <w:rFonts w:eastAsia="仿宋" w:cs="Times New Roman"/>
          <w:i/>
          <w:iCs/>
          <w:color w:val="000000"/>
          <w:spacing w:val="5"/>
          <w:kern w:val="0"/>
          <w:szCs w:val="30"/>
        </w:rPr>
        <w:t>i</w:t>
      </w:r>
      <w:r>
        <w:rPr>
          <w:rFonts w:eastAsia="仿宋" w:cs="Times New Roman"/>
          <w:color w:val="000000"/>
          <w:spacing w:val="5"/>
          <w:kern w:val="0"/>
          <w:szCs w:val="30"/>
        </w:rPr>
        <w:t>)</w:t>
      </w:r>
      <w:r>
        <w:rPr>
          <w:rFonts w:eastAsia="仿宋" w:cs="Times New Roman"/>
          <w:color w:val="000000"/>
          <w:kern w:val="0"/>
          <w:szCs w:val="30"/>
        </w:rPr>
        <w:t>-t</w:t>
      </w:r>
      <w:r>
        <w:rPr>
          <w:rFonts w:eastAsia="仿宋" w:cs="Times New Roman"/>
          <w:color w:val="000000"/>
          <w:kern w:val="0"/>
          <w:position w:val="-7"/>
          <w:sz w:val="22"/>
          <w:szCs w:val="24"/>
        </w:rPr>
        <w:t>=0</w:t>
      </w:r>
    </w:p>
    <w:p>
      <w:pPr>
        <w:kinsoku w:val="0"/>
        <w:overflowPunct w:val="0"/>
        <w:autoSpaceDE w:val="0"/>
        <w:autoSpaceDN w:val="0"/>
        <w:adjustRightInd w:val="0"/>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根据投资额、各年现金流量净额，用插值法计算出内部报酬率为</w:t>
      </w:r>
      <w:r>
        <w:rPr>
          <w:rFonts w:ascii="仿宋_GB2312" w:hAnsi="仿宋_GB2312" w:cs="仿宋_GB2312"/>
          <w:color w:val="000000"/>
          <w:sz w:val="24"/>
          <w:szCs w:val="28"/>
        </w:rPr>
        <w:t>81%</w:t>
      </w:r>
      <w:r>
        <w:rPr>
          <w:rFonts w:hint="eastAsia" w:ascii="仿宋_GB2312" w:hAnsi="仿宋_GB2312" w:cs="仿宋_GB2312"/>
          <w:color w:val="000000"/>
          <w:sz w:val="24"/>
          <w:szCs w:val="28"/>
        </w:rPr>
        <w:t>。说明我公司投入的成本相对较低，资本回报很高。</w:t>
      </w:r>
    </w:p>
    <w:p>
      <w:pPr>
        <w:kinsoku w:val="0"/>
        <w:overflowPunct w:val="0"/>
        <w:autoSpaceDE w:val="0"/>
        <w:autoSpaceDN w:val="0"/>
        <w:adjustRightInd w:val="0"/>
        <w:ind w:firstLine="480"/>
        <w:jc w:val="left"/>
        <w:rPr>
          <w:rFonts w:ascii="仿宋_GB2312" w:hAnsi="仿宋_GB2312" w:cs="仿宋_GB2312"/>
          <w:color w:val="000000"/>
          <w:sz w:val="24"/>
          <w:szCs w:val="28"/>
        </w:rPr>
      </w:pPr>
    </w:p>
    <w:p>
      <w:pPr>
        <w:pStyle w:val="84"/>
        <w:ind w:firstLine="0" w:firstLineChars="0"/>
        <w:outlineLvl w:val="1"/>
        <w:rPr>
          <w:rFonts w:ascii="黑体" w:hAnsi="黑体"/>
          <w:b w:val="0"/>
          <w:sz w:val="30"/>
          <w:szCs w:val="30"/>
        </w:rPr>
      </w:pPr>
      <w:bookmarkStart w:id="170" w:name="_Toc61100263"/>
      <w:r>
        <w:rPr>
          <w:rFonts w:hint="eastAsia" w:ascii="黑体" w:hAnsi="黑体"/>
          <w:b w:val="0"/>
          <w:sz w:val="30"/>
          <w:szCs w:val="30"/>
        </w:rPr>
        <w:t>8</w:t>
      </w:r>
      <w:r>
        <w:rPr>
          <w:rFonts w:ascii="黑体" w:hAnsi="黑体"/>
          <w:b w:val="0"/>
          <w:sz w:val="30"/>
          <w:szCs w:val="30"/>
        </w:rPr>
        <w:t>.</w:t>
      </w:r>
      <w:r>
        <w:rPr>
          <w:rFonts w:hint="eastAsia" w:ascii="黑体" w:hAnsi="黑体"/>
          <w:b w:val="0"/>
          <w:sz w:val="30"/>
          <w:szCs w:val="30"/>
        </w:rPr>
        <w:t>6盈利能力分析</w:t>
      </w:r>
      <w:bookmarkEnd w:id="168"/>
      <w:bookmarkEnd w:id="169"/>
      <w:bookmarkEnd w:id="170"/>
    </w:p>
    <w:p>
      <w:pPr>
        <w:ind w:firstLine="480"/>
        <w:rPr>
          <w:rFonts w:ascii="仿宋_GB2312" w:hAnsi="仿宋_GB2312" w:cs="仿宋_GB2312"/>
          <w:color w:val="000000"/>
          <w:sz w:val="24"/>
          <w:szCs w:val="28"/>
        </w:rPr>
      </w:pPr>
      <w:r>
        <w:rPr>
          <w:rFonts w:hint="eastAsia" w:ascii="仿宋_GB2312" w:hAnsi="仿宋_GB2312" w:cs="仿宋_GB2312"/>
          <w:color w:val="000000"/>
          <w:sz w:val="24"/>
          <w:szCs w:val="28"/>
        </w:rPr>
        <w:t>为了能更直观地反应公司在运营、获利、发展的能力，我们对部 分财务指标进行了以下分析，详情请见下表：</w:t>
      </w:r>
    </w:p>
    <w:p>
      <w:pPr>
        <w:ind w:firstLine="0" w:firstLineChars="0"/>
        <w:jc w:val="center"/>
        <w:rPr>
          <w:rFonts w:ascii="仿宋_GB2312"/>
          <w:sz w:val="21"/>
          <w:szCs w:val="24"/>
        </w:rPr>
      </w:pPr>
      <w:bookmarkStart w:id="171" w:name="_Toc4504606"/>
      <w:bookmarkStart w:id="172" w:name="_Toc5365002"/>
      <w:r>
        <w:rPr>
          <w:rFonts w:hint="eastAsia" w:ascii="仿宋_GB2312"/>
          <w:sz w:val="21"/>
          <w:szCs w:val="24"/>
        </w:rPr>
        <w:t>表8-6 财务指标图表</w:t>
      </w:r>
    </w:p>
    <w:tbl>
      <w:tblPr>
        <w:tblStyle w:val="92"/>
        <w:tblW w:w="9518" w:type="dxa"/>
        <w:tblInd w:w="-92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438"/>
        <w:gridCol w:w="1361"/>
        <w:gridCol w:w="1434"/>
        <w:gridCol w:w="1434"/>
        <w:gridCol w:w="1434"/>
        <w:gridCol w:w="1417"/>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7" w:hRule="atLeast"/>
        </w:trPr>
        <w:tc>
          <w:tcPr>
            <w:tcW w:w="2438" w:type="dxa"/>
            <w:vAlign w:val="center"/>
          </w:tcPr>
          <w:p>
            <w:pPr>
              <w:spacing w:line="240" w:lineRule="auto"/>
              <w:ind w:left="191" w:firstLine="0" w:firstLineChars="0"/>
              <w:jc w:val="center"/>
              <w:rPr>
                <w:rFonts w:ascii="仿宋_GB2312" w:hAnsi="仿宋_GB2312" w:cs="仿宋_GB2312"/>
                <w:b w:val="0"/>
                <w:bCs w:val="0"/>
                <w:color w:val="000000"/>
                <w:sz w:val="21"/>
                <w:szCs w:val="21"/>
              </w:rPr>
            </w:pPr>
            <w:r>
              <w:rPr>
                <w:rFonts w:hint="eastAsia" w:ascii="仿宋_GB2312" w:hAnsi="仿宋_GB2312" w:cs="仿宋_GB2312"/>
                <w:b/>
                <w:bCs/>
                <w:color w:val="000000"/>
                <w:sz w:val="21"/>
                <w:szCs w:val="21"/>
              </w:rPr>
              <w:t>年份</w:t>
            </w:r>
          </w:p>
        </w:tc>
        <w:tc>
          <w:tcPr>
            <w:tcW w:w="1361" w:type="dxa"/>
            <w:vAlign w:val="center"/>
          </w:tcPr>
          <w:p>
            <w:pPr>
              <w:spacing w:line="240" w:lineRule="auto"/>
              <w:ind w:firstLine="0" w:firstLineChars="0"/>
              <w:jc w:val="center"/>
              <w:rPr>
                <w:rFonts w:ascii="仿宋_GB2312" w:hAnsi="仿宋_GB2312" w:cs="仿宋_GB2312"/>
                <w:b w:val="0"/>
                <w:bCs w:val="0"/>
                <w:color w:val="000000"/>
                <w:sz w:val="21"/>
                <w:szCs w:val="21"/>
              </w:rPr>
            </w:pPr>
            <w:r>
              <w:rPr>
                <w:rFonts w:ascii="仿宋_GB2312" w:hAnsi="仿宋_GB2312" w:cs="仿宋_GB2312"/>
                <w:b/>
                <w:bCs/>
                <w:color w:val="000000"/>
                <w:sz w:val="21"/>
                <w:szCs w:val="21"/>
              </w:rPr>
              <w:t>20</w:t>
            </w:r>
            <w:r>
              <w:rPr>
                <w:rFonts w:hint="eastAsia" w:ascii="仿宋_GB2312" w:hAnsi="仿宋_GB2312" w:cs="仿宋_GB2312"/>
                <w:b/>
                <w:bCs/>
                <w:color w:val="000000"/>
                <w:sz w:val="21"/>
                <w:szCs w:val="21"/>
              </w:rPr>
              <w:t>19</w:t>
            </w:r>
          </w:p>
        </w:tc>
        <w:tc>
          <w:tcPr>
            <w:tcW w:w="1434" w:type="dxa"/>
            <w:vAlign w:val="center"/>
          </w:tcPr>
          <w:p>
            <w:pPr>
              <w:spacing w:line="240" w:lineRule="auto"/>
              <w:ind w:firstLine="0" w:firstLineChars="0"/>
              <w:jc w:val="center"/>
              <w:rPr>
                <w:rFonts w:ascii="仿宋_GB2312" w:hAnsi="仿宋_GB2312" w:cs="仿宋_GB2312"/>
                <w:b w:val="0"/>
                <w:bCs w:val="0"/>
                <w:color w:val="000000"/>
                <w:sz w:val="21"/>
                <w:szCs w:val="21"/>
              </w:rPr>
            </w:pPr>
            <w:r>
              <w:rPr>
                <w:rFonts w:ascii="仿宋_GB2312" w:hAnsi="仿宋_GB2312" w:cs="仿宋_GB2312"/>
                <w:b/>
                <w:bCs/>
                <w:color w:val="000000"/>
                <w:sz w:val="21"/>
                <w:szCs w:val="21"/>
              </w:rPr>
              <w:t>20</w:t>
            </w:r>
            <w:r>
              <w:rPr>
                <w:rFonts w:hint="eastAsia" w:ascii="仿宋_GB2312" w:hAnsi="仿宋_GB2312" w:cs="仿宋_GB2312"/>
                <w:b/>
                <w:bCs/>
                <w:color w:val="000000"/>
                <w:sz w:val="21"/>
                <w:szCs w:val="21"/>
              </w:rPr>
              <w:t>20</w:t>
            </w:r>
          </w:p>
        </w:tc>
        <w:tc>
          <w:tcPr>
            <w:tcW w:w="1434" w:type="dxa"/>
            <w:vAlign w:val="center"/>
          </w:tcPr>
          <w:p>
            <w:pPr>
              <w:spacing w:line="240" w:lineRule="auto"/>
              <w:ind w:firstLine="0" w:firstLineChars="0"/>
              <w:jc w:val="center"/>
              <w:rPr>
                <w:rFonts w:ascii="仿宋_GB2312" w:hAnsi="仿宋_GB2312" w:cs="仿宋_GB2312"/>
                <w:b w:val="0"/>
                <w:bCs w:val="0"/>
                <w:color w:val="000000"/>
                <w:sz w:val="21"/>
                <w:szCs w:val="21"/>
              </w:rPr>
            </w:pPr>
            <w:r>
              <w:rPr>
                <w:rFonts w:ascii="仿宋_GB2312" w:hAnsi="仿宋_GB2312" w:cs="仿宋_GB2312"/>
                <w:b/>
                <w:bCs/>
                <w:color w:val="000000"/>
                <w:sz w:val="21"/>
                <w:szCs w:val="21"/>
              </w:rPr>
              <w:t>20</w:t>
            </w:r>
            <w:r>
              <w:rPr>
                <w:rFonts w:hint="eastAsia" w:ascii="仿宋_GB2312" w:hAnsi="仿宋_GB2312" w:cs="仿宋_GB2312"/>
                <w:b/>
                <w:bCs/>
                <w:color w:val="000000"/>
                <w:sz w:val="21"/>
                <w:szCs w:val="21"/>
              </w:rPr>
              <w:t>21</w:t>
            </w:r>
          </w:p>
        </w:tc>
        <w:tc>
          <w:tcPr>
            <w:tcW w:w="1434" w:type="dxa"/>
            <w:vAlign w:val="center"/>
          </w:tcPr>
          <w:p>
            <w:pPr>
              <w:spacing w:line="240" w:lineRule="auto"/>
              <w:ind w:firstLine="0" w:firstLineChars="0"/>
              <w:jc w:val="center"/>
              <w:rPr>
                <w:rFonts w:ascii="仿宋_GB2312" w:hAnsi="仿宋_GB2312" w:cs="仿宋_GB2312"/>
                <w:b w:val="0"/>
                <w:bCs w:val="0"/>
                <w:color w:val="000000"/>
                <w:sz w:val="21"/>
                <w:szCs w:val="21"/>
              </w:rPr>
            </w:pPr>
            <w:r>
              <w:rPr>
                <w:rFonts w:ascii="仿宋_GB2312" w:hAnsi="仿宋_GB2312" w:cs="仿宋_GB2312"/>
                <w:b/>
                <w:bCs/>
                <w:color w:val="000000"/>
                <w:sz w:val="21"/>
                <w:szCs w:val="21"/>
              </w:rPr>
              <w:t>202</w:t>
            </w:r>
            <w:r>
              <w:rPr>
                <w:rFonts w:hint="eastAsia" w:ascii="仿宋_GB2312" w:hAnsi="仿宋_GB2312" w:cs="仿宋_GB2312"/>
                <w:b/>
                <w:bCs/>
                <w:color w:val="000000"/>
                <w:sz w:val="21"/>
                <w:szCs w:val="21"/>
              </w:rPr>
              <w:t>2</w:t>
            </w:r>
          </w:p>
        </w:tc>
        <w:tc>
          <w:tcPr>
            <w:tcW w:w="1417" w:type="dxa"/>
            <w:vAlign w:val="center"/>
          </w:tcPr>
          <w:p>
            <w:pPr>
              <w:spacing w:line="240" w:lineRule="auto"/>
              <w:ind w:firstLine="0" w:firstLineChars="0"/>
              <w:jc w:val="center"/>
              <w:rPr>
                <w:rFonts w:ascii="仿宋_GB2312" w:hAnsi="仿宋_GB2312" w:cs="仿宋_GB2312"/>
                <w:b w:val="0"/>
                <w:bCs w:val="0"/>
                <w:color w:val="000000"/>
                <w:sz w:val="21"/>
                <w:szCs w:val="21"/>
              </w:rPr>
            </w:pPr>
            <w:r>
              <w:rPr>
                <w:rFonts w:ascii="仿宋_GB2312" w:hAnsi="仿宋_GB2312" w:cs="仿宋_GB2312"/>
                <w:b/>
                <w:bCs/>
                <w:color w:val="000000"/>
                <w:sz w:val="21"/>
                <w:szCs w:val="21"/>
              </w:rPr>
              <w:t>202</w:t>
            </w:r>
            <w:r>
              <w:rPr>
                <w:rFonts w:hint="eastAsia" w:ascii="仿宋_GB2312" w:hAnsi="仿宋_GB2312" w:cs="仿宋_GB2312"/>
                <w:b/>
                <w:bCs/>
                <w:color w:val="000000"/>
                <w:sz w:val="21"/>
                <w:szCs w:val="21"/>
              </w:rPr>
              <w:t>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trPr>
        <w:tc>
          <w:tcPr>
            <w:tcW w:w="2438" w:type="dxa"/>
            <w:shd w:val="clear" w:color="auto" w:fill="D0CECE" w:themeFill="background2" w:themeFillShade="E6"/>
          </w:tcPr>
          <w:p>
            <w:pPr>
              <w:spacing w:line="240" w:lineRule="auto"/>
              <w:ind w:left="191" w:firstLine="0" w:firstLineChars="0"/>
              <w:jc w:val="center"/>
              <w:rPr>
                <w:rFonts w:ascii="仿宋_GB2312" w:hAnsi="仿宋_GB2312" w:cs="仿宋_GB2312"/>
                <w:b w:val="0"/>
                <w:bCs w:val="0"/>
                <w:color w:val="000000"/>
                <w:sz w:val="21"/>
                <w:szCs w:val="21"/>
              </w:rPr>
            </w:pPr>
            <w:r>
              <w:rPr>
                <w:rFonts w:hint="eastAsia" w:ascii="仿宋_GB2312" w:hAnsi="仿宋_GB2312" w:cs="仿宋_GB2312"/>
                <w:b/>
                <w:bCs/>
                <w:color w:val="000000"/>
                <w:sz w:val="21"/>
                <w:szCs w:val="21"/>
              </w:rPr>
              <w:t>总资产报酬率</w:t>
            </w:r>
          </w:p>
        </w:tc>
        <w:tc>
          <w:tcPr>
            <w:tcW w:w="1361" w:type="dxa"/>
            <w:shd w:val="clear" w:color="auto" w:fill="D0CECE" w:themeFill="background2" w:themeFillShade="E6"/>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31.33%</w:t>
            </w:r>
          </w:p>
        </w:tc>
        <w:tc>
          <w:tcPr>
            <w:tcW w:w="1434" w:type="dxa"/>
            <w:shd w:val="clear" w:color="auto" w:fill="D0CECE" w:themeFill="background2" w:themeFillShade="E6"/>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38.14%</w:t>
            </w:r>
          </w:p>
        </w:tc>
        <w:tc>
          <w:tcPr>
            <w:tcW w:w="1434" w:type="dxa"/>
            <w:shd w:val="clear" w:color="auto" w:fill="D0CECE" w:themeFill="background2" w:themeFillShade="E6"/>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40.78%</w:t>
            </w:r>
          </w:p>
        </w:tc>
        <w:tc>
          <w:tcPr>
            <w:tcW w:w="1434" w:type="dxa"/>
            <w:shd w:val="clear" w:color="auto" w:fill="D0CECE" w:themeFill="background2" w:themeFillShade="E6"/>
          </w:tcPr>
          <w:p>
            <w:pPr>
              <w:spacing w:line="240" w:lineRule="auto"/>
              <w:ind w:right="1"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42.63%</w:t>
            </w:r>
          </w:p>
        </w:tc>
        <w:tc>
          <w:tcPr>
            <w:tcW w:w="1417" w:type="dxa"/>
            <w:shd w:val="clear" w:color="auto" w:fill="D0CECE" w:themeFill="background2" w:themeFillShade="E6"/>
          </w:tcPr>
          <w:p>
            <w:pPr>
              <w:spacing w:line="240" w:lineRule="auto"/>
              <w:ind w:right="1"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47.36%</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trPr>
        <w:tc>
          <w:tcPr>
            <w:tcW w:w="2438" w:type="dxa"/>
          </w:tcPr>
          <w:p>
            <w:pPr>
              <w:spacing w:line="240" w:lineRule="auto"/>
              <w:ind w:left="191" w:firstLine="0" w:firstLineChars="0"/>
              <w:jc w:val="center"/>
              <w:rPr>
                <w:rFonts w:ascii="仿宋_GB2312" w:hAnsi="仿宋_GB2312" w:cs="仿宋_GB2312"/>
                <w:b w:val="0"/>
                <w:bCs w:val="0"/>
                <w:color w:val="000000"/>
                <w:sz w:val="21"/>
                <w:szCs w:val="21"/>
              </w:rPr>
            </w:pPr>
            <w:r>
              <w:rPr>
                <w:rFonts w:ascii="仿宋_GB2312" w:hAnsi="仿宋_GB2312" w:cs="仿宋_GB2312"/>
                <w:b/>
                <w:bCs/>
                <w:color w:val="000000"/>
                <w:sz w:val="21"/>
                <w:szCs w:val="21"/>
              </w:rPr>
              <w:t>成本费用利润率</w:t>
            </w:r>
          </w:p>
        </w:tc>
        <w:tc>
          <w:tcPr>
            <w:tcW w:w="1361" w:type="dxa"/>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191.27%</w:t>
            </w:r>
          </w:p>
        </w:tc>
        <w:tc>
          <w:tcPr>
            <w:tcW w:w="1434" w:type="dxa"/>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263.03%</w:t>
            </w:r>
          </w:p>
        </w:tc>
        <w:tc>
          <w:tcPr>
            <w:tcW w:w="1434" w:type="dxa"/>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216.44%</w:t>
            </w:r>
          </w:p>
        </w:tc>
        <w:tc>
          <w:tcPr>
            <w:tcW w:w="1434" w:type="dxa"/>
          </w:tcPr>
          <w:p>
            <w:pPr>
              <w:spacing w:line="240" w:lineRule="auto"/>
              <w:ind w:right="1"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191.65%</w:t>
            </w:r>
          </w:p>
        </w:tc>
        <w:tc>
          <w:tcPr>
            <w:tcW w:w="1417" w:type="dxa"/>
          </w:tcPr>
          <w:p>
            <w:pPr>
              <w:spacing w:line="240" w:lineRule="auto"/>
              <w:ind w:right="1"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246.24%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trPr>
        <w:tc>
          <w:tcPr>
            <w:tcW w:w="2438" w:type="dxa"/>
            <w:shd w:val="clear" w:color="auto" w:fill="D0CECE" w:themeFill="background2" w:themeFillShade="E6"/>
          </w:tcPr>
          <w:p>
            <w:pPr>
              <w:spacing w:line="240" w:lineRule="auto"/>
              <w:ind w:left="191" w:firstLine="0" w:firstLineChars="0"/>
              <w:jc w:val="center"/>
              <w:rPr>
                <w:rFonts w:ascii="仿宋_GB2312" w:hAnsi="仿宋_GB2312" w:cs="仿宋_GB2312"/>
                <w:b w:val="0"/>
                <w:bCs w:val="0"/>
                <w:color w:val="000000"/>
                <w:sz w:val="21"/>
                <w:szCs w:val="21"/>
              </w:rPr>
            </w:pPr>
            <w:r>
              <w:rPr>
                <w:rFonts w:hint="eastAsia" w:ascii="仿宋_GB2312" w:hAnsi="仿宋_GB2312" w:cs="仿宋_GB2312"/>
                <w:b/>
                <w:bCs/>
                <w:color w:val="000000"/>
                <w:sz w:val="21"/>
                <w:szCs w:val="21"/>
              </w:rPr>
              <w:t>主营业务净利润率</w:t>
            </w:r>
          </w:p>
        </w:tc>
        <w:tc>
          <w:tcPr>
            <w:tcW w:w="1361" w:type="dxa"/>
            <w:shd w:val="clear" w:color="auto" w:fill="D0CECE" w:themeFill="background2" w:themeFillShade="E6"/>
            <w:vAlign w:val="center"/>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44.33%</w:t>
            </w:r>
          </w:p>
        </w:tc>
        <w:tc>
          <w:tcPr>
            <w:tcW w:w="1434" w:type="dxa"/>
            <w:shd w:val="clear" w:color="auto" w:fill="D0CECE" w:themeFill="background2" w:themeFillShade="E6"/>
            <w:vAlign w:val="center"/>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48.91%</w:t>
            </w:r>
          </w:p>
        </w:tc>
        <w:tc>
          <w:tcPr>
            <w:tcW w:w="1434" w:type="dxa"/>
            <w:shd w:val="clear" w:color="auto" w:fill="D0CECE" w:themeFill="background2" w:themeFillShade="E6"/>
            <w:vAlign w:val="center"/>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46.17%</w:t>
            </w:r>
          </w:p>
        </w:tc>
        <w:tc>
          <w:tcPr>
            <w:tcW w:w="1434" w:type="dxa"/>
            <w:shd w:val="clear" w:color="auto" w:fill="D0CECE" w:themeFill="background2" w:themeFillShade="E6"/>
            <w:vAlign w:val="center"/>
          </w:tcPr>
          <w:p>
            <w:pPr>
              <w:spacing w:line="240" w:lineRule="auto"/>
              <w:ind w:right="1"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44.36%</w:t>
            </w:r>
          </w:p>
        </w:tc>
        <w:tc>
          <w:tcPr>
            <w:tcW w:w="1417" w:type="dxa"/>
            <w:shd w:val="clear" w:color="auto" w:fill="D0CECE" w:themeFill="background2" w:themeFillShade="E6"/>
            <w:vAlign w:val="center"/>
          </w:tcPr>
          <w:p>
            <w:pPr>
              <w:spacing w:line="240" w:lineRule="auto"/>
              <w:ind w:right="1"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48.00%</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trPr>
        <w:tc>
          <w:tcPr>
            <w:tcW w:w="2438" w:type="dxa"/>
          </w:tcPr>
          <w:p>
            <w:pPr>
              <w:spacing w:line="240" w:lineRule="auto"/>
              <w:ind w:left="191" w:firstLine="0" w:firstLineChars="0"/>
              <w:jc w:val="center"/>
              <w:rPr>
                <w:rFonts w:ascii="仿宋_GB2312" w:hAnsi="仿宋_GB2312" w:cs="仿宋_GB2312"/>
                <w:b w:val="0"/>
                <w:bCs w:val="0"/>
                <w:color w:val="000000"/>
                <w:sz w:val="21"/>
                <w:szCs w:val="21"/>
              </w:rPr>
            </w:pPr>
            <w:r>
              <w:rPr>
                <w:rFonts w:hint="eastAsia" w:ascii="仿宋_GB2312" w:hAnsi="仿宋_GB2312" w:cs="仿宋_GB2312"/>
                <w:b/>
                <w:bCs/>
                <w:color w:val="000000"/>
                <w:sz w:val="21"/>
                <w:szCs w:val="21"/>
              </w:rPr>
              <w:t>营业增长率</w:t>
            </w:r>
          </w:p>
        </w:tc>
        <w:tc>
          <w:tcPr>
            <w:tcW w:w="1361" w:type="dxa"/>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w:t>
            </w:r>
          </w:p>
        </w:tc>
        <w:tc>
          <w:tcPr>
            <w:tcW w:w="1434" w:type="dxa"/>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34.11%</w:t>
            </w:r>
          </w:p>
        </w:tc>
        <w:tc>
          <w:tcPr>
            <w:tcW w:w="1434" w:type="dxa"/>
          </w:tcPr>
          <w:p>
            <w:pPr>
              <w:spacing w:line="240" w:lineRule="auto"/>
              <w:ind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30.63%</w:t>
            </w:r>
          </w:p>
        </w:tc>
        <w:tc>
          <w:tcPr>
            <w:tcW w:w="1434" w:type="dxa"/>
          </w:tcPr>
          <w:p>
            <w:pPr>
              <w:spacing w:line="240" w:lineRule="auto"/>
              <w:ind w:right="1"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22.48%</w:t>
            </w:r>
          </w:p>
        </w:tc>
        <w:tc>
          <w:tcPr>
            <w:tcW w:w="1417" w:type="dxa"/>
          </w:tcPr>
          <w:p>
            <w:pPr>
              <w:spacing w:line="240" w:lineRule="auto"/>
              <w:ind w:right="1" w:firstLine="0" w:firstLineChars="0"/>
              <w:jc w:val="center"/>
              <w:rPr>
                <w:rFonts w:ascii="仿宋_GB2312" w:hAnsi="仿宋_GB2312" w:cs="仿宋_GB2312"/>
                <w:color w:val="000000"/>
                <w:sz w:val="21"/>
                <w:szCs w:val="21"/>
              </w:rPr>
            </w:pPr>
            <w:r>
              <w:rPr>
                <w:rFonts w:ascii="仿宋_GB2312" w:hAnsi="仿宋_GB2312" w:cs="仿宋_GB2312"/>
                <w:color w:val="000000"/>
                <w:sz w:val="21"/>
                <w:szCs w:val="21"/>
              </w:rPr>
              <w:t>24.10%</w:t>
            </w:r>
          </w:p>
        </w:tc>
      </w:tr>
    </w:tbl>
    <w:p>
      <w:pPr>
        <w:kinsoku w:val="0"/>
        <w:overflowPunct w:val="0"/>
        <w:autoSpaceDE w:val="0"/>
        <w:autoSpaceDN w:val="0"/>
        <w:adjustRightInd w:val="0"/>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1.总资产报酬率</w:t>
      </w:r>
      <w:r>
        <w:rPr>
          <w:rFonts w:ascii="仿宋_GB2312" w:hAnsi="仿宋_GB2312" w:cs="仿宋_GB2312"/>
          <w:color w:val="000000"/>
          <w:sz w:val="24"/>
          <w:szCs w:val="28"/>
        </w:rPr>
        <w:t>=</w:t>
      </w:r>
      <w:r>
        <w:rPr>
          <w:rFonts w:hint="eastAsia" w:ascii="仿宋_GB2312" w:hAnsi="仿宋_GB2312" w:cs="仿宋_GB2312"/>
          <w:color w:val="000000"/>
          <w:sz w:val="24"/>
          <w:szCs w:val="28"/>
        </w:rPr>
        <w:t>净利润</w:t>
      </w:r>
      <w:r>
        <w:rPr>
          <w:rFonts w:ascii="仿宋_GB2312" w:hAnsi="仿宋_GB2312" w:cs="仿宋_GB2312"/>
          <w:color w:val="000000"/>
          <w:sz w:val="24"/>
          <w:szCs w:val="28"/>
        </w:rPr>
        <w:t>/</w:t>
      </w:r>
      <w:r>
        <w:rPr>
          <w:rFonts w:hint="eastAsia" w:ascii="仿宋_GB2312" w:hAnsi="仿宋_GB2312" w:cs="仿宋_GB2312"/>
          <w:color w:val="000000"/>
          <w:sz w:val="24"/>
          <w:szCs w:val="28"/>
        </w:rPr>
        <w:t>平均资产总额。资产净利润率又叫资产报酬率、投资报酬率或资产收益率，在五年内呈现较稳定的发展。</w:t>
      </w:r>
    </w:p>
    <w:p>
      <w:pPr>
        <w:kinsoku w:val="0"/>
        <w:overflowPunct w:val="0"/>
        <w:autoSpaceDE w:val="0"/>
        <w:autoSpaceDN w:val="0"/>
        <w:adjustRightInd w:val="0"/>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2.成本费用利润率</w:t>
      </w:r>
      <w:r>
        <w:rPr>
          <w:rFonts w:ascii="仿宋_GB2312" w:hAnsi="仿宋_GB2312" w:cs="仿宋_GB2312"/>
          <w:color w:val="000000"/>
          <w:sz w:val="24"/>
          <w:szCs w:val="28"/>
        </w:rPr>
        <w:t>=</w:t>
      </w:r>
      <w:r>
        <w:rPr>
          <w:rFonts w:hint="eastAsia" w:ascii="仿宋_GB2312" w:hAnsi="仿宋_GB2312" w:cs="仿宋_GB2312"/>
          <w:color w:val="000000"/>
          <w:sz w:val="24"/>
          <w:szCs w:val="28"/>
        </w:rPr>
        <w:t>利润总额</w:t>
      </w:r>
      <w:r>
        <w:rPr>
          <w:rFonts w:ascii="仿宋_GB2312" w:hAnsi="仿宋_GB2312" w:cs="仿宋_GB2312"/>
          <w:color w:val="000000"/>
          <w:sz w:val="24"/>
          <w:szCs w:val="28"/>
        </w:rPr>
        <w:t>/</w:t>
      </w:r>
      <w:r>
        <w:rPr>
          <w:rFonts w:hint="eastAsia" w:ascii="仿宋_GB2312" w:hAnsi="仿宋_GB2312" w:cs="仿宋_GB2312"/>
          <w:color w:val="000000"/>
          <w:sz w:val="24"/>
          <w:szCs w:val="28"/>
        </w:rPr>
        <w:t>成本费用总额</w:t>
      </w:r>
      <w:r>
        <w:rPr>
          <w:rFonts w:ascii="仿宋_GB2312" w:hAnsi="仿宋_GB2312" w:cs="仿宋_GB2312"/>
          <w:color w:val="000000"/>
          <w:sz w:val="24"/>
          <w:szCs w:val="28"/>
        </w:rPr>
        <w:t>×100%</w:t>
      </w:r>
    </w:p>
    <w:p>
      <w:pPr>
        <w:kinsoku w:val="0"/>
        <w:overflowPunct w:val="0"/>
        <w:autoSpaceDE w:val="0"/>
        <w:autoSpaceDN w:val="0"/>
        <w:adjustRightInd w:val="0"/>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3.主营业务净利润率</w:t>
      </w:r>
      <w:r>
        <w:rPr>
          <w:rFonts w:ascii="仿宋_GB2312" w:hAnsi="仿宋_GB2312" w:cs="仿宋_GB2312"/>
          <w:color w:val="000000"/>
          <w:sz w:val="24"/>
          <w:szCs w:val="28"/>
        </w:rPr>
        <w:t>=</w:t>
      </w:r>
      <w:r>
        <w:rPr>
          <w:rFonts w:hint="eastAsia" w:ascii="仿宋_GB2312" w:hAnsi="仿宋_GB2312" w:cs="仿宋_GB2312"/>
          <w:color w:val="000000"/>
          <w:sz w:val="24"/>
          <w:szCs w:val="28"/>
        </w:rPr>
        <w:t>净利润</w:t>
      </w:r>
      <w:r>
        <w:rPr>
          <w:rFonts w:ascii="仿宋_GB2312" w:hAnsi="仿宋_GB2312" w:cs="仿宋_GB2312"/>
          <w:color w:val="000000"/>
          <w:sz w:val="24"/>
          <w:szCs w:val="28"/>
        </w:rPr>
        <w:t>÷</w:t>
      </w:r>
      <w:r>
        <w:rPr>
          <w:rFonts w:hint="eastAsia" w:ascii="仿宋_GB2312" w:hAnsi="仿宋_GB2312" w:cs="仿宋_GB2312"/>
          <w:color w:val="000000"/>
          <w:sz w:val="24"/>
          <w:szCs w:val="28"/>
        </w:rPr>
        <w:t>主营业务收入净额</w:t>
      </w:r>
      <w:r>
        <w:rPr>
          <w:rFonts w:ascii="仿宋_GB2312" w:hAnsi="仿宋_GB2312" w:cs="仿宋_GB2312"/>
          <w:color w:val="000000"/>
          <w:sz w:val="24"/>
          <w:szCs w:val="28"/>
        </w:rPr>
        <w:t>×100%</w:t>
      </w:r>
    </w:p>
    <w:p>
      <w:pPr>
        <w:kinsoku w:val="0"/>
        <w:overflowPunct w:val="0"/>
        <w:autoSpaceDE w:val="0"/>
        <w:autoSpaceDN w:val="0"/>
        <w:adjustRightInd w:val="0"/>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t>4.销售（营业）收入增长率</w:t>
      </w:r>
      <w:r>
        <w:rPr>
          <w:rFonts w:ascii="仿宋_GB2312" w:hAnsi="仿宋_GB2312" w:cs="仿宋_GB2312"/>
          <w:color w:val="000000"/>
          <w:sz w:val="24"/>
          <w:szCs w:val="28"/>
        </w:rPr>
        <w:t>=</w:t>
      </w:r>
      <w:r>
        <w:rPr>
          <w:rFonts w:hint="eastAsia" w:ascii="仿宋_GB2312" w:hAnsi="仿宋_GB2312" w:cs="仿宋_GB2312"/>
          <w:color w:val="000000"/>
          <w:sz w:val="24"/>
          <w:szCs w:val="28"/>
        </w:rPr>
        <w:t>本期营业增长额</w:t>
      </w:r>
      <w:r>
        <w:rPr>
          <w:rFonts w:ascii="仿宋_GB2312" w:hAnsi="仿宋_GB2312" w:cs="仿宋_GB2312"/>
          <w:color w:val="000000"/>
          <w:sz w:val="24"/>
          <w:szCs w:val="28"/>
        </w:rPr>
        <w:t>/</w:t>
      </w:r>
      <w:r>
        <w:rPr>
          <w:rFonts w:hint="eastAsia" w:ascii="仿宋_GB2312" w:hAnsi="仿宋_GB2312" w:cs="仿宋_GB2312"/>
          <w:color w:val="000000"/>
          <w:sz w:val="24"/>
          <w:szCs w:val="28"/>
        </w:rPr>
        <w:t>上年同期营业收入总额。营业增长率在投产的初期为了适应市场在开始的增长幅度较小，而后期因为市场的竞争压力以及其他因素，也会导致环比增长的速度变慢，保持在一个相对稳定的状态。</w:t>
      </w:r>
    </w:p>
    <w:p>
      <w:pPr>
        <w:pStyle w:val="83"/>
        <w:ind w:firstLine="880"/>
        <w:sectPr>
          <w:pgSz w:w="11906" w:h="16838"/>
          <w:pgMar w:top="1440" w:right="1800" w:bottom="1440" w:left="1800" w:header="851" w:footer="992" w:gutter="0"/>
          <w:cols w:space="425" w:num="1"/>
          <w:docGrid w:type="lines" w:linePitch="381" w:charSpace="0"/>
        </w:sectPr>
      </w:pPr>
    </w:p>
    <w:p>
      <w:pPr>
        <w:pStyle w:val="83"/>
        <w:ind w:firstLine="180" w:firstLineChars="45"/>
        <w:outlineLvl w:val="0"/>
        <w:rPr>
          <w:rFonts w:ascii="黑体" w:hAnsi="黑体" w:eastAsia="黑体"/>
          <w:sz w:val="40"/>
          <w:szCs w:val="40"/>
        </w:rPr>
      </w:pPr>
      <w:bookmarkStart w:id="173" w:name="_Toc61100264"/>
      <w:r>
        <w:rPr>
          <w:rFonts w:hint="eastAsia" w:ascii="黑体" w:hAnsi="黑体" w:eastAsia="黑体"/>
          <w:sz w:val="40"/>
          <w:szCs w:val="40"/>
        </w:rPr>
        <w:t>第九章 风险认识</w:t>
      </w:r>
      <w:bookmarkEnd w:id="171"/>
      <w:bookmarkEnd w:id="172"/>
      <w:bookmarkEnd w:id="173"/>
    </w:p>
    <w:p>
      <w:pPr>
        <w:pStyle w:val="84"/>
        <w:ind w:firstLine="480"/>
        <w:rPr>
          <w:rFonts w:hint="eastAsia" w:ascii="仿宋_GB2312" w:hAnsi="仿宋_GB2312" w:eastAsia="仿宋_GB2312" w:cs="仿宋_GB2312"/>
          <w:b w:val="0"/>
          <w:color w:val="000000"/>
          <w:sz w:val="24"/>
          <w:szCs w:val="28"/>
        </w:rPr>
      </w:pPr>
      <w:bookmarkStart w:id="174" w:name="_Toc18658"/>
      <w:bookmarkStart w:id="175" w:name="_Toc5365003"/>
      <w:bookmarkStart w:id="176" w:name="_Toc4504607"/>
      <w:r>
        <w:rPr>
          <w:rFonts w:hint="eastAsia" w:ascii="仿宋_GB2312" w:hAnsi="仿宋_GB2312" w:eastAsia="仿宋_GB2312" w:cs="仿宋_GB2312"/>
          <w:b w:val="0"/>
          <w:color w:val="000000"/>
          <w:sz w:val="24"/>
          <w:szCs w:val="28"/>
        </w:rPr>
        <w:t>本公司为拥有高可复制运营模式致力于移动医疗的有限公司，市场前景广阔，发展空间巨大。然而，机遇总是与风险并存，本公司的产品以及公司发展面临着很多风险。因此，在进行项目推广的同时，加强项目的风险防范显得尤为重要。</w:t>
      </w:r>
      <w:bookmarkEnd w:id="174"/>
      <w:bookmarkEnd w:id="175"/>
      <w:bookmarkEnd w:id="176"/>
    </w:p>
    <w:p>
      <w:pPr>
        <w:pStyle w:val="84"/>
        <w:ind w:firstLine="600"/>
        <w:rPr>
          <w:rFonts w:hint="eastAsia" w:ascii="黑体" w:hAnsi="黑体"/>
          <w:b w:val="0"/>
          <w:sz w:val="30"/>
          <w:szCs w:val="30"/>
        </w:rPr>
      </w:pPr>
    </w:p>
    <w:p>
      <w:pPr>
        <w:pStyle w:val="84"/>
        <w:ind w:firstLine="0" w:firstLineChars="0"/>
        <w:outlineLvl w:val="1"/>
        <w:rPr>
          <w:rFonts w:ascii="黑体" w:hAnsi="黑体"/>
          <w:b w:val="0"/>
          <w:sz w:val="30"/>
          <w:szCs w:val="30"/>
        </w:rPr>
      </w:pPr>
      <w:bookmarkStart w:id="177" w:name="_Toc61100265"/>
      <w:r>
        <w:rPr>
          <w:rFonts w:hint="eastAsia" w:ascii="黑体" w:hAnsi="黑体"/>
          <w:b w:val="0"/>
          <w:sz w:val="30"/>
          <w:szCs w:val="30"/>
        </w:rPr>
        <w:t>9</w:t>
      </w:r>
      <w:r>
        <w:rPr>
          <w:rFonts w:ascii="黑体" w:hAnsi="黑体"/>
          <w:b w:val="0"/>
          <w:sz w:val="30"/>
          <w:szCs w:val="30"/>
        </w:rPr>
        <w:t>.</w:t>
      </w:r>
      <w:r>
        <w:rPr>
          <w:rFonts w:hint="eastAsia" w:ascii="黑体" w:hAnsi="黑体"/>
          <w:b w:val="0"/>
          <w:sz w:val="30"/>
          <w:szCs w:val="30"/>
        </w:rPr>
        <w:t>1主要风险</w:t>
      </w:r>
      <w:bookmarkEnd w:id="177"/>
    </w:p>
    <w:p>
      <w:pPr>
        <w:kinsoku w:val="0"/>
        <w:overflowPunct w:val="0"/>
        <w:autoSpaceDE w:val="0"/>
        <w:autoSpaceDN w:val="0"/>
        <w:adjustRightInd w:val="0"/>
        <w:ind w:firstLine="480"/>
        <w:jc w:val="left"/>
        <w:rPr>
          <w:rFonts w:ascii="仿宋_GB2312" w:hAnsi="仿宋_GB2312" w:cs="仿宋_GB2312"/>
          <w:color w:val="000000"/>
          <w:sz w:val="24"/>
          <w:szCs w:val="28"/>
        </w:rPr>
      </w:pPr>
      <w:r>
        <w:rPr>
          <w:rFonts w:hint="eastAsia" w:ascii="仿宋_GB2312" w:hAnsi="仿宋_GB2312" w:cs="仿宋_GB2312"/>
          <w:color w:val="000000"/>
          <w:sz w:val="24"/>
          <w:szCs w:val="28"/>
        </w:rPr>
        <w:drawing>
          <wp:anchor distT="0" distB="0" distL="114300" distR="114300" simplePos="0" relativeHeight="251659264" behindDoc="0" locked="0" layoutInCell="1" allowOverlap="1">
            <wp:simplePos x="0" y="0"/>
            <wp:positionH relativeFrom="margin">
              <wp:align>center</wp:align>
            </wp:positionH>
            <wp:positionV relativeFrom="paragraph">
              <wp:posOffset>1270635</wp:posOffset>
            </wp:positionV>
            <wp:extent cx="5743575" cy="1514475"/>
            <wp:effectExtent l="0" t="38100" r="0" b="9525"/>
            <wp:wrapSquare wrapText="bothSides"/>
            <wp:docPr id="49" name="图示 4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anchor>
        </w:drawing>
      </w:r>
      <w:r>
        <w:rPr>
          <w:rFonts w:hint="eastAsia" w:ascii="仿宋_GB2312" w:hAnsi="仿宋_GB2312" w:cs="仿宋_GB2312"/>
          <w:color w:val="000000"/>
          <w:sz w:val="24"/>
          <w:szCs w:val="28"/>
        </w:rPr>
        <w:t>通过对宏观政策、市场环境、用户安全和信誉道德等方面进行综合分析，公司未来可能面临7种风险。在识别公司面临的潜在风险之后，公司对各类风险进行了科学评估，并制定了相应的策略，使公司能够在复杂的环境中有效降低和规避风险，保障公司长远发展（如图9-1所示）。：</w:t>
      </w:r>
    </w:p>
    <w:p>
      <w:pPr>
        <w:ind w:firstLine="0" w:firstLineChars="0"/>
        <w:jc w:val="center"/>
        <w:rPr>
          <w:rFonts w:ascii="仿宋_GB2312"/>
          <w:sz w:val="21"/>
          <w:szCs w:val="24"/>
        </w:rPr>
      </w:pPr>
      <w:r>
        <w:rPr>
          <w:rFonts w:ascii="仿宋_GB2312"/>
          <w:sz w:val="21"/>
          <w:szCs w:val="24"/>
        </w:rPr>
        <w:t>图</w:t>
      </w:r>
      <w:r>
        <w:rPr>
          <w:rFonts w:hint="eastAsia" w:ascii="仿宋_GB2312"/>
          <w:sz w:val="21"/>
          <w:szCs w:val="24"/>
        </w:rPr>
        <w:t>9-1 公司主要风险</w:t>
      </w:r>
    </w:p>
    <w:p>
      <w:pPr>
        <w:tabs>
          <w:tab w:val="center" w:pos="4434"/>
        </w:tabs>
        <w:spacing w:line="500" w:lineRule="exact"/>
        <w:ind w:firstLine="0" w:firstLineChars="0"/>
        <w:jc w:val="left"/>
        <w:outlineLvl w:val="2"/>
        <w:rPr>
          <w:rFonts w:hint="eastAsia" w:ascii="黑体" w:hAnsi="黑体" w:eastAsia="黑体" w:cs="Times New Roman"/>
        </w:rPr>
      </w:pPr>
      <w:bookmarkStart w:id="178" w:name="_Toc61100266"/>
      <w:r>
        <w:rPr>
          <w:rFonts w:hint="eastAsia" w:ascii="黑体" w:hAnsi="黑体" w:eastAsia="黑体" w:cs="Times New Roman"/>
        </w:rPr>
        <w:t>9.1.1国家政策风险</w:t>
      </w:r>
      <w:bookmarkEnd w:id="178"/>
    </w:p>
    <w:p>
      <w:pPr>
        <w:ind w:firstLine="480"/>
        <w:jc w:val="left"/>
        <w:rPr>
          <w:rFonts w:hint="eastAsia" w:ascii="仿宋_GB2312" w:hAnsi="仿宋_GB2312" w:cs="仿宋_GB2312"/>
          <w:color w:val="000000"/>
          <w:sz w:val="24"/>
          <w:szCs w:val="28"/>
        </w:rPr>
      </w:pPr>
      <w:r>
        <w:rPr>
          <w:rFonts w:hint="eastAsia" w:ascii="仿宋_GB2312" w:hAnsi="仿宋_GB2312" w:cs="仿宋_GB2312"/>
          <w:color w:val="000000"/>
          <w:sz w:val="24"/>
          <w:szCs w:val="28"/>
        </w:rPr>
        <w:t>目前我国尚未出台关于移动医疗行业的相关法律法规，对移动医疗行业可能出现的医疗纠纷等风险及处置未作明确规定，造成使用移动医疗APP的用户风险系数增大，从而影响使用的积极性。</w:t>
      </w:r>
    </w:p>
    <w:p>
      <w:pPr>
        <w:tabs>
          <w:tab w:val="center" w:pos="4434"/>
        </w:tabs>
        <w:spacing w:line="500" w:lineRule="exact"/>
        <w:ind w:firstLine="0" w:firstLineChars="0"/>
        <w:jc w:val="left"/>
        <w:outlineLvl w:val="2"/>
        <w:rPr>
          <w:rFonts w:hint="eastAsia" w:ascii="黑体" w:hAnsi="黑体" w:eastAsia="黑体" w:cs="Times New Roman"/>
        </w:rPr>
      </w:pPr>
      <w:bookmarkStart w:id="179" w:name="_Toc61100267"/>
      <w:r>
        <w:rPr>
          <w:rFonts w:hint="eastAsia" w:ascii="黑体" w:hAnsi="黑体" w:eastAsia="黑体" w:cs="Times New Roman"/>
        </w:rPr>
        <w:t>9.1.2医疗安全风险</w:t>
      </w:r>
      <w:bookmarkEnd w:id="179"/>
    </w:p>
    <w:p>
      <w:pPr>
        <w:ind w:firstLine="480"/>
        <w:jc w:val="left"/>
        <w:rPr>
          <w:rFonts w:hint="eastAsia" w:ascii="仿宋_GB2312" w:hAnsi="仿宋_GB2312" w:cs="仿宋_GB2312"/>
          <w:color w:val="000000"/>
          <w:sz w:val="24"/>
          <w:szCs w:val="28"/>
        </w:rPr>
      </w:pPr>
      <w:r>
        <w:rPr>
          <w:rFonts w:hint="eastAsia" w:ascii="仿宋_GB2312" w:hAnsi="仿宋_GB2312" w:cs="仿宋_GB2312"/>
          <w:color w:val="000000"/>
          <w:sz w:val="24"/>
          <w:szCs w:val="28"/>
        </w:rPr>
        <w:t>1.远程医疗服务只凭用户主观描述自身病情，医生可能误判误诊，耽误用户的病情甚至带来生命危险，加深医患之间的矛盾。</w:t>
      </w:r>
    </w:p>
    <w:p>
      <w:pPr>
        <w:ind w:firstLine="480"/>
        <w:jc w:val="left"/>
        <w:rPr>
          <w:rFonts w:hint="eastAsia" w:ascii="仿宋_GB2312" w:hAnsi="仿宋_GB2312" w:cs="仿宋_GB2312"/>
          <w:color w:val="000000"/>
          <w:sz w:val="24"/>
          <w:szCs w:val="28"/>
        </w:rPr>
      </w:pPr>
      <w:r>
        <w:rPr>
          <w:rFonts w:hint="eastAsia" w:ascii="仿宋_GB2312" w:hAnsi="仿宋_GB2312" w:cs="仿宋_GB2312"/>
          <w:color w:val="000000"/>
          <w:sz w:val="24"/>
          <w:szCs w:val="28"/>
        </w:rPr>
        <w:t>2.若医生提供虚假信息，而平台审核不到位，则会存在部分医疗资源难以核实，医生资质鱼龙混杂，信息不完整不规范等现象，导致用户信任感降低。资质不合格的医生进入平台问诊也给用户身体健康带来了威胁。</w:t>
      </w:r>
    </w:p>
    <w:p>
      <w:pPr>
        <w:ind w:firstLine="480"/>
        <w:jc w:val="left"/>
        <w:rPr>
          <w:rFonts w:hint="eastAsia" w:ascii="仿宋_GB2312" w:hAnsi="仿宋_GB2312" w:cs="仿宋_GB2312"/>
          <w:color w:val="000000"/>
          <w:sz w:val="24"/>
          <w:szCs w:val="28"/>
        </w:rPr>
      </w:pPr>
      <w:r>
        <w:rPr>
          <w:rFonts w:hint="eastAsia" w:ascii="仿宋_GB2312" w:hAnsi="仿宋_GB2312" w:cs="仿宋_GB2312"/>
          <w:color w:val="000000"/>
          <w:sz w:val="24"/>
          <w:szCs w:val="28"/>
        </w:rPr>
        <w:t>3.由于互联网时代隐私泄露现象泛滥，造成用户对个人隐私信息泄露的普遍担忧。</w:t>
      </w:r>
    </w:p>
    <w:p>
      <w:pPr>
        <w:ind w:firstLine="480"/>
        <w:jc w:val="left"/>
        <w:rPr>
          <w:rFonts w:hint="eastAsia" w:ascii="仿宋_GB2312" w:hAnsi="仿宋_GB2312" w:cs="仿宋_GB2312"/>
          <w:color w:val="000000"/>
          <w:sz w:val="24"/>
          <w:szCs w:val="28"/>
        </w:rPr>
      </w:pPr>
      <w:r>
        <w:rPr>
          <w:rFonts w:hint="eastAsia" w:ascii="仿宋_GB2312" w:hAnsi="仿宋_GB2312" w:cs="仿宋_GB2312"/>
          <w:color w:val="000000"/>
          <w:sz w:val="24"/>
          <w:szCs w:val="28"/>
        </w:rPr>
        <w:t>4.医疗知识分享审核不严格，低质量文章或处方的发布将带来医疗风险。</w:t>
      </w:r>
    </w:p>
    <w:p>
      <w:pPr>
        <w:tabs>
          <w:tab w:val="center" w:pos="4434"/>
        </w:tabs>
        <w:spacing w:line="500" w:lineRule="exact"/>
        <w:ind w:firstLine="0" w:firstLineChars="0"/>
        <w:jc w:val="left"/>
        <w:outlineLvl w:val="2"/>
        <w:rPr>
          <w:rFonts w:hint="eastAsia" w:ascii="黑体" w:hAnsi="黑体" w:eastAsia="黑体" w:cs="Times New Roman"/>
        </w:rPr>
      </w:pPr>
      <w:bookmarkStart w:id="180" w:name="_Toc61100268"/>
      <w:r>
        <w:rPr>
          <w:rFonts w:hint="eastAsia" w:ascii="黑体" w:hAnsi="黑体" w:eastAsia="黑体" w:cs="Times New Roman"/>
        </w:rPr>
        <w:t>9.1.3道德与信用欺诈风险</w:t>
      </w:r>
      <w:bookmarkEnd w:id="180"/>
    </w:p>
    <w:p>
      <w:pPr>
        <w:ind w:firstLine="480"/>
        <w:jc w:val="left"/>
        <w:rPr>
          <w:rFonts w:hint="eastAsia" w:ascii="仿宋_GB2312" w:hAnsi="仿宋_GB2312" w:cs="仿宋_GB2312"/>
          <w:color w:val="000000"/>
          <w:sz w:val="24"/>
          <w:szCs w:val="28"/>
        </w:rPr>
      </w:pPr>
      <w:r>
        <w:rPr>
          <w:rFonts w:hint="eastAsia" w:ascii="仿宋_GB2312" w:hAnsi="仿宋_GB2312" w:cs="仿宋_GB2312"/>
          <w:color w:val="000000"/>
          <w:sz w:val="24"/>
          <w:szCs w:val="28"/>
        </w:rPr>
        <w:t>由于本APP提供线上医疗服务，医生只凭用户对病情的主观描述做出诊断。在这种情况下，有可能出现用户随意描述病情来误导医生，或故意给医生差评，以医生误诊为理由向平台索取赔偿，造成平台经济损失。也可能出现医生无视职业道德，欺骗用户的情况。</w:t>
      </w:r>
    </w:p>
    <w:p>
      <w:pPr>
        <w:tabs>
          <w:tab w:val="center" w:pos="4434"/>
        </w:tabs>
        <w:spacing w:line="500" w:lineRule="exact"/>
        <w:ind w:firstLine="0" w:firstLineChars="0"/>
        <w:jc w:val="left"/>
        <w:outlineLvl w:val="2"/>
        <w:rPr>
          <w:rFonts w:hint="eastAsia" w:ascii="黑体" w:hAnsi="黑体" w:eastAsia="黑体" w:cs="Times New Roman"/>
        </w:rPr>
      </w:pPr>
      <w:bookmarkStart w:id="181" w:name="_Toc61100269"/>
      <w:r>
        <w:rPr>
          <w:rFonts w:hint="eastAsia" w:ascii="黑体" w:hAnsi="黑体" w:eastAsia="黑体" w:cs="Times New Roman"/>
        </w:rPr>
        <w:t>9.1.4其他风险</w:t>
      </w:r>
      <w:bookmarkEnd w:id="181"/>
    </w:p>
    <w:p>
      <w:pPr>
        <w:ind w:firstLine="480"/>
        <w:jc w:val="left"/>
        <w:rPr>
          <w:rFonts w:hint="eastAsia" w:ascii="仿宋_GB2312" w:hAnsi="仿宋_GB2312" w:cs="仿宋_GB2312"/>
          <w:color w:val="000000"/>
          <w:sz w:val="24"/>
          <w:szCs w:val="28"/>
        </w:rPr>
      </w:pPr>
      <w:r>
        <w:rPr>
          <w:rFonts w:hint="eastAsia" w:ascii="仿宋_GB2312" w:hAnsi="仿宋_GB2312" w:cs="仿宋_GB2312"/>
          <w:color w:val="000000"/>
          <w:sz w:val="24"/>
          <w:szCs w:val="28"/>
        </w:rPr>
        <w:t>1.竞争风险：市面上同类移动医疗APP的不断涌现给公司带来的竞争风险。</w:t>
      </w:r>
    </w:p>
    <w:p>
      <w:pPr>
        <w:ind w:firstLine="480"/>
        <w:jc w:val="left"/>
        <w:rPr>
          <w:rFonts w:hint="eastAsia" w:ascii="仿宋_GB2312" w:hAnsi="仿宋_GB2312" w:cs="仿宋_GB2312"/>
          <w:color w:val="000000"/>
          <w:sz w:val="24"/>
          <w:szCs w:val="28"/>
        </w:rPr>
      </w:pPr>
      <w:r>
        <w:rPr>
          <w:rFonts w:hint="eastAsia" w:ascii="仿宋_GB2312" w:hAnsi="仿宋_GB2312" w:cs="仿宋_GB2312"/>
          <w:color w:val="000000"/>
          <w:sz w:val="24"/>
          <w:szCs w:val="28"/>
        </w:rPr>
        <w:t>2.市场风险：对市场预估的不准确导致APP难以推广，信息技术更新过快或市场信息不对称导致APP用户量降低。</w:t>
      </w:r>
    </w:p>
    <w:p>
      <w:pPr>
        <w:ind w:firstLine="480"/>
        <w:jc w:val="left"/>
        <w:rPr>
          <w:rFonts w:hint="eastAsia" w:ascii="仿宋_GB2312" w:hAnsi="仿宋_GB2312" w:cs="仿宋_GB2312"/>
          <w:color w:val="000000"/>
          <w:sz w:val="24"/>
          <w:szCs w:val="28"/>
        </w:rPr>
      </w:pPr>
      <w:r>
        <w:rPr>
          <w:rFonts w:hint="eastAsia" w:ascii="仿宋_GB2312" w:hAnsi="仿宋_GB2312" w:cs="仿宋_GB2312"/>
          <w:color w:val="000000"/>
          <w:sz w:val="24"/>
          <w:szCs w:val="28"/>
        </w:rPr>
        <w:t>3.平台内部风险：患者对名医需求量大，但对普通医生关注度低，医疗资源难以被有效利用；平台内知识更新速度慢，用户活跃程度降低，导致老用户流失，且难以吸引新用户；医生在线时间无法掌握，给患者带来困扰。</w:t>
      </w:r>
    </w:p>
    <w:p>
      <w:pPr>
        <w:ind w:firstLine="480"/>
        <w:jc w:val="left"/>
        <w:rPr>
          <w:rFonts w:hint="eastAsia" w:ascii="仿宋_GB2312" w:hAnsi="仿宋_GB2312" w:cs="仿宋_GB2312"/>
          <w:color w:val="000000"/>
          <w:sz w:val="24"/>
          <w:szCs w:val="28"/>
        </w:rPr>
      </w:pPr>
      <w:r>
        <w:rPr>
          <w:rFonts w:hint="eastAsia" w:ascii="仿宋_GB2312" w:hAnsi="仿宋_GB2312" w:cs="仿宋_GB2312"/>
          <w:color w:val="000000"/>
          <w:sz w:val="24"/>
          <w:szCs w:val="28"/>
        </w:rPr>
        <w:t>4.技术风险：用户和医生对个人信息的安全要求高，而企业技术不成熟，不能及时保证个人信息的安全可靠性，会导致用户卸载APP。</w:t>
      </w:r>
    </w:p>
    <w:p>
      <w:pPr>
        <w:ind w:firstLine="480"/>
        <w:jc w:val="left"/>
        <w:rPr>
          <w:rFonts w:hint="eastAsia" w:ascii="仿宋_GB2312" w:hAnsi="仿宋_GB2312" w:cs="仿宋_GB2312"/>
          <w:color w:val="000000"/>
          <w:sz w:val="24"/>
          <w:szCs w:val="28"/>
        </w:rPr>
      </w:pPr>
      <w:r>
        <w:rPr>
          <w:rFonts w:hint="eastAsia" w:ascii="仿宋_GB2312" w:hAnsi="仿宋_GB2312" w:cs="仿宋_GB2312"/>
          <w:color w:val="000000"/>
          <w:sz w:val="24"/>
          <w:szCs w:val="28"/>
        </w:rPr>
        <w:t>5.管理风险：创业初期，团队协作磨合的过程长短与合作效果会影响公司发展；对线下回访调查人员的培训不周，会影响用户对APP的信任。</w:t>
      </w:r>
    </w:p>
    <w:p>
      <w:pPr>
        <w:ind w:firstLine="480"/>
        <w:jc w:val="left"/>
        <w:rPr>
          <w:rFonts w:hint="eastAsia" w:ascii="仿宋_GB2312" w:hAnsi="仿宋_GB2312" w:cs="仿宋_GB2312"/>
          <w:color w:val="000000"/>
          <w:sz w:val="24"/>
          <w:szCs w:val="28"/>
        </w:rPr>
      </w:pPr>
    </w:p>
    <w:p>
      <w:pPr>
        <w:pStyle w:val="84"/>
        <w:ind w:firstLine="0" w:firstLineChars="0"/>
        <w:outlineLvl w:val="1"/>
        <w:rPr>
          <w:rFonts w:hint="eastAsia" w:ascii="黑体" w:hAnsi="黑体"/>
          <w:b w:val="0"/>
          <w:sz w:val="30"/>
          <w:szCs w:val="30"/>
        </w:rPr>
      </w:pPr>
      <w:bookmarkStart w:id="182" w:name="_Toc61100270"/>
      <w:r>
        <w:rPr>
          <w:rFonts w:hint="eastAsia" w:ascii="黑体" w:hAnsi="黑体"/>
          <w:b w:val="0"/>
          <w:sz w:val="30"/>
          <w:szCs w:val="30"/>
        </w:rPr>
        <w:t>9.2风险评估</w:t>
      </w:r>
      <w:bookmarkEnd w:id="182"/>
    </w:p>
    <w:p>
      <w:pPr>
        <w:ind w:firstLine="480"/>
        <w:jc w:val="left"/>
        <w:rPr>
          <w:rFonts w:hint="eastAsia" w:ascii="仿宋_GB2312" w:hAnsi="仿宋_GB2312" w:cs="仿宋_GB2312"/>
          <w:color w:val="000000"/>
          <w:sz w:val="24"/>
          <w:szCs w:val="28"/>
        </w:rPr>
      </w:pPr>
      <w:r>
        <w:rPr>
          <w:rFonts w:hint="eastAsia" w:ascii="仿宋_GB2312" w:hAnsi="仿宋_GB2312" w:cs="仿宋_GB2312"/>
          <w:color w:val="000000"/>
          <w:sz w:val="24"/>
          <w:szCs w:val="28"/>
        </w:rPr>
        <w:t>我们通过对公司可能面临的风险进行定量定性分析，列出风险重要性次序表。并对各类风险提出具体的应对策略，力求将风险造成的损失降到最低，提高风险管理的效率和效果（如表9-1所示）。</w:t>
      </w:r>
    </w:p>
    <w:p>
      <w:pPr>
        <w:ind w:firstLine="0" w:firstLineChars="0"/>
        <w:jc w:val="center"/>
        <w:rPr>
          <w:rFonts w:hint="eastAsia" w:ascii="仿宋_GB2312"/>
          <w:sz w:val="21"/>
          <w:szCs w:val="24"/>
        </w:rPr>
      </w:pPr>
      <w:r>
        <w:rPr>
          <w:rFonts w:hint="eastAsia" w:ascii="仿宋_GB2312"/>
          <w:sz w:val="21"/>
          <w:szCs w:val="24"/>
        </w:rPr>
        <w:t>表9-1 风险评估</w:t>
      </w:r>
    </w:p>
    <w:tbl>
      <w:tblPr>
        <w:tblStyle w:val="24"/>
        <w:tblW w:w="9256" w:type="dxa"/>
        <w:tblInd w:w="0" w:type="dxa"/>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4"/>
        <w:gridCol w:w="1420"/>
        <w:gridCol w:w="1420"/>
        <w:gridCol w:w="1420"/>
        <w:gridCol w:w="1421"/>
        <w:gridCol w:w="1421"/>
      </w:tblGrid>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154" w:type="dxa"/>
            <w:tcBorders>
              <w:top w:val="single" w:color="5B9BD5" w:themeColor="accent1" w:sz="8" w:space="0"/>
              <w:left w:val="nil"/>
              <w:bottom w:val="single" w:color="5B9BD5" w:themeColor="accent1" w:sz="8" w:space="0"/>
              <w:right w:val="nil"/>
              <w:insideH w:val="single" w:sz="8" w:space="0"/>
              <w:insideV w:val="nil"/>
            </w:tcBorders>
          </w:tcPr>
          <w:p>
            <w:pPr>
              <w:spacing w:before="0" w:after="0" w:line="240" w:lineRule="auto"/>
              <w:ind w:firstLine="0" w:firstLineChars="0"/>
              <w:jc w:val="center"/>
              <w:rPr>
                <w:rFonts w:ascii="宋体" w:hAnsi="宋体" w:eastAsia="宋体"/>
                <w:b/>
                <w:bCs/>
                <w:color w:val="2E75B6" w:themeColor="accent1" w:themeShade="BF"/>
                <w:sz w:val="21"/>
                <w:szCs w:val="24"/>
              </w:rPr>
            </w:pPr>
            <w:r>
              <w:rPr>
                <w:rFonts w:ascii="宋体" w:hAnsi="宋体" w:eastAsia="宋体"/>
                <w:b/>
                <w:bCs/>
                <w:color w:val="2E75B6" w:themeColor="accent1" w:themeShade="BF"/>
                <w:sz w:val="21"/>
                <w:szCs w:val="24"/>
              </w:rPr>
              <w:t>风险分类</w:t>
            </w:r>
          </w:p>
        </w:tc>
        <w:tc>
          <w:tcPr>
            <w:tcW w:w="1420"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rFonts w:ascii="宋体" w:hAnsi="宋体" w:eastAsia="宋体"/>
                <w:b/>
                <w:bCs/>
                <w:color w:val="2E75B6" w:themeColor="accent1" w:themeShade="BF"/>
                <w:sz w:val="21"/>
                <w:szCs w:val="24"/>
              </w:rPr>
            </w:pPr>
            <w:r>
              <w:rPr>
                <w:rFonts w:ascii="宋体" w:hAnsi="宋体" w:eastAsia="宋体"/>
                <w:b/>
                <w:bCs/>
                <w:color w:val="2E75B6" w:themeColor="accent1" w:themeShade="BF"/>
                <w:sz w:val="21"/>
                <w:szCs w:val="24"/>
              </w:rPr>
              <w:t>可能性</w:t>
            </w:r>
          </w:p>
        </w:tc>
        <w:tc>
          <w:tcPr>
            <w:tcW w:w="1420"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rFonts w:ascii="宋体" w:hAnsi="宋体" w:eastAsia="宋体"/>
                <w:b/>
                <w:bCs/>
                <w:color w:val="2E75B6" w:themeColor="accent1" w:themeShade="BF"/>
                <w:sz w:val="21"/>
                <w:szCs w:val="24"/>
              </w:rPr>
            </w:pPr>
            <w:r>
              <w:rPr>
                <w:rFonts w:ascii="宋体" w:hAnsi="宋体" w:eastAsia="宋体"/>
                <w:b/>
                <w:bCs/>
                <w:color w:val="2E75B6" w:themeColor="accent1" w:themeShade="BF"/>
                <w:sz w:val="21"/>
                <w:szCs w:val="24"/>
              </w:rPr>
              <w:t>严重性</w:t>
            </w:r>
          </w:p>
        </w:tc>
        <w:tc>
          <w:tcPr>
            <w:tcW w:w="1420"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rFonts w:ascii="宋体" w:hAnsi="宋体" w:eastAsia="宋体"/>
                <w:b/>
                <w:bCs/>
                <w:color w:val="2E75B6" w:themeColor="accent1" w:themeShade="BF"/>
                <w:sz w:val="21"/>
                <w:szCs w:val="24"/>
              </w:rPr>
            </w:pPr>
            <w:r>
              <w:rPr>
                <w:rFonts w:ascii="宋体" w:hAnsi="宋体" w:eastAsia="宋体"/>
                <w:b/>
                <w:bCs/>
                <w:color w:val="2E75B6" w:themeColor="accent1" w:themeShade="BF"/>
                <w:sz w:val="21"/>
                <w:szCs w:val="24"/>
              </w:rPr>
              <w:t>可预测性</w:t>
            </w:r>
          </w:p>
        </w:tc>
        <w:tc>
          <w:tcPr>
            <w:tcW w:w="1421"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rFonts w:ascii="宋体" w:hAnsi="宋体" w:eastAsia="宋体"/>
                <w:b/>
                <w:bCs/>
                <w:color w:val="2E75B6" w:themeColor="accent1" w:themeShade="BF"/>
                <w:sz w:val="21"/>
                <w:szCs w:val="24"/>
              </w:rPr>
            </w:pPr>
            <w:r>
              <w:rPr>
                <w:rFonts w:ascii="宋体" w:hAnsi="宋体" w:eastAsia="宋体"/>
                <w:b/>
                <w:bCs/>
                <w:color w:val="2E75B6" w:themeColor="accent1" w:themeShade="BF"/>
                <w:sz w:val="21"/>
                <w:szCs w:val="24"/>
              </w:rPr>
              <w:t>综合评价</w:t>
            </w:r>
          </w:p>
        </w:tc>
        <w:tc>
          <w:tcPr>
            <w:tcW w:w="1421" w:type="dxa"/>
            <w:tcBorders>
              <w:top w:val="single" w:color="5B9BD5" w:themeColor="accent1" w:sz="8" w:space="0"/>
              <w:bottom w:val="single" w:color="5B9BD5" w:themeColor="accent1" w:sz="8" w:space="0"/>
              <w:right w:val="nil"/>
              <w:insideH w:val="single" w:sz="8" w:space="0"/>
              <w:insideV w:val="nil"/>
            </w:tcBorders>
          </w:tcPr>
          <w:p>
            <w:pPr>
              <w:spacing w:before="0" w:after="0" w:line="240" w:lineRule="auto"/>
              <w:ind w:firstLine="0" w:firstLineChars="0"/>
              <w:jc w:val="center"/>
              <w:rPr>
                <w:rFonts w:ascii="宋体" w:hAnsi="宋体" w:eastAsia="宋体"/>
                <w:b/>
                <w:bCs/>
                <w:color w:val="2E75B6" w:themeColor="accent1" w:themeShade="BF"/>
                <w:sz w:val="21"/>
                <w:szCs w:val="24"/>
              </w:rPr>
            </w:pPr>
            <w:r>
              <w:rPr>
                <w:rFonts w:ascii="宋体" w:hAnsi="宋体" w:eastAsia="宋体"/>
                <w:b/>
                <w:bCs/>
                <w:color w:val="2E75B6" w:themeColor="accent1" w:themeShade="BF"/>
                <w:sz w:val="21"/>
                <w:szCs w:val="24"/>
              </w:rPr>
              <w:t>风险星级</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4" w:type="dxa"/>
            <w:tcBorders>
              <w:left w:val="nil"/>
              <w:right w:val="nil"/>
              <w:insideV w:val="nil"/>
            </w:tcBorders>
            <w:shd w:val="clear" w:color="auto" w:fill="D6E6F4" w:themeFill="accent1" w:themeFillTint="3F"/>
          </w:tcPr>
          <w:p>
            <w:pPr>
              <w:spacing w:line="240" w:lineRule="auto"/>
              <w:ind w:firstLine="0" w:firstLineChars="0"/>
              <w:jc w:val="center"/>
              <w:rPr>
                <w:rFonts w:ascii="宋体" w:hAnsi="宋体" w:eastAsia="宋体"/>
                <w:b/>
                <w:bCs/>
                <w:color w:val="2E75B6" w:themeColor="accent1" w:themeShade="BF"/>
                <w:sz w:val="21"/>
                <w:szCs w:val="24"/>
              </w:rPr>
            </w:pPr>
            <w:r>
              <w:rPr>
                <w:rFonts w:ascii="宋体" w:hAnsi="宋体" w:eastAsia="宋体"/>
                <w:b/>
                <w:bCs/>
                <w:color w:val="2E75B6" w:themeColor="accent1" w:themeShade="BF"/>
                <w:sz w:val="21"/>
                <w:szCs w:val="24"/>
              </w:rPr>
              <w:t>国家政策风险</w:t>
            </w:r>
          </w:p>
        </w:tc>
        <w:tc>
          <w:tcPr>
            <w:tcW w:w="1420" w:type="dxa"/>
            <w:tcBorders>
              <w:right w:val="nil"/>
              <w:insideV w:val="nil"/>
            </w:tcBorders>
            <w:shd w:val="clear" w:color="auto" w:fill="D6E6F4" w:themeFill="accent1" w:themeFillTint="3F"/>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1</w:t>
            </w:r>
          </w:p>
        </w:tc>
        <w:tc>
          <w:tcPr>
            <w:tcW w:w="1420" w:type="dxa"/>
            <w:tcBorders>
              <w:right w:val="nil"/>
              <w:insideV w:val="nil"/>
            </w:tcBorders>
            <w:shd w:val="clear" w:color="auto" w:fill="D6E6F4" w:themeFill="accent1" w:themeFillTint="3F"/>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9</w:t>
            </w:r>
          </w:p>
        </w:tc>
        <w:tc>
          <w:tcPr>
            <w:tcW w:w="1420" w:type="dxa"/>
            <w:tcBorders>
              <w:right w:val="nil"/>
              <w:insideV w:val="nil"/>
            </w:tcBorders>
            <w:shd w:val="clear" w:color="auto" w:fill="D6E6F4" w:themeFill="accent1" w:themeFillTint="3F"/>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2</w:t>
            </w:r>
          </w:p>
        </w:tc>
        <w:tc>
          <w:tcPr>
            <w:tcW w:w="1421" w:type="dxa"/>
            <w:tcBorders>
              <w:right w:val="nil"/>
              <w:insideV w:val="nil"/>
            </w:tcBorders>
            <w:shd w:val="clear" w:color="auto" w:fill="D6E6F4" w:themeFill="accent1" w:themeFillTint="3F"/>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18</w:t>
            </w:r>
          </w:p>
        </w:tc>
        <w:tc>
          <w:tcPr>
            <w:tcW w:w="1421" w:type="dxa"/>
            <w:tcBorders>
              <w:right w:val="nil"/>
              <w:insideV w:val="nil"/>
            </w:tcBorders>
            <w:shd w:val="clear" w:color="auto" w:fill="D6E6F4" w:themeFill="accent1" w:themeFillTint="3F"/>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4" w:type="dxa"/>
          </w:tcPr>
          <w:p>
            <w:pPr>
              <w:spacing w:line="240" w:lineRule="auto"/>
              <w:ind w:firstLine="0" w:firstLineChars="0"/>
              <w:jc w:val="center"/>
              <w:rPr>
                <w:rFonts w:ascii="宋体" w:hAnsi="宋体" w:eastAsia="宋体"/>
                <w:b/>
                <w:bCs/>
                <w:color w:val="2E75B6" w:themeColor="accent1" w:themeShade="BF"/>
                <w:sz w:val="21"/>
                <w:szCs w:val="24"/>
              </w:rPr>
            </w:pPr>
            <w:r>
              <w:rPr>
                <w:rFonts w:ascii="宋体" w:hAnsi="宋体" w:eastAsia="宋体"/>
                <w:b/>
                <w:bCs/>
                <w:color w:val="2E75B6" w:themeColor="accent1" w:themeShade="BF"/>
                <w:sz w:val="21"/>
                <w:szCs w:val="24"/>
              </w:rPr>
              <w:t>医疗安全风险</w:t>
            </w:r>
          </w:p>
        </w:tc>
        <w:tc>
          <w:tcPr>
            <w:tcW w:w="1420" w:type="dxa"/>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3</w:t>
            </w:r>
          </w:p>
        </w:tc>
        <w:tc>
          <w:tcPr>
            <w:tcW w:w="1420" w:type="dxa"/>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6</w:t>
            </w:r>
          </w:p>
        </w:tc>
        <w:tc>
          <w:tcPr>
            <w:tcW w:w="1420" w:type="dxa"/>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2</w:t>
            </w:r>
          </w:p>
        </w:tc>
        <w:tc>
          <w:tcPr>
            <w:tcW w:w="1421" w:type="dxa"/>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36</w:t>
            </w:r>
          </w:p>
        </w:tc>
        <w:tc>
          <w:tcPr>
            <w:tcW w:w="1421" w:type="dxa"/>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4" w:type="dxa"/>
            <w:tcBorders>
              <w:left w:val="nil"/>
              <w:right w:val="nil"/>
              <w:insideV w:val="nil"/>
            </w:tcBorders>
            <w:shd w:val="clear" w:color="auto" w:fill="D6E6F4" w:themeFill="accent1" w:themeFillTint="3F"/>
          </w:tcPr>
          <w:p>
            <w:pPr>
              <w:spacing w:line="240" w:lineRule="auto"/>
              <w:ind w:firstLine="0" w:firstLineChars="0"/>
              <w:jc w:val="center"/>
              <w:rPr>
                <w:rFonts w:ascii="宋体" w:hAnsi="宋体" w:eastAsia="宋体"/>
                <w:b/>
                <w:bCs/>
                <w:color w:val="2E75B6" w:themeColor="accent1" w:themeShade="BF"/>
                <w:sz w:val="21"/>
                <w:szCs w:val="24"/>
              </w:rPr>
            </w:pPr>
            <w:r>
              <w:rPr>
                <w:rFonts w:ascii="宋体" w:hAnsi="宋体" w:eastAsia="宋体"/>
                <w:b/>
                <w:bCs/>
                <w:color w:val="2E75B6" w:themeColor="accent1" w:themeShade="BF"/>
                <w:sz w:val="21"/>
                <w:szCs w:val="24"/>
              </w:rPr>
              <w:t>道德与信用欺骗风险</w:t>
            </w:r>
          </w:p>
        </w:tc>
        <w:tc>
          <w:tcPr>
            <w:tcW w:w="1420" w:type="dxa"/>
            <w:tcBorders>
              <w:right w:val="nil"/>
              <w:insideV w:val="nil"/>
            </w:tcBorders>
            <w:shd w:val="clear" w:color="auto" w:fill="D6E6F4" w:themeFill="accent1" w:themeFillTint="3F"/>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2</w:t>
            </w:r>
          </w:p>
        </w:tc>
        <w:tc>
          <w:tcPr>
            <w:tcW w:w="1420" w:type="dxa"/>
            <w:tcBorders>
              <w:right w:val="nil"/>
              <w:insideV w:val="nil"/>
            </w:tcBorders>
            <w:shd w:val="clear" w:color="auto" w:fill="D6E6F4" w:themeFill="accent1" w:themeFillTint="3F"/>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6</w:t>
            </w:r>
          </w:p>
        </w:tc>
        <w:tc>
          <w:tcPr>
            <w:tcW w:w="1420" w:type="dxa"/>
            <w:tcBorders>
              <w:right w:val="nil"/>
              <w:insideV w:val="nil"/>
            </w:tcBorders>
            <w:shd w:val="clear" w:color="auto" w:fill="D6E6F4" w:themeFill="accent1" w:themeFillTint="3F"/>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1</w:t>
            </w:r>
          </w:p>
        </w:tc>
        <w:tc>
          <w:tcPr>
            <w:tcW w:w="1421" w:type="dxa"/>
            <w:tcBorders>
              <w:right w:val="nil"/>
              <w:insideV w:val="nil"/>
            </w:tcBorders>
            <w:shd w:val="clear" w:color="auto" w:fill="D6E6F4" w:themeFill="accent1" w:themeFillTint="3F"/>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12</w:t>
            </w:r>
          </w:p>
        </w:tc>
        <w:tc>
          <w:tcPr>
            <w:tcW w:w="1421" w:type="dxa"/>
            <w:tcBorders>
              <w:right w:val="nil"/>
              <w:insideV w:val="nil"/>
            </w:tcBorders>
            <w:shd w:val="clear" w:color="auto" w:fill="D6E6F4" w:themeFill="accent1" w:themeFillTint="3F"/>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w:t>
            </w:r>
          </w:p>
        </w:tc>
      </w:tr>
      <w:tr>
        <w:tblPrEx>
          <w:tblBorders>
            <w:top w:val="single" w:color="5B9BD5" w:themeColor="accent1" w:sz="8" w:space="0"/>
            <w:left w:val="none" w:color="auto" w:sz="0" w:space="0"/>
            <w:bottom w:val="single" w:color="5B9BD5"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4" w:type="dxa"/>
          </w:tcPr>
          <w:p>
            <w:pPr>
              <w:spacing w:line="240" w:lineRule="auto"/>
              <w:ind w:firstLine="0" w:firstLineChars="0"/>
              <w:jc w:val="center"/>
              <w:rPr>
                <w:rFonts w:ascii="宋体" w:hAnsi="宋体" w:eastAsia="宋体"/>
                <w:b/>
                <w:bCs/>
                <w:color w:val="2E75B6" w:themeColor="accent1" w:themeShade="BF"/>
                <w:sz w:val="21"/>
                <w:szCs w:val="24"/>
              </w:rPr>
            </w:pPr>
            <w:r>
              <w:rPr>
                <w:rFonts w:ascii="宋体" w:hAnsi="宋体" w:eastAsia="宋体"/>
                <w:b/>
                <w:bCs/>
                <w:color w:val="2E75B6" w:themeColor="accent1" w:themeShade="BF"/>
                <w:sz w:val="21"/>
                <w:szCs w:val="24"/>
              </w:rPr>
              <w:t>其他风险</w:t>
            </w:r>
          </w:p>
        </w:tc>
        <w:tc>
          <w:tcPr>
            <w:tcW w:w="1420" w:type="dxa"/>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2</w:t>
            </w:r>
          </w:p>
        </w:tc>
        <w:tc>
          <w:tcPr>
            <w:tcW w:w="1420" w:type="dxa"/>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5</w:t>
            </w:r>
          </w:p>
        </w:tc>
        <w:tc>
          <w:tcPr>
            <w:tcW w:w="1420" w:type="dxa"/>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3</w:t>
            </w:r>
          </w:p>
        </w:tc>
        <w:tc>
          <w:tcPr>
            <w:tcW w:w="1421" w:type="dxa"/>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30</w:t>
            </w:r>
          </w:p>
        </w:tc>
        <w:tc>
          <w:tcPr>
            <w:tcW w:w="1421" w:type="dxa"/>
          </w:tcPr>
          <w:p>
            <w:pPr>
              <w:spacing w:line="240" w:lineRule="auto"/>
              <w:ind w:firstLine="0" w:firstLineChars="0"/>
              <w:jc w:val="center"/>
              <w:rPr>
                <w:rFonts w:ascii="宋体" w:hAnsi="宋体" w:eastAsia="宋体"/>
                <w:color w:val="2E75B6" w:themeColor="accent1" w:themeShade="BF"/>
                <w:sz w:val="21"/>
                <w:szCs w:val="24"/>
              </w:rPr>
            </w:pPr>
            <w:r>
              <w:rPr>
                <w:rFonts w:hint="eastAsia" w:ascii="宋体" w:hAnsi="宋体" w:eastAsia="宋体"/>
                <w:color w:val="2E75B6" w:themeColor="accent1" w:themeShade="BF"/>
                <w:sz w:val="21"/>
                <w:szCs w:val="24"/>
              </w:rPr>
              <w:t>★★</w:t>
            </w:r>
          </w:p>
        </w:tc>
      </w:tr>
    </w:tbl>
    <w:p>
      <w:pPr>
        <w:spacing w:line="240" w:lineRule="auto"/>
        <w:ind w:firstLine="420"/>
        <w:jc w:val="left"/>
        <w:rPr>
          <w:rFonts w:hint="eastAsia" w:ascii="仿宋_GB2312" w:hAnsi="仿宋_GB2312" w:cs="仿宋_GB2312"/>
          <w:color w:val="000000"/>
          <w:sz w:val="21"/>
          <w:szCs w:val="21"/>
        </w:rPr>
      </w:pPr>
      <w:r>
        <w:rPr>
          <w:rFonts w:hint="eastAsia" w:ascii="仿宋_GB2312" w:hAnsi="仿宋_GB2312" w:cs="仿宋_GB2312"/>
          <w:color w:val="000000"/>
          <w:sz w:val="21"/>
          <w:szCs w:val="21"/>
        </w:rPr>
        <w:t>注：可能性由1至5递增；严重性由1至10递增；可预测性为由5至1递减；综合评估每增加12风险星级加一颗星。</w:t>
      </w:r>
    </w:p>
    <w:p>
      <w:pPr>
        <w:ind w:firstLine="0" w:firstLineChars="0"/>
        <w:jc w:val="left"/>
        <w:rPr>
          <w:rFonts w:hint="eastAsia" w:ascii="仿宋_GB2312" w:hAnsi="仿宋_GB2312" w:cs="仿宋_GB2312"/>
          <w:color w:val="000000"/>
          <w:sz w:val="21"/>
          <w:szCs w:val="21"/>
        </w:rPr>
      </w:pPr>
    </w:p>
    <w:p>
      <w:pPr>
        <w:pStyle w:val="84"/>
        <w:ind w:firstLine="0" w:firstLineChars="0"/>
        <w:outlineLvl w:val="1"/>
        <w:rPr>
          <w:rFonts w:hint="eastAsia" w:ascii="黑体" w:hAnsi="黑体"/>
          <w:b w:val="0"/>
          <w:sz w:val="30"/>
          <w:szCs w:val="30"/>
        </w:rPr>
      </w:pPr>
      <w:bookmarkStart w:id="183" w:name="_Toc61100271"/>
      <w:r>
        <w:rPr>
          <w:rFonts w:hint="eastAsia" w:ascii="黑体" w:hAnsi="黑体"/>
          <w:b w:val="0"/>
          <w:sz w:val="30"/>
          <w:szCs w:val="30"/>
        </w:rPr>
        <w:t>9.3风险应对策略</w:t>
      </w:r>
      <w:bookmarkEnd w:id="183"/>
    </w:p>
    <w:p>
      <w:pPr>
        <w:tabs>
          <w:tab w:val="center" w:pos="4434"/>
        </w:tabs>
        <w:spacing w:line="500" w:lineRule="exact"/>
        <w:ind w:firstLine="0" w:firstLineChars="0"/>
        <w:jc w:val="left"/>
        <w:outlineLvl w:val="2"/>
        <w:rPr>
          <w:rFonts w:hint="eastAsia" w:ascii="黑体" w:hAnsi="黑体" w:eastAsia="黑体" w:cs="Times New Roman"/>
        </w:rPr>
      </w:pPr>
      <w:bookmarkStart w:id="184" w:name="_Toc61100272"/>
      <w:r>
        <w:rPr>
          <w:rFonts w:hint="eastAsia" w:ascii="黑体" w:hAnsi="黑体" w:eastAsia="黑体" w:cs="Times New Roman"/>
        </w:rPr>
        <w:t>9.3.1购置医疗事故强制责任险</w:t>
      </w:r>
      <w:bookmarkEnd w:id="184"/>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为避免医生玩忽职守，以敷衍了事的态度应付患者问诊，以至于带来医疗风险。本平台为所有入驻医生购买了强制责任险，若发生医疗事故，被保险人即医生依法承担经济赔偿责任。此举一方面端正了医生态度，提高医生服务质量；另一方面保护了患者和本移动医疗平台的合法权益。</w:t>
      </w:r>
    </w:p>
    <w:p>
      <w:pPr>
        <w:tabs>
          <w:tab w:val="center" w:pos="4434"/>
        </w:tabs>
        <w:spacing w:line="500" w:lineRule="exact"/>
        <w:ind w:firstLine="0" w:firstLineChars="0"/>
        <w:jc w:val="left"/>
        <w:outlineLvl w:val="2"/>
        <w:rPr>
          <w:rFonts w:hint="eastAsia" w:ascii="黑体" w:hAnsi="黑体" w:eastAsia="黑体" w:cs="Times New Roman"/>
        </w:rPr>
      </w:pPr>
      <w:bookmarkStart w:id="185" w:name="_Toc61100273"/>
      <w:r>
        <w:rPr>
          <w:rFonts w:hint="eastAsia" w:ascii="黑体" w:hAnsi="黑体" w:eastAsia="黑体" w:cs="Times New Roman"/>
        </w:rPr>
        <w:t>9.3.2医疗知识分享主要控制机制设计</w:t>
      </w:r>
      <w:bookmarkEnd w:id="185"/>
    </w:p>
    <w:p>
      <w:pPr>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1.医疗处方及文章风险控制机制</w:t>
      </w:r>
    </w:p>
    <w:p>
      <w:pPr>
        <w:ind w:firstLine="482"/>
        <w:jc w:val="center"/>
        <w:rPr>
          <w:rFonts w:hint="eastAsia" w:ascii="仿宋_GB2312" w:hAnsi="仿宋_GB2312" w:cs="仿宋_GB2312"/>
          <w:b/>
          <w:color w:val="000000"/>
          <w:sz w:val="24"/>
          <w:szCs w:val="24"/>
        </w:rPr>
      </w:pPr>
      <w:r>
        <w:rPr>
          <w:rFonts w:ascii="仿宋_GB2312" w:hAnsi="仿宋_GB2312" w:cs="仿宋_GB2312"/>
          <w:b/>
          <w:color w:val="000000"/>
          <w:sz w:val="24"/>
          <w:szCs w:val="24"/>
        </w:rPr>
        <w:drawing>
          <wp:inline distT="0" distB="0" distL="0" distR="0">
            <wp:extent cx="3543300" cy="2130425"/>
            <wp:effectExtent l="0" t="0" r="0" b="3175"/>
            <wp:docPr id="3" name="图片 3" descr="C:\Users\鲁佳\AppData\Local\Temp\16101690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鲁佳\AppData\Local\Temp\1610169075(1).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3557987" cy="2139806"/>
                    </a:xfrm>
                    <a:prstGeom prst="rect">
                      <a:avLst/>
                    </a:prstGeom>
                    <a:noFill/>
                    <a:ln>
                      <a:noFill/>
                    </a:ln>
                  </pic:spPr>
                </pic:pic>
              </a:graphicData>
            </a:graphic>
          </wp:inline>
        </w:drawing>
      </w:r>
    </w:p>
    <w:p>
      <w:pPr>
        <w:ind w:firstLine="0" w:firstLineChars="0"/>
        <w:jc w:val="center"/>
        <w:rPr>
          <w:rFonts w:hint="eastAsia" w:ascii="仿宋_GB2312"/>
          <w:sz w:val="21"/>
          <w:szCs w:val="24"/>
        </w:rPr>
      </w:pPr>
      <w:r>
        <w:rPr>
          <w:rFonts w:hint="eastAsia" w:ascii="仿宋_GB2312"/>
          <w:sz w:val="21"/>
          <w:szCs w:val="24"/>
        </w:rPr>
        <w:t>图9-2 医疗处方及文章发布的控制机制</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为减少因低质量医疗处方及文章带来的风险，除铂金等级医生可直接发布医疗处方及文章外，其他等级医生发布处方或文章前均需通过两级审核。</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一级审核为人工智能审核，医生将处方或文章上传，系统会自动检测其内容并判定其风险系数。风险总系数为10，若提交处方或文章的风险系数低于或等于2，即通过本次审核，并进行至二级审核环节；若风险系数高于2，则无法通过本次审核，但发布医生可选择修改内容，之后重新提交审核。若修改三次以上仍未通过机审，则该内容将无法发布。</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二级审核为医生审核，不同等级的医生会组成医生审核团，对发布者提交的内容进行随机盲审，审核者与被审核者互相无法得知对方身份。所有医生均可在闲暇时间选择加入医生审核团，由系统随机分配审核内容。</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根据发布医生的等级，系统会将每篇需要发布的处方或文章分别交由10个同级医生和5个较高等级医生审核。各医生评定出风险系数后，由系统计算出该内容平均风险系数，再根据最终审核结果判定是否发布（如表9-2所示）。</w:t>
      </w:r>
    </w:p>
    <w:p>
      <w:pPr>
        <w:ind w:firstLine="0" w:firstLineChars="0"/>
        <w:jc w:val="center"/>
        <w:rPr>
          <w:rFonts w:hint="eastAsia" w:ascii="仿宋_GB2312"/>
          <w:sz w:val="21"/>
          <w:szCs w:val="24"/>
        </w:rPr>
      </w:pPr>
      <w:r>
        <w:rPr>
          <w:rFonts w:hint="eastAsia" w:ascii="仿宋_GB2312"/>
          <w:sz w:val="21"/>
          <w:szCs w:val="24"/>
        </w:rPr>
        <w:t>表9-2医生处方及文章审核结果</w:t>
      </w:r>
    </w:p>
    <w:tbl>
      <w:tblPr>
        <w:tblStyle w:val="38"/>
        <w:tblW w:w="0" w:type="auto"/>
        <w:jc w:val="center"/>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single" w:color="84B4DF" w:themeColor="accent1" w:themeTint="BF" w:sz="8" w:space="0"/>
        </w:tblBorders>
        <w:tblLayout w:type="autofit"/>
        <w:tblCellMar>
          <w:top w:w="0" w:type="dxa"/>
          <w:left w:w="108" w:type="dxa"/>
          <w:bottom w:w="0" w:type="dxa"/>
          <w:right w:w="108" w:type="dxa"/>
        </w:tblCellMar>
      </w:tblPr>
      <w:tblGrid>
        <w:gridCol w:w="1134"/>
        <w:gridCol w:w="1134"/>
        <w:gridCol w:w="4762"/>
      </w:tblGrid>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single" w:color="84B4DF" w:themeColor="accent1" w:themeTint="BF" w:sz="8" w:space="0"/>
          </w:tblBorders>
          <w:tblCellMar>
            <w:top w:w="0" w:type="dxa"/>
            <w:left w:w="108" w:type="dxa"/>
            <w:bottom w:w="0" w:type="dxa"/>
            <w:right w:w="108" w:type="dxa"/>
          </w:tblCellMar>
        </w:tblPrEx>
        <w:trPr>
          <w:jc w:val="center"/>
        </w:trPr>
        <w:tc>
          <w:tcPr>
            <w:tcW w:w="1134" w:type="dxa"/>
            <w:shd w:val="clear" w:color="auto" w:fill="D6E6F4" w:themeFill="accent1" w:themeFillTint="3F"/>
          </w:tcPr>
          <w:p>
            <w:pPr>
              <w:spacing w:line="240" w:lineRule="auto"/>
              <w:ind w:firstLine="0" w:firstLineChars="0"/>
              <w:jc w:val="center"/>
              <w:rPr>
                <w:rFonts w:ascii="仿宋_GB2312"/>
                <w:b/>
                <w:bCs/>
                <w:sz w:val="21"/>
                <w:szCs w:val="24"/>
              </w:rPr>
            </w:pPr>
            <w:r>
              <w:rPr>
                <w:rFonts w:ascii="仿宋_GB2312"/>
                <w:b/>
                <w:bCs/>
                <w:sz w:val="21"/>
                <w:szCs w:val="24"/>
              </w:rPr>
              <w:t>同级医生</w:t>
            </w:r>
          </w:p>
        </w:tc>
        <w:tc>
          <w:tcPr>
            <w:tcW w:w="1134" w:type="dxa"/>
            <w:shd w:val="clear" w:color="auto" w:fill="D6E6F4" w:themeFill="accent1" w:themeFillTint="3F"/>
          </w:tcPr>
          <w:p>
            <w:pPr>
              <w:spacing w:line="240" w:lineRule="auto"/>
              <w:ind w:firstLine="0" w:firstLineChars="0"/>
              <w:jc w:val="center"/>
              <w:rPr>
                <w:rFonts w:ascii="仿宋_GB2312"/>
                <w:b/>
                <w:bCs/>
                <w:sz w:val="21"/>
                <w:szCs w:val="24"/>
              </w:rPr>
            </w:pPr>
            <w:r>
              <w:rPr>
                <w:rFonts w:ascii="仿宋_GB2312"/>
                <w:b/>
                <w:bCs/>
                <w:sz w:val="21"/>
                <w:szCs w:val="24"/>
              </w:rPr>
              <w:t>高级医生</w:t>
            </w:r>
          </w:p>
        </w:tc>
        <w:tc>
          <w:tcPr>
            <w:tcW w:w="4762" w:type="dxa"/>
            <w:shd w:val="clear" w:color="auto" w:fill="D6E6F4" w:themeFill="accent1" w:themeFillTint="3F"/>
          </w:tcPr>
          <w:p>
            <w:pPr>
              <w:spacing w:line="240" w:lineRule="auto"/>
              <w:ind w:firstLine="0" w:firstLineChars="0"/>
              <w:jc w:val="center"/>
              <w:rPr>
                <w:rFonts w:ascii="仿宋_GB2312"/>
                <w:b/>
                <w:bCs/>
                <w:sz w:val="21"/>
                <w:szCs w:val="24"/>
              </w:rPr>
            </w:pPr>
            <w:r>
              <w:rPr>
                <w:rFonts w:ascii="仿宋_GB2312"/>
                <w:b/>
                <w:bCs/>
                <w:sz w:val="21"/>
                <w:szCs w:val="24"/>
              </w:rPr>
              <w:t>审核结果</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single" w:color="84B4DF" w:themeColor="accent1" w:themeTint="BF" w:sz="8" w:space="0"/>
          </w:tblBorders>
          <w:tblCellMar>
            <w:top w:w="0" w:type="dxa"/>
            <w:left w:w="108" w:type="dxa"/>
            <w:bottom w:w="0" w:type="dxa"/>
            <w:right w:w="108" w:type="dxa"/>
          </w:tblCellMar>
        </w:tblPrEx>
        <w:trPr>
          <w:jc w:val="center"/>
        </w:trPr>
        <w:tc>
          <w:tcPr>
            <w:tcW w:w="1134" w:type="dxa"/>
            <w:shd w:val="clear" w:color="auto" w:fill="ADCDEA" w:themeFill="accent1" w:themeFillTint="7F"/>
          </w:tcPr>
          <w:p>
            <w:pPr>
              <w:spacing w:line="240" w:lineRule="auto"/>
              <w:ind w:firstLine="0" w:firstLineChars="0"/>
              <w:jc w:val="center"/>
              <w:rPr>
                <w:rFonts w:ascii="仿宋_GB2312"/>
                <w:b/>
                <w:bCs/>
                <w:sz w:val="21"/>
                <w:szCs w:val="24"/>
              </w:rPr>
            </w:pPr>
            <w:r>
              <w:rPr>
                <w:rFonts w:hint="eastAsia" w:ascii="仿宋_GB2312"/>
                <w:b/>
                <w:bCs/>
                <w:sz w:val="21"/>
                <w:szCs w:val="24"/>
              </w:rPr>
              <w:t>Q&lt;=1</w:t>
            </w:r>
          </w:p>
        </w:tc>
        <w:tc>
          <w:tcPr>
            <w:tcW w:w="1134" w:type="dxa"/>
            <w:shd w:val="clear" w:color="auto" w:fill="ADCDEA" w:themeFill="accent1" w:themeFillTint="7F"/>
          </w:tcPr>
          <w:p>
            <w:pPr>
              <w:spacing w:line="240" w:lineRule="auto"/>
              <w:ind w:firstLine="0" w:firstLineChars="0"/>
              <w:jc w:val="center"/>
              <w:rPr>
                <w:rFonts w:ascii="仿宋_GB2312"/>
                <w:sz w:val="21"/>
                <w:szCs w:val="24"/>
              </w:rPr>
            </w:pPr>
            <w:r>
              <w:rPr>
                <w:rFonts w:hint="eastAsia" w:ascii="仿宋_GB2312"/>
                <w:sz w:val="21"/>
                <w:szCs w:val="24"/>
              </w:rPr>
              <w:t>Q&lt;=0.5</w:t>
            </w:r>
          </w:p>
        </w:tc>
        <w:tc>
          <w:tcPr>
            <w:tcW w:w="4762" w:type="dxa"/>
            <w:shd w:val="clear" w:color="auto" w:fill="ADCDEA" w:themeFill="accent1" w:themeFillTint="7F"/>
          </w:tcPr>
          <w:p>
            <w:pPr>
              <w:spacing w:line="240" w:lineRule="auto"/>
              <w:ind w:firstLine="0" w:firstLineChars="0"/>
              <w:jc w:val="center"/>
              <w:rPr>
                <w:rFonts w:ascii="仿宋_GB2312"/>
                <w:sz w:val="21"/>
                <w:szCs w:val="24"/>
              </w:rPr>
            </w:pPr>
            <w:r>
              <w:rPr>
                <w:rFonts w:ascii="仿宋_GB2312"/>
                <w:sz w:val="21"/>
                <w:szCs w:val="24"/>
              </w:rPr>
              <w:t>审核通过</w:t>
            </w:r>
            <w:r>
              <w:rPr>
                <w:rFonts w:hint="eastAsia" w:ascii="仿宋_GB2312"/>
                <w:sz w:val="21"/>
                <w:szCs w:val="24"/>
              </w:rPr>
              <w:t>，</w:t>
            </w:r>
            <w:r>
              <w:rPr>
                <w:rFonts w:ascii="仿宋_GB2312"/>
                <w:sz w:val="21"/>
                <w:szCs w:val="24"/>
              </w:rPr>
              <w:t>可以发布</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single" w:color="84B4DF" w:themeColor="accent1" w:themeTint="BF" w:sz="8" w:space="0"/>
          </w:tblBorders>
          <w:tblCellMar>
            <w:top w:w="0" w:type="dxa"/>
            <w:left w:w="108" w:type="dxa"/>
            <w:bottom w:w="0" w:type="dxa"/>
            <w:right w:w="108" w:type="dxa"/>
          </w:tblCellMar>
        </w:tblPrEx>
        <w:trPr>
          <w:jc w:val="center"/>
        </w:trPr>
        <w:tc>
          <w:tcPr>
            <w:tcW w:w="1134" w:type="dxa"/>
            <w:shd w:val="clear" w:color="auto" w:fill="D6E6F4" w:themeFill="accent1" w:themeFillTint="3F"/>
          </w:tcPr>
          <w:p>
            <w:pPr>
              <w:spacing w:line="240" w:lineRule="auto"/>
              <w:ind w:firstLine="0" w:firstLineChars="0"/>
              <w:jc w:val="center"/>
              <w:rPr>
                <w:rFonts w:ascii="仿宋_GB2312"/>
                <w:b/>
                <w:bCs/>
                <w:sz w:val="21"/>
                <w:szCs w:val="24"/>
              </w:rPr>
            </w:pPr>
            <w:r>
              <w:rPr>
                <w:rFonts w:hint="eastAsia" w:ascii="仿宋_GB2312"/>
                <w:b/>
                <w:bCs/>
                <w:sz w:val="21"/>
                <w:szCs w:val="24"/>
              </w:rPr>
              <w:t>1&lt;Q&lt;=2</w:t>
            </w:r>
          </w:p>
        </w:tc>
        <w:tc>
          <w:tcPr>
            <w:tcW w:w="1134" w:type="dxa"/>
            <w:shd w:val="clear" w:color="auto" w:fill="D6E6F4" w:themeFill="accent1" w:themeFillTint="3F"/>
          </w:tcPr>
          <w:p>
            <w:pPr>
              <w:spacing w:line="240" w:lineRule="auto"/>
              <w:ind w:firstLine="0" w:firstLineChars="0"/>
              <w:jc w:val="center"/>
              <w:rPr>
                <w:rFonts w:ascii="仿宋_GB2312"/>
                <w:sz w:val="21"/>
                <w:szCs w:val="24"/>
              </w:rPr>
            </w:pPr>
            <w:r>
              <w:rPr>
                <w:rFonts w:hint="eastAsia" w:ascii="仿宋_GB2312"/>
                <w:sz w:val="21"/>
                <w:szCs w:val="24"/>
              </w:rPr>
              <w:t>0.5&lt;Q&lt;=1</w:t>
            </w:r>
          </w:p>
        </w:tc>
        <w:tc>
          <w:tcPr>
            <w:tcW w:w="4762" w:type="dxa"/>
            <w:shd w:val="clear" w:color="auto" w:fill="D6E6F4" w:themeFill="accent1" w:themeFillTint="3F"/>
          </w:tcPr>
          <w:p>
            <w:pPr>
              <w:spacing w:line="240" w:lineRule="auto"/>
              <w:ind w:firstLine="0" w:firstLineChars="0"/>
              <w:jc w:val="center"/>
              <w:rPr>
                <w:rFonts w:ascii="仿宋_GB2312"/>
                <w:sz w:val="21"/>
                <w:szCs w:val="24"/>
              </w:rPr>
            </w:pPr>
            <w:r>
              <w:rPr>
                <w:rFonts w:ascii="仿宋_GB2312"/>
                <w:sz w:val="21"/>
                <w:szCs w:val="24"/>
              </w:rPr>
              <w:t>审核结果不一致</w:t>
            </w:r>
            <w:r>
              <w:rPr>
                <w:rFonts w:hint="eastAsia" w:ascii="仿宋_GB2312"/>
                <w:sz w:val="21"/>
                <w:szCs w:val="24"/>
              </w:rPr>
              <w:t>，</w:t>
            </w:r>
            <w:r>
              <w:rPr>
                <w:rFonts w:ascii="仿宋_GB2312"/>
                <w:sz w:val="21"/>
                <w:szCs w:val="24"/>
              </w:rPr>
              <w:t>需要交由其他高级医生重新审核</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single" w:color="84B4DF" w:themeColor="accent1" w:themeTint="BF" w:sz="8" w:space="0"/>
          </w:tblBorders>
          <w:tblCellMar>
            <w:top w:w="0" w:type="dxa"/>
            <w:left w:w="108" w:type="dxa"/>
            <w:bottom w:w="0" w:type="dxa"/>
            <w:right w:w="108" w:type="dxa"/>
          </w:tblCellMar>
        </w:tblPrEx>
        <w:trPr>
          <w:jc w:val="center"/>
        </w:trPr>
        <w:tc>
          <w:tcPr>
            <w:tcW w:w="1134" w:type="dxa"/>
            <w:shd w:val="clear" w:color="auto" w:fill="ADCDEA" w:themeFill="accent1" w:themeFillTint="7F"/>
          </w:tcPr>
          <w:p>
            <w:pPr>
              <w:spacing w:line="240" w:lineRule="auto"/>
              <w:ind w:firstLine="0" w:firstLineChars="0"/>
              <w:jc w:val="center"/>
              <w:rPr>
                <w:rFonts w:ascii="仿宋_GB2312"/>
                <w:b/>
                <w:bCs/>
                <w:sz w:val="21"/>
                <w:szCs w:val="24"/>
              </w:rPr>
            </w:pPr>
            <w:r>
              <w:rPr>
                <w:rFonts w:hint="eastAsia" w:ascii="仿宋_GB2312"/>
                <w:b/>
                <w:bCs/>
                <w:sz w:val="21"/>
                <w:szCs w:val="24"/>
              </w:rPr>
              <w:t>Q&gt;2</w:t>
            </w:r>
          </w:p>
        </w:tc>
        <w:tc>
          <w:tcPr>
            <w:tcW w:w="1134" w:type="dxa"/>
            <w:shd w:val="clear" w:color="auto" w:fill="ADCDEA" w:themeFill="accent1" w:themeFillTint="7F"/>
          </w:tcPr>
          <w:p>
            <w:pPr>
              <w:spacing w:line="240" w:lineRule="auto"/>
              <w:ind w:firstLine="0" w:firstLineChars="0"/>
              <w:jc w:val="center"/>
              <w:rPr>
                <w:rFonts w:ascii="仿宋_GB2312"/>
                <w:sz w:val="21"/>
                <w:szCs w:val="24"/>
              </w:rPr>
            </w:pPr>
            <w:r>
              <w:rPr>
                <w:rFonts w:hint="eastAsia" w:ascii="仿宋_GB2312"/>
                <w:sz w:val="21"/>
                <w:szCs w:val="24"/>
              </w:rPr>
              <w:t>Q&gt;1</w:t>
            </w:r>
          </w:p>
        </w:tc>
        <w:tc>
          <w:tcPr>
            <w:tcW w:w="4762" w:type="dxa"/>
            <w:shd w:val="clear" w:color="auto" w:fill="ADCDEA" w:themeFill="accent1" w:themeFillTint="7F"/>
          </w:tcPr>
          <w:p>
            <w:pPr>
              <w:spacing w:line="240" w:lineRule="auto"/>
              <w:ind w:firstLine="0" w:firstLineChars="0"/>
              <w:jc w:val="center"/>
              <w:rPr>
                <w:rFonts w:ascii="仿宋_GB2312"/>
                <w:sz w:val="21"/>
                <w:szCs w:val="24"/>
              </w:rPr>
            </w:pPr>
            <w:r>
              <w:rPr>
                <w:rFonts w:ascii="仿宋_GB2312"/>
                <w:sz w:val="21"/>
                <w:szCs w:val="24"/>
              </w:rPr>
              <w:t>审核未通过</w:t>
            </w:r>
            <w:r>
              <w:rPr>
                <w:rFonts w:hint="eastAsia" w:ascii="仿宋_GB2312"/>
                <w:sz w:val="21"/>
                <w:szCs w:val="24"/>
              </w:rPr>
              <w:t>，</w:t>
            </w:r>
            <w:r>
              <w:rPr>
                <w:rFonts w:ascii="仿宋_GB2312"/>
                <w:sz w:val="21"/>
                <w:szCs w:val="24"/>
              </w:rPr>
              <w:t>无法发布</w:t>
            </w:r>
          </w:p>
        </w:tc>
      </w:tr>
    </w:tbl>
    <w:p>
      <w:pPr>
        <w:ind w:firstLine="0" w:firstLineChars="0"/>
        <w:jc w:val="left"/>
        <w:rPr>
          <w:rFonts w:hint="eastAsia" w:ascii="仿宋_GB2312" w:hAnsi="仿宋_GB2312" w:cs="仿宋_GB2312"/>
          <w:color w:val="000000"/>
          <w:sz w:val="21"/>
          <w:szCs w:val="21"/>
        </w:rPr>
      </w:pPr>
      <w:r>
        <w:rPr>
          <w:rFonts w:hint="eastAsia" w:ascii="仿宋_GB2312" w:hAnsi="仿宋_GB2312" w:cs="仿宋_GB2312"/>
          <w:color w:val="000000"/>
          <w:sz w:val="21"/>
          <w:szCs w:val="21"/>
        </w:rPr>
        <w:t>注：Q为平均风险系数</w:t>
      </w:r>
    </w:p>
    <w:p>
      <w:pPr>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2.患者文章风险控制机制</w:t>
      </w:r>
    </w:p>
    <w:p>
      <w:pPr>
        <w:ind w:firstLine="480"/>
        <w:jc w:val="center"/>
        <w:rPr>
          <w:rFonts w:hint="eastAsia" w:ascii="仿宋_GB2312" w:hAnsi="仿宋_GB2312" w:cs="仿宋_GB2312"/>
          <w:color w:val="000000"/>
          <w:sz w:val="24"/>
          <w:szCs w:val="24"/>
        </w:rPr>
      </w:pPr>
      <w:r>
        <w:rPr>
          <w:rFonts w:ascii="仿宋_GB2312" w:hAnsi="仿宋_GB2312" w:cs="仿宋_GB2312"/>
          <w:color w:val="000000"/>
          <w:sz w:val="24"/>
          <w:szCs w:val="24"/>
        </w:rPr>
        <w:drawing>
          <wp:inline distT="0" distB="0" distL="0" distR="0">
            <wp:extent cx="3771900" cy="1997710"/>
            <wp:effectExtent l="0" t="0" r="0" b="2540"/>
            <wp:docPr id="11" name="图片 11" descr="C:\Users\鲁佳\AppData\Local\Temp\16101695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鲁佳\AppData\Local\Temp\1610169516(1).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75638" cy="1999922"/>
                    </a:xfrm>
                    <a:prstGeom prst="rect">
                      <a:avLst/>
                    </a:prstGeom>
                    <a:noFill/>
                    <a:ln>
                      <a:noFill/>
                    </a:ln>
                  </pic:spPr>
                </pic:pic>
              </a:graphicData>
            </a:graphic>
          </wp:inline>
        </w:drawing>
      </w:r>
    </w:p>
    <w:p>
      <w:pPr>
        <w:ind w:firstLine="0" w:firstLineChars="0"/>
        <w:jc w:val="center"/>
        <w:rPr>
          <w:rFonts w:hint="eastAsia" w:ascii="仿宋_GB2312"/>
          <w:sz w:val="21"/>
          <w:szCs w:val="24"/>
        </w:rPr>
      </w:pPr>
      <w:r>
        <w:rPr>
          <w:rFonts w:hint="eastAsia" w:ascii="仿宋_GB2312"/>
          <w:sz w:val="21"/>
          <w:szCs w:val="24"/>
        </w:rPr>
        <w:t>图9-3患者文章发布的控制机制</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患者发布文章，同医生一样需要经过两级审核。</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一级审核为人工智能审核，患者将文章上传，系统自动检测其内容并评定风险系数。风险总系数为10，若风险系数低于或等于3的文章将进行至二级审核环节，高于3的无法通过本次审核，但发布患者可选择修改内容后重新提交至系统审核，修改三次以上仍未通过机审的则无法发布该内容。</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二级审核为审核团审核，由患者和医生组成审核团，对发布者提交的内容进行随机盲审，审核者与被审核者互相无法得知对方身份。所有患者和医生均可在闲暇时间选择加入此审核团，由系统随机分配审核内容。根据发布患者的等级，系统会将每篇需要发布的文章分别交由10个高一级别的患者和5个同级医生审核。待所有审核者评定出风险系数后，由系统计算出该内容平均风险系数，再根据最终审核结果判定是否发布（如表9-3所示）。</w:t>
      </w:r>
    </w:p>
    <w:p>
      <w:pPr>
        <w:ind w:firstLine="0" w:firstLineChars="0"/>
        <w:jc w:val="center"/>
        <w:rPr>
          <w:rFonts w:hint="eastAsia" w:ascii="仿宋_GB2312"/>
          <w:sz w:val="21"/>
          <w:szCs w:val="24"/>
        </w:rPr>
      </w:pPr>
      <w:r>
        <w:rPr>
          <w:rFonts w:hint="eastAsia" w:ascii="仿宋_GB2312"/>
          <w:sz w:val="21"/>
          <w:szCs w:val="24"/>
        </w:rPr>
        <w:t>表9-2患者文盲审核结果</w:t>
      </w:r>
    </w:p>
    <w:tbl>
      <w:tblPr>
        <w:tblStyle w:val="38"/>
        <w:tblW w:w="0" w:type="auto"/>
        <w:jc w:val="center"/>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single" w:color="84B4DF" w:themeColor="accent1" w:themeTint="BF" w:sz="8" w:space="0"/>
        </w:tblBorders>
        <w:tblLayout w:type="autofit"/>
        <w:tblCellMar>
          <w:top w:w="0" w:type="dxa"/>
          <w:left w:w="108" w:type="dxa"/>
          <w:bottom w:w="0" w:type="dxa"/>
          <w:right w:w="108" w:type="dxa"/>
        </w:tblCellMar>
      </w:tblPr>
      <w:tblGrid>
        <w:gridCol w:w="1134"/>
        <w:gridCol w:w="1134"/>
        <w:gridCol w:w="4762"/>
      </w:tblGrid>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single" w:color="84B4DF" w:themeColor="accent1" w:themeTint="BF" w:sz="8" w:space="0"/>
          </w:tblBorders>
          <w:tblCellMar>
            <w:top w:w="0" w:type="dxa"/>
            <w:left w:w="108" w:type="dxa"/>
            <w:bottom w:w="0" w:type="dxa"/>
            <w:right w:w="108" w:type="dxa"/>
          </w:tblCellMar>
        </w:tblPrEx>
        <w:trPr>
          <w:trHeight w:val="57" w:hRule="atLeast"/>
          <w:jc w:val="center"/>
        </w:trPr>
        <w:tc>
          <w:tcPr>
            <w:tcW w:w="1134" w:type="dxa"/>
            <w:shd w:val="clear" w:color="auto" w:fill="D6E6F4" w:themeFill="accent1" w:themeFillTint="3F"/>
          </w:tcPr>
          <w:p>
            <w:pPr>
              <w:spacing w:line="180" w:lineRule="auto"/>
              <w:ind w:firstLine="0" w:firstLineChars="0"/>
              <w:jc w:val="center"/>
              <w:rPr>
                <w:rFonts w:ascii="仿宋_GB2312"/>
                <w:b/>
                <w:bCs/>
                <w:sz w:val="21"/>
                <w:szCs w:val="24"/>
              </w:rPr>
            </w:pPr>
            <w:r>
              <w:rPr>
                <w:rFonts w:hint="eastAsia" w:ascii="仿宋_GB2312"/>
                <w:b/>
                <w:bCs/>
                <w:sz w:val="21"/>
                <w:szCs w:val="24"/>
              </w:rPr>
              <w:t>高级</w:t>
            </w:r>
            <w:r>
              <w:rPr>
                <w:rFonts w:ascii="仿宋_GB2312"/>
                <w:b/>
                <w:bCs/>
                <w:sz w:val="21"/>
                <w:szCs w:val="24"/>
              </w:rPr>
              <w:t>患者</w:t>
            </w:r>
          </w:p>
        </w:tc>
        <w:tc>
          <w:tcPr>
            <w:tcW w:w="1134" w:type="dxa"/>
            <w:shd w:val="clear" w:color="auto" w:fill="D6E6F4" w:themeFill="accent1" w:themeFillTint="3F"/>
          </w:tcPr>
          <w:p>
            <w:pPr>
              <w:spacing w:line="180" w:lineRule="auto"/>
              <w:ind w:firstLine="0" w:firstLineChars="0"/>
              <w:jc w:val="center"/>
              <w:rPr>
                <w:rFonts w:ascii="仿宋_GB2312"/>
                <w:b/>
                <w:bCs/>
                <w:sz w:val="21"/>
                <w:szCs w:val="24"/>
              </w:rPr>
            </w:pPr>
            <w:r>
              <w:rPr>
                <w:rFonts w:hint="eastAsia" w:ascii="仿宋_GB2312"/>
                <w:b/>
                <w:bCs/>
                <w:sz w:val="21"/>
                <w:szCs w:val="24"/>
              </w:rPr>
              <w:t>同</w:t>
            </w:r>
            <w:r>
              <w:rPr>
                <w:rFonts w:ascii="仿宋_GB2312"/>
                <w:b/>
                <w:bCs/>
                <w:sz w:val="21"/>
                <w:szCs w:val="24"/>
              </w:rPr>
              <w:t>级医生</w:t>
            </w:r>
          </w:p>
        </w:tc>
        <w:tc>
          <w:tcPr>
            <w:tcW w:w="4762" w:type="dxa"/>
            <w:shd w:val="clear" w:color="auto" w:fill="D6E6F4" w:themeFill="accent1" w:themeFillTint="3F"/>
          </w:tcPr>
          <w:p>
            <w:pPr>
              <w:spacing w:line="180" w:lineRule="auto"/>
              <w:ind w:firstLine="0" w:firstLineChars="0"/>
              <w:jc w:val="center"/>
              <w:rPr>
                <w:rFonts w:ascii="仿宋_GB2312"/>
                <w:b/>
                <w:bCs/>
                <w:sz w:val="21"/>
                <w:szCs w:val="24"/>
              </w:rPr>
            </w:pPr>
            <w:r>
              <w:rPr>
                <w:rFonts w:ascii="仿宋_GB2312"/>
                <w:b/>
                <w:bCs/>
                <w:sz w:val="21"/>
                <w:szCs w:val="24"/>
              </w:rPr>
              <w:t>审核结果</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single" w:color="84B4DF" w:themeColor="accent1" w:themeTint="BF" w:sz="8" w:space="0"/>
          </w:tblBorders>
          <w:tblCellMar>
            <w:top w:w="0" w:type="dxa"/>
            <w:left w:w="108" w:type="dxa"/>
            <w:bottom w:w="0" w:type="dxa"/>
            <w:right w:w="108" w:type="dxa"/>
          </w:tblCellMar>
        </w:tblPrEx>
        <w:trPr>
          <w:trHeight w:val="57" w:hRule="atLeast"/>
          <w:jc w:val="center"/>
        </w:trPr>
        <w:tc>
          <w:tcPr>
            <w:tcW w:w="1134" w:type="dxa"/>
            <w:shd w:val="clear" w:color="auto" w:fill="ADCDEA" w:themeFill="accent1" w:themeFillTint="7F"/>
          </w:tcPr>
          <w:p>
            <w:pPr>
              <w:spacing w:line="180" w:lineRule="auto"/>
              <w:ind w:firstLine="0" w:firstLineChars="0"/>
              <w:jc w:val="center"/>
              <w:rPr>
                <w:rFonts w:ascii="仿宋_GB2312"/>
                <w:b/>
                <w:bCs/>
                <w:sz w:val="21"/>
                <w:szCs w:val="24"/>
              </w:rPr>
            </w:pPr>
            <w:r>
              <w:rPr>
                <w:rFonts w:hint="eastAsia" w:ascii="仿宋_GB2312"/>
                <w:b/>
                <w:bCs/>
                <w:sz w:val="21"/>
                <w:szCs w:val="24"/>
              </w:rPr>
              <w:t>Q&lt;=2</w:t>
            </w:r>
          </w:p>
        </w:tc>
        <w:tc>
          <w:tcPr>
            <w:tcW w:w="1134" w:type="dxa"/>
            <w:shd w:val="clear" w:color="auto" w:fill="ADCDEA" w:themeFill="accent1" w:themeFillTint="7F"/>
          </w:tcPr>
          <w:p>
            <w:pPr>
              <w:spacing w:line="180" w:lineRule="auto"/>
              <w:ind w:firstLine="0" w:firstLineChars="0"/>
              <w:jc w:val="center"/>
              <w:rPr>
                <w:rFonts w:ascii="仿宋_GB2312"/>
                <w:sz w:val="21"/>
                <w:szCs w:val="24"/>
              </w:rPr>
            </w:pPr>
            <w:r>
              <w:rPr>
                <w:rFonts w:hint="eastAsia" w:ascii="仿宋_GB2312"/>
                <w:sz w:val="21"/>
                <w:szCs w:val="24"/>
              </w:rPr>
              <w:t>Q&lt;=2</w:t>
            </w:r>
          </w:p>
        </w:tc>
        <w:tc>
          <w:tcPr>
            <w:tcW w:w="4762" w:type="dxa"/>
            <w:shd w:val="clear" w:color="auto" w:fill="ADCDEA" w:themeFill="accent1" w:themeFillTint="7F"/>
          </w:tcPr>
          <w:p>
            <w:pPr>
              <w:spacing w:line="180" w:lineRule="auto"/>
              <w:ind w:firstLine="0" w:firstLineChars="0"/>
              <w:jc w:val="center"/>
              <w:rPr>
                <w:rFonts w:ascii="仿宋_GB2312"/>
                <w:sz w:val="21"/>
                <w:szCs w:val="24"/>
              </w:rPr>
            </w:pPr>
            <w:r>
              <w:rPr>
                <w:rFonts w:ascii="仿宋_GB2312"/>
                <w:sz w:val="21"/>
                <w:szCs w:val="24"/>
              </w:rPr>
              <w:t>审核通过</w:t>
            </w:r>
            <w:r>
              <w:rPr>
                <w:rFonts w:hint="eastAsia" w:ascii="仿宋_GB2312"/>
                <w:sz w:val="21"/>
                <w:szCs w:val="24"/>
              </w:rPr>
              <w:t>，</w:t>
            </w:r>
            <w:r>
              <w:rPr>
                <w:rFonts w:ascii="仿宋_GB2312"/>
                <w:sz w:val="21"/>
                <w:szCs w:val="24"/>
              </w:rPr>
              <w:t>可以发布</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single" w:color="84B4DF" w:themeColor="accent1" w:themeTint="BF" w:sz="8" w:space="0"/>
          </w:tblBorders>
          <w:tblCellMar>
            <w:top w:w="0" w:type="dxa"/>
            <w:left w:w="108" w:type="dxa"/>
            <w:bottom w:w="0" w:type="dxa"/>
            <w:right w:w="108" w:type="dxa"/>
          </w:tblCellMar>
        </w:tblPrEx>
        <w:trPr>
          <w:trHeight w:val="57" w:hRule="atLeast"/>
          <w:jc w:val="center"/>
        </w:trPr>
        <w:tc>
          <w:tcPr>
            <w:tcW w:w="1134" w:type="dxa"/>
            <w:shd w:val="clear" w:color="auto" w:fill="D6E6F4" w:themeFill="accent1" w:themeFillTint="3F"/>
          </w:tcPr>
          <w:p>
            <w:pPr>
              <w:spacing w:line="180" w:lineRule="auto"/>
              <w:ind w:firstLine="0" w:firstLineChars="0"/>
              <w:jc w:val="center"/>
              <w:rPr>
                <w:rFonts w:ascii="仿宋_GB2312"/>
                <w:b/>
                <w:bCs/>
                <w:sz w:val="21"/>
                <w:szCs w:val="24"/>
              </w:rPr>
            </w:pPr>
            <w:r>
              <w:rPr>
                <w:rFonts w:hint="eastAsia" w:ascii="仿宋_GB2312"/>
                <w:b/>
                <w:bCs/>
                <w:sz w:val="21"/>
                <w:szCs w:val="24"/>
              </w:rPr>
              <w:t>2&lt;Q&lt;=3</w:t>
            </w:r>
          </w:p>
        </w:tc>
        <w:tc>
          <w:tcPr>
            <w:tcW w:w="1134" w:type="dxa"/>
            <w:shd w:val="clear" w:color="auto" w:fill="D6E6F4" w:themeFill="accent1" w:themeFillTint="3F"/>
          </w:tcPr>
          <w:p>
            <w:pPr>
              <w:spacing w:line="180" w:lineRule="auto"/>
              <w:ind w:firstLine="0" w:firstLineChars="0"/>
              <w:jc w:val="center"/>
              <w:rPr>
                <w:rFonts w:ascii="仿宋_GB2312"/>
                <w:sz w:val="21"/>
                <w:szCs w:val="24"/>
              </w:rPr>
            </w:pPr>
            <w:r>
              <w:rPr>
                <w:rFonts w:hint="eastAsia" w:ascii="仿宋_GB2312"/>
                <w:sz w:val="21"/>
                <w:szCs w:val="24"/>
              </w:rPr>
              <w:t>1&lt;Q&lt;=2</w:t>
            </w:r>
          </w:p>
        </w:tc>
        <w:tc>
          <w:tcPr>
            <w:tcW w:w="4762" w:type="dxa"/>
            <w:shd w:val="clear" w:color="auto" w:fill="D6E6F4" w:themeFill="accent1" w:themeFillTint="3F"/>
          </w:tcPr>
          <w:p>
            <w:pPr>
              <w:spacing w:line="180" w:lineRule="auto"/>
              <w:ind w:firstLine="0" w:firstLineChars="0"/>
              <w:jc w:val="center"/>
              <w:rPr>
                <w:rFonts w:ascii="仿宋_GB2312"/>
                <w:sz w:val="21"/>
                <w:szCs w:val="24"/>
              </w:rPr>
            </w:pPr>
            <w:r>
              <w:rPr>
                <w:rFonts w:ascii="仿宋_GB2312"/>
                <w:sz w:val="21"/>
                <w:szCs w:val="24"/>
              </w:rPr>
              <w:t>审核结果不一致</w:t>
            </w:r>
            <w:r>
              <w:rPr>
                <w:rFonts w:hint="eastAsia" w:ascii="仿宋_GB2312"/>
                <w:sz w:val="21"/>
                <w:szCs w:val="24"/>
              </w:rPr>
              <w:t>，</w:t>
            </w:r>
            <w:r>
              <w:rPr>
                <w:rFonts w:ascii="仿宋_GB2312"/>
                <w:sz w:val="21"/>
                <w:szCs w:val="24"/>
              </w:rPr>
              <w:t>需要交由其他高级医生重新审核</w:t>
            </w:r>
          </w:p>
        </w:tc>
      </w:tr>
      <w:tr>
        <w:tblPrEx>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single" w:color="84B4DF" w:themeColor="accent1" w:themeTint="BF" w:sz="8" w:space="0"/>
          </w:tblBorders>
          <w:tblCellMar>
            <w:top w:w="0" w:type="dxa"/>
            <w:left w:w="108" w:type="dxa"/>
            <w:bottom w:w="0" w:type="dxa"/>
            <w:right w:w="108" w:type="dxa"/>
          </w:tblCellMar>
        </w:tblPrEx>
        <w:trPr>
          <w:trHeight w:val="57" w:hRule="atLeast"/>
          <w:jc w:val="center"/>
        </w:trPr>
        <w:tc>
          <w:tcPr>
            <w:tcW w:w="1134" w:type="dxa"/>
            <w:shd w:val="clear" w:color="auto" w:fill="ADCDEA" w:themeFill="accent1" w:themeFillTint="7F"/>
          </w:tcPr>
          <w:p>
            <w:pPr>
              <w:spacing w:line="180" w:lineRule="auto"/>
              <w:ind w:firstLine="0" w:firstLineChars="0"/>
              <w:jc w:val="center"/>
              <w:rPr>
                <w:rFonts w:ascii="仿宋_GB2312"/>
                <w:b/>
                <w:bCs/>
                <w:sz w:val="21"/>
                <w:szCs w:val="24"/>
              </w:rPr>
            </w:pPr>
            <w:r>
              <w:rPr>
                <w:rFonts w:hint="eastAsia" w:ascii="仿宋_GB2312"/>
                <w:b/>
                <w:bCs/>
                <w:sz w:val="21"/>
                <w:szCs w:val="24"/>
              </w:rPr>
              <w:t>Q&gt;3</w:t>
            </w:r>
          </w:p>
        </w:tc>
        <w:tc>
          <w:tcPr>
            <w:tcW w:w="1134" w:type="dxa"/>
            <w:shd w:val="clear" w:color="auto" w:fill="ADCDEA" w:themeFill="accent1" w:themeFillTint="7F"/>
          </w:tcPr>
          <w:p>
            <w:pPr>
              <w:spacing w:line="180" w:lineRule="auto"/>
              <w:ind w:firstLine="0" w:firstLineChars="0"/>
              <w:jc w:val="center"/>
              <w:rPr>
                <w:rFonts w:ascii="仿宋_GB2312"/>
                <w:sz w:val="21"/>
                <w:szCs w:val="24"/>
              </w:rPr>
            </w:pPr>
            <w:r>
              <w:rPr>
                <w:rFonts w:hint="eastAsia" w:ascii="仿宋_GB2312"/>
                <w:sz w:val="21"/>
                <w:szCs w:val="24"/>
              </w:rPr>
              <w:t>Q&gt;2</w:t>
            </w:r>
          </w:p>
        </w:tc>
        <w:tc>
          <w:tcPr>
            <w:tcW w:w="4762" w:type="dxa"/>
            <w:shd w:val="clear" w:color="auto" w:fill="ADCDEA" w:themeFill="accent1" w:themeFillTint="7F"/>
          </w:tcPr>
          <w:p>
            <w:pPr>
              <w:spacing w:line="180" w:lineRule="auto"/>
              <w:ind w:firstLine="0" w:firstLineChars="0"/>
              <w:jc w:val="center"/>
              <w:rPr>
                <w:rFonts w:ascii="仿宋_GB2312"/>
                <w:sz w:val="21"/>
                <w:szCs w:val="24"/>
              </w:rPr>
            </w:pPr>
            <w:r>
              <w:rPr>
                <w:rFonts w:ascii="仿宋_GB2312"/>
                <w:sz w:val="21"/>
                <w:szCs w:val="24"/>
              </w:rPr>
              <w:t>审核未通过</w:t>
            </w:r>
            <w:r>
              <w:rPr>
                <w:rFonts w:hint="eastAsia" w:ascii="仿宋_GB2312"/>
                <w:sz w:val="21"/>
                <w:szCs w:val="24"/>
              </w:rPr>
              <w:t>，</w:t>
            </w:r>
            <w:r>
              <w:rPr>
                <w:rFonts w:ascii="仿宋_GB2312"/>
                <w:sz w:val="21"/>
                <w:szCs w:val="24"/>
              </w:rPr>
              <w:t>无法发布</w:t>
            </w:r>
          </w:p>
        </w:tc>
      </w:tr>
    </w:tbl>
    <w:p>
      <w:pPr>
        <w:ind w:firstLine="0" w:firstLineChars="0"/>
        <w:jc w:val="left"/>
        <w:rPr>
          <w:rFonts w:hint="eastAsia" w:ascii="仿宋_GB2312" w:hAnsi="仿宋_GB2312" w:cs="仿宋_GB2312"/>
          <w:color w:val="000000"/>
          <w:sz w:val="21"/>
          <w:szCs w:val="21"/>
        </w:rPr>
      </w:pPr>
      <w:r>
        <w:rPr>
          <w:rFonts w:hint="eastAsia" w:ascii="仿宋_GB2312" w:hAnsi="仿宋_GB2312" w:cs="仿宋_GB2312"/>
          <w:color w:val="000000"/>
          <w:sz w:val="21"/>
          <w:szCs w:val="21"/>
        </w:rPr>
        <w:t>注：Q为平均风险系数</w:t>
      </w:r>
    </w:p>
    <w:p>
      <w:pPr>
        <w:tabs>
          <w:tab w:val="center" w:pos="4434"/>
        </w:tabs>
        <w:spacing w:line="500" w:lineRule="exact"/>
        <w:ind w:firstLine="0" w:firstLineChars="0"/>
        <w:jc w:val="left"/>
        <w:outlineLvl w:val="2"/>
        <w:rPr>
          <w:rFonts w:hint="eastAsia" w:ascii="黑体" w:hAnsi="黑体" w:eastAsia="黑体" w:cs="Times New Roman"/>
        </w:rPr>
      </w:pPr>
      <w:bookmarkStart w:id="186" w:name="_Toc61100274"/>
      <w:r>
        <w:rPr>
          <w:rFonts w:hint="eastAsia" w:ascii="黑体" w:hAnsi="黑体" w:eastAsia="黑体" w:cs="Times New Roman"/>
        </w:rPr>
        <w:t>9.3.3严格审查医生执业资格</w:t>
      </w:r>
      <w:bookmarkEnd w:id="186"/>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入驻平台的医生必须毕业于全日制临床医学本科、且具备执业医师资格证，以及医生在医院工作的在岗证明。平台必须对医生的信息资料进行严格审核，防止资质不合格的医生入驻平台，给用户健康带来威胁，同时对APP形象造成负面影响，影响用户对APP的信任度。</w:t>
      </w:r>
    </w:p>
    <w:p>
      <w:pPr>
        <w:tabs>
          <w:tab w:val="center" w:pos="4434"/>
        </w:tabs>
        <w:spacing w:line="500" w:lineRule="exact"/>
        <w:ind w:firstLine="0" w:firstLineChars="0"/>
        <w:jc w:val="left"/>
        <w:outlineLvl w:val="2"/>
        <w:rPr>
          <w:rFonts w:hint="eastAsia" w:ascii="黑体" w:hAnsi="黑体" w:eastAsia="黑体" w:cs="Times New Roman"/>
        </w:rPr>
      </w:pPr>
      <w:bookmarkStart w:id="187" w:name="_Toc61100275"/>
      <w:r>
        <w:rPr>
          <w:rFonts w:hint="eastAsia" w:ascii="黑体" w:hAnsi="黑体" w:eastAsia="黑体" w:cs="Times New Roman"/>
        </w:rPr>
        <w:t>9.3.4建立用户诚信档案，采用线上担保交易机制。</w:t>
      </w:r>
      <w:bookmarkEnd w:id="187"/>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用户注册APP需要填写详细的个人资料，建立诚信档案。在日后使用APP的过程中，用户若出现失信行为，则自动记入诚信档案。平台和医生可查看用户档案并采取相应的防范措施，减少用户欺诈行为的发生。此外，平台还采用担保交易机制，用户付费使用医生提供的医疗服务后，其所支付的费用将进入第三方平台并由第三方平台担保。等待用户评价反馈之后，若用户无退款意愿，此费用才进入医生账户，此举有利于解决用户的退款纠纷。</w:t>
      </w:r>
    </w:p>
    <w:p>
      <w:pPr>
        <w:tabs>
          <w:tab w:val="center" w:pos="4434"/>
        </w:tabs>
        <w:spacing w:line="500" w:lineRule="exact"/>
        <w:ind w:firstLine="0" w:firstLineChars="0"/>
        <w:jc w:val="left"/>
        <w:outlineLvl w:val="2"/>
        <w:rPr>
          <w:rFonts w:hint="eastAsia" w:ascii="黑体" w:hAnsi="黑体" w:eastAsia="黑体" w:cs="Times New Roman"/>
        </w:rPr>
      </w:pPr>
      <w:bookmarkStart w:id="188" w:name="_Toc61100276"/>
      <w:r>
        <w:rPr>
          <w:rFonts w:hint="eastAsia" w:ascii="黑体" w:hAnsi="黑体" w:eastAsia="黑体" w:cs="Times New Roman"/>
        </w:rPr>
        <w:t>9.3.5制定医生空闲时间表</w:t>
      </w:r>
      <w:bookmarkEnd w:id="188"/>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通过制定医生空闲时间表最大程度上利用医生的空闲时间。入驻平台的医生们每周末须填写下周的空闲时间表并提交至系统，并严格按照该时间表上线营业。为避免突发情况，每位医生每周有两次修改时间表的机会（包括请假）。在营业时间未上线的医生将会受到平台处罚，若有特殊情况例如身体状态不佳，经平台核实后可撤销处罚。</w:t>
      </w:r>
    </w:p>
    <w:p>
      <w:pPr>
        <w:tabs>
          <w:tab w:val="center" w:pos="4434"/>
        </w:tabs>
        <w:spacing w:line="500" w:lineRule="exact"/>
        <w:ind w:firstLine="0" w:firstLineChars="0"/>
        <w:jc w:val="left"/>
        <w:outlineLvl w:val="2"/>
        <w:rPr>
          <w:rFonts w:hint="eastAsia" w:ascii="黑体" w:hAnsi="黑体" w:eastAsia="黑体" w:cs="Times New Roman"/>
        </w:rPr>
      </w:pPr>
      <w:bookmarkStart w:id="189" w:name="_Toc61100277"/>
      <w:r>
        <w:rPr>
          <w:rFonts w:hint="eastAsia" w:ascii="黑体" w:hAnsi="黑体" w:eastAsia="黑体" w:cs="Times New Roman"/>
        </w:rPr>
        <w:t>9.3.6设计竞争性分级免费策略</w:t>
      </w:r>
      <w:bookmarkEnd w:id="189"/>
    </w:p>
    <w:p>
      <w:pPr>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1.减少市场推广风险，降低推广成本。</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利用分级免费策略，以免费吸引用户，降低进入市场的门槛，在较短的时间内获得APP下载量和用户注册量，从而为后面的医疗生态建设提供基础。同时，激励患者向周围朋友推荐平台，有效降低APP推广和营销成本。</w:t>
      </w:r>
    </w:p>
    <w:p>
      <w:pPr>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2.激励用户分享知识，提高活跃程度。</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通过对医生的竞争性分级免费策略设计激励医生分享知识、为患者提供更好的服务、为新医生提供学习的机会；通过竞争性分级免费策略设计，吸引中老年用户注册，获取流量，提高关注度，并激励患者奉献有价值的医疗经历和治疗经验，从而将平台打造成知识分享、医疗资源良性循环的生态圈。</w:t>
      </w:r>
    </w:p>
    <w:p>
      <w:pPr>
        <w:ind w:firstLine="482"/>
        <w:jc w:val="left"/>
        <w:rPr>
          <w:rFonts w:hint="eastAsia" w:ascii="仿宋_GB2312" w:hAnsi="仿宋_GB2312" w:cs="仿宋_GB2312"/>
          <w:b/>
          <w:color w:val="000000"/>
          <w:sz w:val="24"/>
          <w:szCs w:val="24"/>
        </w:rPr>
      </w:pPr>
      <w:r>
        <w:rPr>
          <w:rFonts w:ascii="仿宋_GB2312" w:hAnsi="仿宋_GB2312" w:cs="仿宋_GB2312"/>
          <w:b/>
          <w:color w:val="000000"/>
          <w:sz w:val="24"/>
          <w:szCs w:val="24"/>
        </w:rPr>
        <w:t xml:space="preserve"> </w:t>
      </w:r>
      <w:r>
        <w:rPr>
          <w:rFonts w:hint="eastAsia" w:ascii="仿宋_GB2312" w:hAnsi="仿宋_GB2312" w:cs="仿宋_GB2312"/>
          <w:b/>
          <w:color w:val="000000"/>
          <w:sz w:val="24"/>
          <w:szCs w:val="24"/>
        </w:rPr>
        <w:t>3.优化医患关系</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通过知识分享和信息共享建立参与方的互信，提升患者的自我防治的知识水平，提高新医生的诊疗能力，延续退休医生的知识价值，更易于减少误会和更好地处理医患关系，实现精准医疗。</w:t>
      </w:r>
    </w:p>
    <w:p>
      <w:pPr>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4.整合医疗资源</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通过分级免费策略实现同级医患免费问诊，以免费推动患者关注同级医生。线上整合医生资源，让每一位医生都可以充分利用时间，发挥自身价值。</w:t>
      </w:r>
    </w:p>
    <w:p>
      <w:pPr>
        <w:tabs>
          <w:tab w:val="center" w:pos="4434"/>
        </w:tabs>
        <w:spacing w:line="500" w:lineRule="exact"/>
        <w:ind w:firstLine="0" w:firstLineChars="0"/>
        <w:jc w:val="left"/>
        <w:outlineLvl w:val="2"/>
        <w:rPr>
          <w:rFonts w:hint="eastAsia" w:ascii="黑体" w:hAnsi="黑体" w:eastAsia="黑体" w:cs="Times New Roman"/>
        </w:rPr>
      </w:pPr>
      <w:bookmarkStart w:id="190" w:name="_Toc61100278"/>
      <w:r>
        <w:rPr>
          <w:rFonts w:hint="eastAsia" w:ascii="黑体" w:hAnsi="黑体" w:eastAsia="黑体" w:cs="Times New Roman"/>
        </w:rPr>
        <w:t>9.3.7平台信任监督机制设定</w:t>
      </w:r>
      <w:bookmarkEnd w:id="190"/>
    </w:p>
    <w:p>
      <w:pPr>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1.举报机制和后台监督机制</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对于在平台上发布非正当信息（如推送广告，发布虚假信息等其他危害社会健康带来不良影响的信息）的行为，本平台采用举报和后台监督的双监督机制，一经发现会拉黑用户，冻结用户在平台上的账户，严重者移交相关司法机构处置，以此为用户创造一个健康友好清洁的环境。</w:t>
      </w:r>
    </w:p>
    <w:p>
      <w:pPr>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2.双向服务评价机制</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一是患者每次咨询结束之后，系统都会提示患者对医生进行星级打分，用户也可以自由填写评论。系统后台会根据用户提供的信息对医生进行评分，方便患者在选择医生时提供一定依据；二是根据医生服务质量进行评分并分级，对于不能及时交单茫目接单的服务提供者给予差评，并在后期服务过程中带来信誉影响。同时，医生也可以对患者进行评价，举报蓄意捣乱挑衅侮辱的患者。采用双向服务评价机制可以有效提高服务质量，提升有效性，形成持续性和可依赖性。</w:t>
      </w:r>
    </w:p>
    <w:p>
      <w:pPr>
        <w:tabs>
          <w:tab w:val="center" w:pos="4434"/>
        </w:tabs>
        <w:spacing w:line="500" w:lineRule="exact"/>
        <w:ind w:firstLine="0" w:firstLineChars="0"/>
        <w:jc w:val="left"/>
        <w:outlineLvl w:val="2"/>
        <w:rPr>
          <w:rFonts w:hint="eastAsia" w:ascii="黑体" w:hAnsi="黑体" w:eastAsia="黑体" w:cs="Times New Roman"/>
        </w:rPr>
      </w:pPr>
      <w:bookmarkStart w:id="191" w:name="_Toc61100279"/>
      <w:r>
        <w:rPr>
          <w:rFonts w:hint="eastAsia" w:ascii="黑体" w:hAnsi="黑体" w:eastAsia="黑体" w:cs="Times New Roman"/>
        </w:rPr>
        <w:t>9.3.8仔细研读国家相关的法律法规</w:t>
      </w:r>
      <w:bookmarkEnd w:id="191"/>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随着政府持续推进公立医院改革进程加快、相关行业法律法规的完善和规范，移动医疗APP使用的外部环境将会得到优化，风险系数的降低将会渐渐打消用户的使用疑虑。除此之外，作为平台管理者，我们也会实时关注国家相关的法律法规，打造一个合乎国家法律法规的移动医疗服务平台，减少国家政策变动给APP带来的隐患。</w:t>
      </w:r>
    </w:p>
    <w:p>
      <w:pPr>
        <w:tabs>
          <w:tab w:val="center" w:pos="4434"/>
        </w:tabs>
        <w:spacing w:line="500" w:lineRule="exact"/>
        <w:ind w:firstLine="0" w:firstLineChars="0"/>
        <w:jc w:val="left"/>
        <w:outlineLvl w:val="2"/>
        <w:rPr>
          <w:rFonts w:hint="eastAsia" w:ascii="黑体" w:hAnsi="黑体" w:eastAsia="黑体" w:cs="Times New Roman"/>
        </w:rPr>
      </w:pPr>
      <w:bookmarkStart w:id="192" w:name="_Toc61100280"/>
      <w:r>
        <w:rPr>
          <w:rFonts w:hint="eastAsia" w:ascii="黑体" w:hAnsi="黑体" w:eastAsia="黑体" w:cs="Times New Roman"/>
        </w:rPr>
        <w:t>9.3.9提高管理团队的管理水平</w:t>
      </w:r>
      <w:bookmarkEnd w:id="192"/>
    </w:p>
    <w:p>
      <w:pPr>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1.提高团队协作能力</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公司应促进团队成员间的优势互补，交流学习，充分发挥团队精神。提高团队成员在不同岗位上各尽所能，与其他成员协调合作的能力。</w:t>
      </w:r>
    </w:p>
    <w:p>
      <w:pPr>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2.培训线下回访人员</w:t>
      </w:r>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公司应对线下回访人员建立完整的培训机制，提高回访人员的业务能力，端正工作态度，保证回访信息的真实有效性。</w:t>
      </w:r>
    </w:p>
    <w:p>
      <w:pPr>
        <w:pStyle w:val="83"/>
        <w:ind w:firstLine="180" w:firstLineChars="45"/>
        <w:outlineLvl w:val="0"/>
        <w:rPr>
          <w:rFonts w:ascii="黑体" w:hAnsi="黑体" w:eastAsia="黑体"/>
          <w:sz w:val="40"/>
          <w:szCs w:val="40"/>
        </w:rPr>
        <w:sectPr>
          <w:pgSz w:w="11906" w:h="16838"/>
          <w:pgMar w:top="1440" w:right="1800" w:bottom="1440" w:left="1800" w:header="851" w:footer="992" w:gutter="0"/>
          <w:cols w:space="425" w:num="1"/>
          <w:docGrid w:type="lines" w:linePitch="381" w:charSpace="0"/>
        </w:sectPr>
      </w:pPr>
    </w:p>
    <w:p>
      <w:pPr>
        <w:pStyle w:val="83"/>
        <w:ind w:firstLine="180" w:firstLineChars="45"/>
        <w:outlineLvl w:val="0"/>
        <w:rPr>
          <w:rFonts w:hint="eastAsia" w:ascii="黑体" w:hAnsi="黑体" w:eastAsia="黑体"/>
          <w:sz w:val="40"/>
          <w:szCs w:val="40"/>
        </w:rPr>
      </w:pPr>
      <w:bookmarkStart w:id="193" w:name="_Toc61100281"/>
      <w:r>
        <w:rPr>
          <w:rFonts w:hint="eastAsia" w:ascii="黑体" w:hAnsi="黑体" w:eastAsia="黑体"/>
          <w:sz w:val="40"/>
          <w:szCs w:val="40"/>
        </w:rPr>
        <w:t>第十章 风险资本退出</w:t>
      </w:r>
      <w:bookmarkEnd w:id="193"/>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风险投资的退出机制是风险投资运作过程的最后也是至关重要的环节。风险投资的退出机制是否完善有效，退出方式的选择是否适当，是决定风险投资能否获得成功的关键所在。</w:t>
      </w:r>
    </w:p>
    <w:p>
      <w:pPr>
        <w:ind w:firstLine="480"/>
        <w:jc w:val="left"/>
        <w:rPr>
          <w:rFonts w:hint="eastAsia" w:ascii="仿宋_GB2312" w:hAnsi="仿宋_GB2312" w:cs="仿宋_GB2312"/>
          <w:color w:val="000000"/>
          <w:sz w:val="24"/>
          <w:szCs w:val="24"/>
        </w:rPr>
      </w:pPr>
    </w:p>
    <w:p>
      <w:pPr>
        <w:pStyle w:val="84"/>
        <w:ind w:firstLine="0" w:firstLineChars="0"/>
        <w:outlineLvl w:val="1"/>
        <w:rPr>
          <w:rFonts w:ascii="黑体" w:hAnsi="黑体"/>
          <w:b w:val="0"/>
          <w:sz w:val="30"/>
          <w:szCs w:val="30"/>
        </w:rPr>
      </w:pPr>
      <w:bookmarkStart w:id="194" w:name="_Toc61100282"/>
      <w:r>
        <w:rPr>
          <w:rFonts w:ascii="黑体" w:hAnsi="黑体"/>
          <w:b w:val="0"/>
          <w:sz w:val="30"/>
          <w:szCs w:val="30"/>
        </w:rPr>
        <w:t>10.1IPO</w:t>
      </w:r>
      <w:bookmarkEnd w:id="194"/>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公开上市(InitialPublicOffering，简称“IPO”)，是指将企业改组为上市公司，风险投资的股份通过资本市场第一次向公众发行，从而实现投资回收和资本增值。公司属于极具发展前景和增长潜力的移动医疗企业。若公司经营顺利，顺利打开市场，5-8年内可以争取在创业板块上市，向一般公众发行企业的证券。公开上市是风险资本最理想的退出渠道，其投资收益也较其他风险资本退出方式更高。</w:t>
      </w:r>
    </w:p>
    <w:p>
      <w:pPr>
        <w:ind w:firstLine="480"/>
        <w:jc w:val="left"/>
        <w:rPr>
          <w:rFonts w:hint="eastAsia" w:ascii="仿宋_GB2312" w:hAnsi="仿宋_GB2312" w:cs="仿宋_GB2312"/>
          <w:color w:val="000000"/>
          <w:sz w:val="24"/>
          <w:szCs w:val="24"/>
        </w:rPr>
      </w:pPr>
    </w:p>
    <w:p>
      <w:pPr>
        <w:pStyle w:val="84"/>
        <w:ind w:firstLine="0" w:firstLineChars="0"/>
        <w:outlineLvl w:val="1"/>
        <w:rPr>
          <w:rFonts w:hint="eastAsia" w:ascii="黑体" w:hAnsi="黑体"/>
          <w:b w:val="0"/>
          <w:sz w:val="30"/>
          <w:szCs w:val="30"/>
        </w:rPr>
      </w:pPr>
      <w:bookmarkStart w:id="195" w:name="_Toc61100283"/>
      <w:r>
        <w:rPr>
          <w:rFonts w:hint="eastAsia" w:ascii="黑体" w:hAnsi="黑体"/>
          <w:b w:val="0"/>
          <w:sz w:val="30"/>
          <w:szCs w:val="30"/>
        </w:rPr>
        <w:t>10.2产权转让</w:t>
      </w:r>
      <w:bookmarkEnd w:id="195"/>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产权转让是指财产所有权和经营权的有偿转让。即两个以上的企业，其财产所有权和支配权随着买卖关系或者合同关系合并在一起，卖方企业的所有者收回财产的货币价值，但对其实物资产的所有权和支配权伴随着买卖过程或者签约过程的结束而消失，转入买方企业。</w:t>
      </w:r>
    </w:p>
    <w:p>
      <w:pPr>
        <w:tabs>
          <w:tab w:val="center" w:pos="4434"/>
        </w:tabs>
        <w:spacing w:line="500" w:lineRule="exact"/>
        <w:ind w:firstLine="0" w:firstLineChars="0"/>
        <w:jc w:val="left"/>
        <w:outlineLvl w:val="2"/>
        <w:rPr>
          <w:rFonts w:hint="eastAsia" w:ascii="黑体" w:hAnsi="黑体" w:eastAsia="黑体" w:cs="Times New Roman"/>
        </w:rPr>
      </w:pPr>
      <w:bookmarkStart w:id="196" w:name="_Toc61100284"/>
      <w:r>
        <w:rPr>
          <w:rFonts w:hint="eastAsia" w:ascii="黑体" w:hAnsi="黑体" w:eastAsia="黑体" w:cs="Times New Roman"/>
        </w:rPr>
        <w:t>10.2.1股权转让</w:t>
      </w:r>
      <w:bookmarkEnd w:id="196"/>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风险投资商把持有的股份转让给其他股东或者外部投资者，这是近年来我国现阶段风险投资退出方式中一种操作性较强的方式。通过将所持股份转让给战略投资者或其他创业投资机构的方式实现投资退出，由于并不影响所投资企业的股权结构，所以，操作起来比较简便，被投资企业也比较欢迎。在四年后的任何时间，如果有一个难得的出售股份的机遇，且价格水平符合风险投资公司的要求，风险投资公司也可利用这一机遇，在保证该价格水准的前提下，把所拥有的权益转卖第三者。</w:t>
      </w:r>
    </w:p>
    <w:p>
      <w:pPr>
        <w:tabs>
          <w:tab w:val="center" w:pos="4434"/>
        </w:tabs>
        <w:spacing w:line="500" w:lineRule="exact"/>
        <w:ind w:firstLine="0" w:firstLineChars="0"/>
        <w:jc w:val="left"/>
        <w:outlineLvl w:val="2"/>
        <w:rPr>
          <w:rFonts w:hint="eastAsia" w:ascii="黑体" w:hAnsi="黑体" w:eastAsia="黑体" w:cs="Times New Roman"/>
        </w:rPr>
      </w:pPr>
      <w:bookmarkStart w:id="197" w:name="_Toc61100285"/>
      <w:r>
        <w:rPr>
          <w:rFonts w:hint="eastAsia" w:ascii="黑体" w:hAnsi="黑体" w:eastAsia="黑体" w:cs="Times New Roman"/>
        </w:rPr>
        <w:t>10.2.2吸收合并</w:t>
      </w:r>
      <w:bookmarkEnd w:id="197"/>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吸收合并是指合并方通过企业合并取得被合并方的全部净资产，合并后注销被合并方的法人资格，被合并方原持有的资产、负债，在合并后成为合并方的资产、负债。对处于困境中的中小企业，卖断产权不失为一条出路。</w:t>
      </w:r>
    </w:p>
    <w:p>
      <w:pPr>
        <w:tabs>
          <w:tab w:val="center" w:pos="4434"/>
        </w:tabs>
        <w:spacing w:line="500" w:lineRule="exact"/>
        <w:ind w:firstLine="0" w:firstLineChars="0"/>
        <w:jc w:val="left"/>
        <w:outlineLvl w:val="2"/>
        <w:rPr>
          <w:rFonts w:hint="eastAsia" w:ascii="黑体" w:hAnsi="黑体" w:eastAsia="黑体" w:cs="Times New Roman"/>
        </w:rPr>
      </w:pPr>
      <w:bookmarkStart w:id="198" w:name="_Toc61100286"/>
      <w:r>
        <w:rPr>
          <w:rFonts w:hint="eastAsia" w:ascii="黑体" w:hAnsi="黑体" w:eastAsia="黑体" w:cs="Times New Roman"/>
        </w:rPr>
        <w:t>10.2.3风险企业买进</w:t>
      </w:r>
      <w:bookmarkEnd w:id="198"/>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风险企业买进是风险资本退出的另外一条途径。企业发展到一定阶段，各方面风险不断降低，技术、市场等优势逐步显现，企业前景趋向明朗。此时有意向进入移动医疗领域的公司可以通过收购的方式介入。将拥有的股份转卖给风险企业所卖价款一般低于IPO，但费用少时间短，便于操作。风险企业将股份买入，则风险投资家成功撤出资本。</w:t>
      </w:r>
    </w:p>
    <w:p>
      <w:pPr>
        <w:ind w:firstLine="480"/>
        <w:jc w:val="left"/>
        <w:rPr>
          <w:rFonts w:hint="eastAsia" w:ascii="仿宋_GB2312" w:hAnsi="仿宋_GB2312" w:cs="仿宋_GB2312"/>
          <w:color w:val="000000"/>
          <w:sz w:val="24"/>
          <w:szCs w:val="24"/>
        </w:rPr>
      </w:pPr>
    </w:p>
    <w:p>
      <w:pPr>
        <w:pStyle w:val="84"/>
        <w:ind w:firstLine="0" w:firstLineChars="0"/>
        <w:outlineLvl w:val="1"/>
        <w:rPr>
          <w:rFonts w:hint="eastAsia" w:ascii="黑体" w:hAnsi="黑体"/>
          <w:b w:val="0"/>
          <w:sz w:val="30"/>
          <w:szCs w:val="30"/>
        </w:rPr>
      </w:pPr>
      <w:bookmarkStart w:id="199" w:name="_Toc61100287"/>
      <w:r>
        <w:rPr>
          <w:rFonts w:hint="eastAsia" w:ascii="黑体" w:hAnsi="黑体"/>
          <w:b w:val="0"/>
          <w:sz w:val="30"/>
          <w:szCs w:val="30"/>
        </w:rPr>
        <w:t>10.3经营者回购</w:t>
      </w:r>
      <w:bookmarkEnd w:id="199"/>
    </w:p>
    <w:p>
      <w:pPr>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公司股东或员工在拥有或可筹集大量资金的情况下，可以通过赎回风险投资家的股份来达到拥有企业控制权从而保持企业的独立性的目的。这种方式既可以给企业管理者和员工更大的控制权力，又可以充分激发他们的责任心和进取心，调动他们的积极性。我们公司具备可观的盈利能力和良好的前景，因此，股份赎回不失为我公司可以采取的一种风险投资的退出方式。</w:t>
      </w:r>
    </w:p>
    <w:p>
      <w:pPr>
        <w:ind w:firstLine="480"/>
        <w:jc w:val="left"/>
        <w:rPr>
          <w:rFonts w:hint="eastAsia" w:ascii="仿宋_GB2312" w:hAnsi="仿宋_GB2312" w:cs="仿宋_GB2312"/>
          <w:color w:val="000000"/>
          <w:sz w:val="24"/>
          <w:szCs w:val="24"/>
        </w:rPr>
      </w:pPr>
    </w:p>
    <w:p>
      <w:pPr>
        <w:pStyle w:val="84"/>
        <w:ind w:firstLine="0" w:firstLineChars="0"/>
        <w:outlineLvl w:val="1"/>
        <w:rPr>
          <w:rFonts w:hint="eastAsia" w:ascii="黑体" w:hAnsi="黑体"/>
          <w:b w:val="0"/>
          <w:sz w:val="30"/>
          <w:szCs w:val="30"/>
        </w:rPr>
      </w:pPr>
      <w:bookmarkStart w:id="200" w:name="_Toc61100288"/>
      <w:r>
        <w:rPr>
          <w:rFonts w:hint="eastAsia" w:ascii="黑体" w:hAnsi="黑体"/>
          <w:b w:val="0"/>
          <w:sz w:val="30"/>
          <w:szCs w:val="30"/>
        </w:rPr>
        <w:t>10.4破产清算</w:t>
      </w:r>
      <w:bookmarkEnd w:id="200"/>
    </w:p>
    <w:p>
      <w:pPr>
        <w:ind w:firstLine="480"/>
        <w:jc w:val="left"/>
        <w:rPr>
          <w:rFonts w:ascii="仿宋_GB2312" w:hAnsi="仿宋_GB2312" w:cs="仿宋_GB2312"/>
          <w:color w:val="000000"/>
          <w:sz w:val="24"/>
          <w:szCs w:val="24"/>
        </w:rPr>
        <w:sectPr>
          <w:pgSz w:w="11906" w:h="16838"/>
          <w:pgMar w:top="1440" w:right="1800" w:bottom="1440" w:left="1800" w:header="851" w:footer="992" w:gutter="0"/>
          <w:cols w:space="425" w:num="1"/>
          <w:docGrid w:type="lines" w:linePitch="381" w:charSpace="0"/>
        </w:sectPr>
      </w:pPr>
      <w:r>
        <w:rPr>
          <w:rFonts w:hint="eastAsia" w:ascii="仿宋_GB2312" w:hAnsi="仿宋_GB2312" w:cs="仿宋_GB2312"/>
          <w:color w:val="000000"/>
          <w:sz w:val="24"/>
          <w:szCs w:val="24"/>
        </w:rPr>
        <w:t>公司生产和经营市场前景广大，但出于为风险投资商负责的严谨态度，我们承诺如果公司到期不能支付，将采取撤出风险投资，清算破产的方式。投资各方以出资额为限，按出资比例承担债务，分配公司清算财产。</w:t>
      </w:r>
    </w:p>
    <w:p>
      <w:pPr>
        <w:pStyle w:val="83"/>
        <w:ind w:firstLine="108" w:firstLineChars="45"/>
        <w:outlineLvl w:val="0"/>
        <w:rPr>
          <w:rFonts w:hint="eastAsia" w:ascii="黑体" w:hAnsi="黑体" w:eastAsia="黑体"/>
          <w:sz w:val="40"/>
          <w:szCs w:val="40"/>
        </w:rPr>
      </w:pPr>
      <w:bookmarkStart w:id="201" w:name="_Toc61100289"/>
      <w:r>
        <w:rPr>
          <w:rFonts w:ascii="仿宋_GB2312" w:hAnsi="仿宋_GB2312" w:cs="仿宋_GB2312"/>
          <w:color w:val="000000"/>
          <w:sz w:val="24"/>
          <w:szCs w:val="24"/>
        </w:rPr>
        <w:drawing>
          <wp:anchor distT="0" distB="0" distL="114300" distR="114300" simplePos="0" relativeHeight="251675648" behindDoc="0" locked="0" layoutInCell="1" allowOverlap="1">
            <wp:simplePos x="0" y="0"/>
            <wp:positionH relativeFrom="column">
              <wp:posOffset>57150</wp:posOffset>
            </wp:positionH>
            <wp:positionV relativeFrom="paragraph">
              <wp:posOffset>971550</wp:posOffset>
            </wp:positionV>
            <wp:extent cx="5274310" cy="3979545"/>
            <wp:effectExtent l="0" t="0" r="2540" b="1905"/>
            <wp:wrapSquare wrapText="bothSides"/>
            <wp:docPr id="12" name="图片 12" descr="C:\Users\鲁佳\AppData\Local\Temp\16101700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鲁佳\AppData\Local\Temp\1610170016(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274310" cy="3979545"/>
                    </a:xfrm>
                    <a:prstGeom prst="rect">
                      <a:avLst/>
                    </a:prstGeom>
                    <a:noFill/>
                    <a:ln>
                      <a:noFill/>
                    </a:ln>
                  </pic:spPr>
                </pic:pic>
              </a:graphicData>
            </a:graphic>
          </wp:anchor>
        </w:drawing>
      </w:r>
      <w:r>
        <w:rPr>
          <w:rFonts w:hint="eastAsia" w:ascii="黑体" w:hAnsi="黑体" w:eastAsia="黑体"/>
          <w:sz w:val="40"/>
          <w:szCs w:val="40"/>
        </w:rPr>
        <w:t>第十一章 附录</w:t>
      </w:r>
      <w:bookmarkEnd w:id="201"/>
    </w:p>
    <w:p>
      <w:pPr>
        <w:pStyle w:val="84"/>
        <w:ind w:firstLine="0" w:firstLineChars="0"/>
        <w:outlineLvl w:val="1"/>
        <w:rPr>
          <w:rFonts w:hint="eastAsia" w:ascii="黑体" w:hAnsi="黑体"/>
          <w:b w:val="0"/>
          <w:sz w:val="30"/>
          <w:szCs w:val="30"/>
        </w:rPr>
      </w:pPr>
      <w:bookmarkStart w:id="202" w:name="_Toc61100290"/>
      <w:r>
        <w:rPr>
          <w:rFonts w:hint="eastAsia" w:ascii="黑体" w:hAnsi="黑体"/>
          <w:b w:val="0"/>
          <w:sz w:val="30"/>
          <w:szCs w:val="30"/>
        </w:rPr>
        <w:t>11.1操作流程</w:t>
      </w:r>
      <w:bookmarkEnd w:id="202"/>
    </w:p>
    <w:p>
      <w:pPr>
        <w:tabs>
          <w:tab w:val="center" w:pos="4434"/>
        </w:tabs>
        <w:ind w:firstLine="0" w:firstLineChars="0"/>
        <w:jc w:val="center"/>
        <w:rPr>
          <w:rFonts w:hint="eastAsia" w:ascii="仿宋_GB2312" w:hAnsi="仿宋_GB2312" w:cs="仿宋_GB2312"/>
          <w:color w:val="000000"/>
          <w:sz w:val="21"/>
          <w:szCs w:val="21"/>
        </w:rPr>
      </w:pPr>
      <w:r>
        <w:rPr>
          <w:rFonts w:hint="eastAsia" w:ascii="仿宋_GB2312" w:hAnsi="仿宋_GB2312" w:cs="仿宋_GB2312"/>
          <w:color w:val="000000"/>
          <w:sz w:val="21"/>
          <w:szCs w:val="21"/>
        </w:rPr>
        <w:t>图11-1操作流程图</w:t>
      </w:r>
    </w:p>
    <w:p>
      <w:pPr>
        <w:pStyle w:val="84"/>
        <w:ind w:firstLine="0" w:firstLineChars="0"/>
        <w:outlineLvl w:val="1"/>
        <w:rPr>
          <w:rFonts w:hint="eastAsia" w:ascii="黑体" w:hAnsi="黑体"/>
          <w:b w:val="0"/>
          <w:sz w:val="30"/>
          <w:szCs w:val="30"/>
        </w:rPr>
      </w:pPr>
      <w:bookmarkStart w:id="203" w:name="_Toc61100291"/>
      <w:r>
        <w:rPr>
          <w:rFonts w:hint="eastAsia" w:ascii="黑体" w:hAnsi="黑体"/>
          <w:b w:val="0"/>
          <w:sz w:val="30"/>
          <w:szCs w:val="30"/>
        </w:rPr>
        <w:t>11.2调查问卷内容</w:t>
      </w:r>
      <w:bookmarkEnd w:id="203"/>
    </w:p>
    <w:p>
      <w:pPr>
        <w:tabs>
          <w:tab w:val="center" w:pos="4434"/>
        </w:tabs>
        <w:ind w:firstLine="480"/>
        <w:jc w:val="center"/>
        <w:rPr>
          <w:rFonts w:hint="eastAsia" w:ascii="仿宋_GB2312" w:hAnsi="仿宋_GB2312" w:cs="仿宋_GB2312"/>
          <w:color w:val="000000"/>
          <w:sz w:val="24"/>
          <w:szCs w:val="24"/>
        </w:rPr>
      </w:pPr>
      <w:r>
        <w:rPr>
          <w:rFonts w:hint="eastAsia" w:ascii="仿宋_GB2312" w:hAnsi="仿宋_GB2312" w:cs="仿宋_GB2312"/>
          <w:color w:val="000000"/>
          <w:sz w:val="24"/>
          <w:szCs w:val="24"/>
        </w:rPr>
        <w:t>移动医疗APP使用意愿调查问卷</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尊敬的先生/女士：</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您好！本调查问卷希望了解您对移动医疗APP使用意愿情况，在填写问卷之前，</w:t>
      </w:r>
      <w:r>
        <w:rPr>
          <w:rFonts w:hint="eastAsia" w:ascii="仿宋_GB2312" w:hAnsi="仿宋_GB2312" w:cs="仿宋_GB2312"/>
          <w:b/>
          <w:color w:val="000000"/>
          <w:sz w:val="24"/>
          <w:szCs w:val="24"/>
        </w:rPr>
        <w:t>请您务必仔细阅读以下黑体文字</w:t>
      </w:r>
      <w:r>
        <w:rPr>
          <w:rFonts w:hint="eastAsia" w:ascii="仿宋_GB2312" w:hAnsi="仿宋_GB2312" w:cs="仿宋_GB2312"/>
          <w:color w:val="000000"/>
          <w:sz w:val="24"/>
          <w:szCs w:val="24"/>
        </w:rPr>
        <w:t>，以便对移动医疗APP有初步的了解，方便您填写的同时可以更有效率的支持我们的研究工作。感谢您百忙之中抽出时间来填写问卷，我们非常感谢您的支持！</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移动医疗APP是指：安装在智能移动设备上，以健康促进和疾病预防为目的，提供寻医问今、预约挂号、购买医药产品以及查询专业信息等服务的第三方应用软件。国内医疗APP主要有：春雨医生、好大夫在线、丁香园等。</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1.您的性别？[单选题]*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○男</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○女</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2.您的年龄？[单选题]*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○18岁以下</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○19-44岁</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○45-64岁</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○65岁以上</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3.您的文化程度？[单选题]*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○高中及以下</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○专科</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○本科</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○硕士及以上</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4.您的职业？[单选题]*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○医疗行业</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○非医疗行业</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5.您是否接触过移动医疗APP？[单选题]*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○是</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○否</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6.您选择移动医疗APP的重要因素？[多选题]*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□操作便捷程度</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□服务费用</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□医疗资源</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□服务质量</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□隐私与安全</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7.您希望移动医疗APP提供哪些功能？[多选题]*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□预约挂号</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□健康知识</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□健康数据管理</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□轻问诊</w:t>
      </w:r>
    </w:p>
    <w:p>
      <w:pPr>
        <w:tabs>
          <w:tab w:val="center" w:pos="4434"/>
        </w:tabs>
        <w:ind w:firstLine="480"/>
        <w:jc w:val="left"/>
        <w:rPr>
          <w:rFonts w:hint="eastAsia" w:ascii="仿宋_GB2312" w:hAnsi="仿宋_GB2312" w:cs="仿宋_GB2312"/>
          <w:color w:val="000000"/>
          <w:sz w:val="24"/>
          <w:szCs w:val="24"/>
        </w:rPr>
      </w:pPr>
      <w:r>
        <w:rPr>
          <w:rFonts w:ascii="仿宋_GB2312" w:hAnsi="仿宋_GB2312" w:cs="仿宋_GB2312"/>
          <w:color w:val="000000"/>
          <w:sz w:val="24"/>
          <w:szCs w:val="24"/>
        </w:rPr>
        <w:t xml:space="preserve"> </w:t>
      </w:r>
      <w:r>
        <w:rPr>
          <w:rFonts w:hint="eastAsia" w:ascii="仿宋_GB2312" w:hAnsi="仿宋_GB2312" w:cs="仿宋_GB2312"/>
          <w:color w:val="000000"/>
          <w:sz w:val="24"/>
          <w:szCs w:val="24"/>
        </w:rPr>
        <w:t>□在线咨询</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□线上体检预约</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□学习交流</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8.您是否愿意在移动医疗APP上分享医疗知识及治疗经验？[单选题]*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○非常不愿意</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○不愿意</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○一般</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○愿意</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○非常愿意</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9.您是否认可移动医疗APP平台内发布的医疗知识？[单选题]*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○非常不相信</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○不相信</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○一般</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○相信</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○非常相信</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10.您是否担心个人隐私信息泄露问题？[单选题]*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○非常不担心</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○不担心</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○一般</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○担心</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○非常担心</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11.您通过什么渠道了解移动医疗APP？[多选题]*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□朋友推荐</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□网络及应用市场</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□手机推送</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□报纸杂志</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□其他</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□不了解</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12.您是否是慢性病患者？[单选题]*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慢性病是不传染、长期积累形成的疾病的总称。主要以心脑血管疾病(高血压、冠心病等)、糖尿病、慢性阻塞性肺部疾病(慢性气管炎、肺气肿等)等为代表。</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○是(请跳至第13题)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○否(请跳至第18题)</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13.您患有哪类慢性病?[多选题]*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□循环系统：慢性心力衰竭、冠心病、心脏病、高血压等</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□呼吸系统：慢性阻塞性肺气肿、哮喘、慢性肺心病等</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□消化系统：慢性胃炎、消化性溃疡、慢性肠炎等</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□血液系统：慢性贫血、慢性粒细胞白血病、慢性淋巴瘤等</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□内分泌系统：慢性淋巴细胞性甲状腺炎、甲亢、甲减等</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□代谢和营养：糖尿病、痛风、骨质疏松等</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□结缔组织和风湿：类风湿性关节炎、干燥综合征、血管炎等</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□其他</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14.在慢性病防治过程中，让您最苦恼的地方在哪里？[多选题]*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□慢性病防治知识难以获取</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□医生无法长期跟踪病情</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□医生态度不好</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□难以获取同类病友的治疗经验</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□药物的治疗效果得不到保障</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□医生治疗经验欠缺</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□其他</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15.您是否重视慢性病的防治？[单选题]*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○是</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○否_________________</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16.您通过什么途径获取慢性病相关知识？[多选题]*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□报刊杂志</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□医生咨询</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□网络媒介</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□电视广播</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□知识讲座</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□口口相传</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17.您是否愿意接触慢性病知识共享类的移动医疗APP？[单选题]*</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○非常不愿意</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○不愿意</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○一般</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○愿意</w:t>
      </w:r>
    </w:p>
    <w:p>
      <w:pPr>
        <w:tabs>
          <w:tab w:val="center" w:pos="4434"/>
        </w:tabs>
        <w:ind w:firstLine="480"/>
        <w:jc w:val="left"/>
        <w:rPr>
          <w:rFonts w:hint="eastAsia" w:ascii="仿宋_GB2312" w:hAnsi="仿宋_GB2312" w:cs="仿宋_GB2312"/>
          <w:color w:val="000000"/>
          <w:sz w:val="24"/>
          <w:szCs w:val="24"/>
        </w:rPr>
      </w:pPr>
      <w:r>
        <w:rPr>
          <w:rFonts w:hint="eastAsia" w:ascii="仿宋_GB2312" w:hAnsi="仿宋_GB2312" w:cs="仿宋_GB2312"/>
          <w:color w:val="000000"/>
          <w:sz w:val="24"/>
          <w:szCs w:val="24"/>
        </w:rPr>
        <w:t>○非常愿意</w:t>
      </w:r>
    </w:p>
    <w:p>
      <w:pPr>
        <w:tabs>
          <w:tab w:val="center" w:pos="4434"/>
        </w:tabs>
        <w:ind w:firstLine="482"/>
        <w:jc w:val="left"/>
        <w:rPr>
          <w:rFonts w:hint="eastAsia" w:ascii="仿宋_GB2312" w:hAnsi="仿宋_GB2312" w:cs="仿宋_GB2312"/>
          <w:b/>
          <w:color w:val="000000"/>
          <w:sz w:val="24"/>
          <w:szCs w:val="24"/>
        </w:rPr>
      </w:pPr>
      <w:r>
        <w:rPr>
          <w:rFonts w:hint="eastAsia" w:ascii="仿宋_GB2312" w:hAnsi="仿宋_GB2312" w:cs="仿宋_GB2312"/>
          <w:b/>
          <w:color w:val="000000"/>
          <w:sz w:val="24"/>
          <w:szCs w:val="24"/>
        </w:rPr>
        <w:t>18.您对于医疗APP平台最不放心或不满意的地方是什么？[填空题]*</w:t>
      </w:r>
    </w:p>
    <w:p>
      <w:pPr>
        <w:tabs>
          <w:tab w:val="center" w:pos="4434"/>
        </w:tabs>
        <w:ind w:firstLine="480"/>
        <w:jc w:val="left"/>
        <w:rPr>
          <w:rFonts w:hint="eastAsia" w:ascii="仿宋_GB2312" w:hAnsi="仿宋_GB2312" w:cs="仿宋_GB2312"/>
          <w:sz w:val="24"/>
          <w:szCs w:val="24"/>
        </w:rPr>
      </w:pPr>
      <w:r>
        <w:rPr>
          <w:rFonts w:hint="eastAsia" w:ascii="仿宋_GB2312" w:hAnsi="仿宋_GB2312" w:cs="仿宋_GB2312"/>
          <w:color w:val="000000"/>
          <w:sz w:val="24"/>
          <w:szCs w:val="24"/>
          <w:u w:val="single"/>
        </w:rPr>
        <w:t xml:space="preserve">                                 </w:t>
      </w:r>
      <w:r>
        <w:rPr>
          <w:rFonts w:hint="eastAsia" w:ascii="仿宋_GB2312" w:hAnsi="仿宋_GB2312" w:cs="仿宋_GB2312"/>
          <w:sz w:val="24"/>
          <w:szCs w:val="24"/>
        </w:rPr>
        <w:t xml:space="preserve">                </w:t>
      </w:r>
    </w:p>
    <w:p>
      <w:pPr>
        <w:tabs>
          <w:tab w:val="center" w:pos="4434"/>
        </w:tabs>
        <w:ind w:firstLine="480"/>
        <w:jc w:val="left"/>
        <w:rPr>
          <w:rFonts w:ascii="仿宋_GB2312" w:hAnsi="仿宋_GB2312" w:cs="仿宋_GB2312"/>
          <w:sz w:val="24"/>
          <w:szCs w:val="24"/>
        </w:rPr>
      </w:pPr>
    </w:p>
    <w:sectPr>
      <w:pgSz w:w="11906" w:h="16838"/>
      <w:pgMar w:top="1440" w:right="1800" w:bottom="1440" w:left="1800" w:header="851" w:footer="992" w:gutter="0"/>
      <w:cols w:space="425"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方正小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华文宋体">
    <w:panose1 w:val="02010600040101010101"/>
    <w:charset w:val="86"/>
    <w:family w:val="swiss"/>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eastAsia"/>
      </w:rPr>
      <w:id w:val="2794571"/>
      <w:docPartObj>
        <w:docPartGallery w:val="autotext"/>
      </w:docPartObj>
    </w:sdtPr>
    <w:sdtEndPr>
      <w:rPr>
        <w:rFonts w:hint="eastAsia"/>
      </w:rPr>
    </w:sdtEndPr>
    <w:sdtContent>
      <w:p>
        <w:pPr>
          <w:pStyle w:val="13"/>
          <w:ind w:firstLine="0" w:firstLineChars="0"/>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ajorHAnsi" w:hAnsiTheme="majorHAnsi" w:eastAsiaTheme="majorEastAsia" w:cstheme="majorBidi"/>
        <w:sz w:val="28"/>
        <w:szCs w:val="28"/>
        <w:lang w:val="zh-CN"/>
      </w:rPr>
      <w:id w:val="2794570"/>
      <w:docPartObj>
        <w:docPartGallery w:val="autotext"/>
      </w:docPartObj>
    </w:sdtPr>
    <w:sdtEndPr>
      <w:rPr>
        <w:rFonts w:asciiTheme="majorHAnsi" w:hAnsiTheme="majorHAnsi" w:eastAsiaTheme="majorEastAsia" w:cstheme="majorBidi"/>
        <w:sz w:val="28"/>
        <w:szCs w:val="28"/>
        <w:lang w:val="zh-CN"/>
      </w:rPr>
    </w:sdtEndPr>
    <w:sdtContent>
      <w:p>
        <w:pPr>
          <w:pStyle w:val="13"/>
          <w:ind w:firstLine="560"/>
          <w:rPr>
            <w:rFonts w:asciiTheme="majorHAnsi" w:hAnsiTheme="majorHAnsi" w:eastAsiaTheme="majorEastAsia" w:cstheme="majorBidi"/>
            <w:sz w:val="28"/>
            <w:szCs w:val="28"/>
          </w:rPr>
        </w:pPr>
        <w:r>
          <w:rPr>
            <w:rFonts w:asciiTheme="majorHAnsi" w:hAnsiTheme="majorHAnsi" w:eastAsiaTheme="majorEastAsia" w:cstheme="majorBidi"/>
            <w:sz w:val="28"/>
            <w:szCs w:val="28"/>
            <w:lang w:val="zh-CN"/>
          </w:rPr>
          <w:t xml:space="preserve">~ </w:t>
        </w:r>
        <w:r>
          <w:rPr>
            <w:rFonts w:cs="Times New Roman" w:asciiTheme="minorHAnsi" w:hAnsiTheme="minorHAnsi" w:eastAsiaTheme="minorEastAsia"/>
            <w:sz w:val="22"/>
            <w:szCs w:val="22"/>
          </w:rPr>
          <w:fldChar w:fldCharType="begin"/>
        </w:r>
        <w:r>
          <w:instrText xml:space="preserve">PAGE    \* MERGEFORMAT</w:instrText>
        </w:r>
        <w:r>
          <w:rPr>
            <w:rFonts w:cs="Times New Roman" w:asciiTheme="minorHAnsi" w:hAnsiTheme="minorHAnsi" w:eastAsiaTheme="minorEastAsia"/>
            <w:sz w:val="22"/>
            <w:szCs w:val="22"/>
          </w:rPr>
          <w:fldChar w:fldCharType="separate"/>
        </w:r>
        <w:r>
          <w:rPr>
            <w:rFonts w:asciiTheme="majorHAnsi" w:hAnsiTheme="majorHAnsi" w:eastAsiaTheme="majorEastAsia" w:cstheme="majorBidi"/>
            <w:sz w:val="28"/>
            <w:szCs w:val="28"/>
            <w:lang w:val="zh-CN"/>
          </w:rPr>
          <w:t>2</w:t>
        </w:r>
        <w:r>
          <w:rPr>
            <w:rFonts w:asciiTheme="majorHAnsi" w:hAnsiTheme="majorHAnsi" w:eastAsiaTheme="majorEastAsia" w:cstheme="majorBidi"/>
            <w:sz w:val="28"/>
            <w:szCs w:val="28"/>
          </w:rPr>
          <w:fldChar w:fldCharType="end"/>
        </w:r>
        <w:r>
          <w:rPr>
            <w:rFonts w:asciiTheme="majorHAnsi" w:hAnsiTheme="majorHAnsi" w:eastAsiaTheme="majorEastAsia" w:cstheme="majorBidi"/>
            <w:sz w:val="28"/>
            <w:szCs w:val="28"/>
            <w:lang w:val="zh-CN"/>
          </w:rPr>
          <w:t xml:space="preserve"> ~</w:t>
        </w:r>
      </w:p>
    </w:sdtContent>
  </w:sdt>
  <w:p>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ajorHAnsi" w:hAnsiTheme="majorHAnsi" w:eastAsiaTheme="majorEastAsia" w:cstheme="majorBidi"/>
        <w:sz w:val="28"/>
        <w:szCs w:val="28"/>
        <w:lang w:val="zh-CN"/>
      </w:rPr>
      <w:id w:val="-1268306867"/>
      <w:docPartObj>
        <w:docPartGallery w:val="autotext"/>
      </w:docPartObj>
    </w:sdtPr>
    <w:sdtEndPr>
      <w:rPr>
        <w:rFonts w:ascii="楷体" w:hAnsi="楷体" w:eastAsia="楷体" w:cstheme="majorBidi"/>
        <w:sz w:val="18"/>
        <w:szCs w:val="18"/>
        <w:lang w:val="zh-CN"/>
      </w:rPr>
    </w:sdtEndPr>
    <w:sdtContent>
      <w:p>
        <w:pPr>
          <w:pStyle w:val="13"/>
          <w:ind w:firstLine="560"/>
          <w:jc w:val="center"/>
          <w:rPr>
            <w:rFonts w:ascii="楷体" w:hAnsi="楷体" w:eastAsia="楷体" w:cstheme="majorBidi"/>
          </w:rPr>
        </w:pPr>
        <w:r>
          <w:rPr>
            <w:rFonts w:ascii="楷体" w:hAnsi="楷体" w:eastAsia="楷体" w:cs="Times New Roman"/>
          </w:rPr>
          <w:fldChar w:fldCharType="begin"/>
        </w:r>
        <w:r>
          <w:rPr>
            <w:rFonts w:ascii="楷体" w:hAnsi="楷体" w:eastAsia="楷体"/>
          </w:rPr>
          <w:instrText xml:space="preserve">PAGE    \* MERGEFORMAT</w:instrText>
        </w:r>
        <w:r>
          <w:rPr>
            <w:rFonts w:ascii="楷体" w:hAnsi="楷体" w:eastAsia="楷体" w:cs="Times New Roman"/>
          </w:rPr>
          <w:fldChar w:fldCharType="separate"/>
        </w:r>
        <w:r>
          <w:rPr>
            <w:rFonts w:ascii="楷体" w:hAnsi="楷体" w:eastAsia="楷体" w:cstheme="majorBidi"/>
            <w:lang w:val="zh-CN"/>
          </w:rPr>
          <w:t>1</w:t>
        </w:r>
        <w:r>
          <w:rPr>
            <w:rFonts w:ascii="楷体" w:hAnsi="楷体" w:eastAsia="楷体" w:cstheme="majorBidi"/>
          </w:rPr>
          <w:fldChar w:fldCharType="end"/>
        </w:r>
      </w:p>
    </w:sdtContent>
  </w:sdt>
  <w:p>
    <w:pPr>
      <w:pStyle w:val="13"/>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ajorHAnsi" w:hAnsiTheme="majorHAnsi" w:eastAsiaTheme="majorEastAsia" w:cstheme="majorBidi"/>
        <w:sz w:val="28"/>
        <w:szCs w:val="28"/>
        <w:lang w:val="zh-CN"/>
      </w:rPr>
      <w:id w:val="872039342"/>
      <w:docPartObj>
        <w:docPartGallery w:val="autotext"/>
      </w:docPartObj>
    </w:sdtPr>
    <w:sdtEndPr>
      <w:rPr>
        <w:rFonts w:ascii="楷体" w:hAnsi="楷体" w:eastAsia="楷体" w:cstheme="majorBidi"/>
        <w:sz w:val="18"/>
        <w:szCs w:val="18"/>
        <w:lang w:val="zh-CN"/>
      </w:rPr>
    </w:sdtEndPr>
    <w:sdtContent>
      <w:p>
        <w:pPr>
          <w:pStyle w:val="13"/>
          <w:ind w:firstLine="560"/>
          <w:jc w:val="center"/>
          <w:rPr>
            <w:rFonts w:ascii="楷体" w:hAnsi="楷体" w:eastAsia="楷体" w:cstheme="majorBidi"/>
          </w:rPr>
        </w:pPr>
        <w:r>
          <w:rPr>
            <w:rFonts w:ascii="楷体" w:hAnsi="楷体" w:eastAsia="楷体" w:cs="Times New Roman"/>
          </w:rPr>
          <w:fldChar w:fldCharType="begin"/>
        </w:r>
        <w:r>
          <w:rPr>
            <w:rFonts w:ascii="楷体" w:hAnsi="楷体" w:eastAsia="楷体"/>
          </w:rPr>
          <w:instrText xml:space="preserve">PAGE    \* MERGEFORMAT</w:instrText>
        </w:r>
        <w:r>
          <w:rPr>
            <w:rFonts w:ascii="楷体" w:hAnsi="楷体" w:eastAsia="楷体" w:cs="Times New Roman"/>
          </w:rPr>
          <w:fldChar w:fldCharType="separate"/>
        </w:r>
        <w:r>
          <w:rPr>
            <w:rFonts w:ascii="楷体" w:hAnsi="楷体" w:eastAsia="楷体" w:cstheme="majorBidi"/>
            <w:lang w:val="zh-CN"/>
          </w:rPr>
          <w:t>2</w:t>
        </w:r>
        <w:r>
          <w:rPr>
            <w:rFonts w:ascii="楷体" w:hAnsi="楷体" w:eastAsia="楷体" w:cstheme="majorBidi"/>
          </w:rPr>
          <w:fldChar w:fldCharType="end"/>
        </w:r>
      </w:p>
    </w:sdtContent>
  </w:sdt>
  <w:p>
    <w:pPr>
      <w:pStyle w:val="13"/>
      <w:tabs>
        <w:tab w:val="left" w:pos="5714"/>
        <w:tab w:val="clear" w:pos="4153"/>
      </w:tabs>
      <w:ind w:firstLine="360"/>
    </w:pP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firstLine="0" w:firstLineChars="0"/>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5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firstLine="0" w:firstLineChars="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560" w:firstLine="0" w:firstLineChars="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1"/>
  <w:bordersDoNotSurroundFooter w:val="1"/>
  <w:documentProtection w:enforcement="0"/>
  <w:defaultTabStop w:val="420"/>
  <w:evenAndOddHeaders w:val="1"/>
  <w:drawingGridHorizontalSpacing w:val="140"/>
  <w:drawingGridVerticalSpacing w:val="381"/>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589"/>
    <w:rsid w:val="00001C0C"/>
    <w:rsid w:val="000073EA"/>
    <w:rsid w:val="00016E93"/>
    <w:rsid w:val="00043994"/>
    <w:rsid w:val="00060AC7"/>
    <w:rsid w:val="00062F6F"/>
    <w:rsid w:val="00077C9A"/>
    <w:rsid w:val="00080995"/>
    <w:rsid w:val="00094111"/>
    <w:rsid w:val="000B74AC"/>
    <w:rsid w:val="000C0F99"/>
    <w:rsid w:val="000C41D0"/>
    <w:rsid w:val="000C6E8D"/>
    <w:rsid w:val="000D2B23"/>
    <w:rsid w:val="000D6BC7"/>
    <w:rsid w:val="000F52DC"/>
    <w:rsid w:val="000F67FB"/>
    <w:rsid w:val="00102902"/>
    <w:rsid w:val="0011010D"/>
    <w:rsid w:val="00110995"/>
    <w:rsid w:val="00111C01"/>
    <w:rsid w:val="00113D93"/>
    <w:rsid w:val="001236B5"/>
    <w:rsid w:val="00135E5D"/>
    <w:rsid w:val="0014155C"/>
    <w:rsid w:val="001521AB"/>
    <w:rsid w:val="00171F04"/>
    <w:rsid w:val="00177ADB"/>
    <w:rsid w:val="00184349"/>
    <w:rsid w:val="00190390"/>
    <w:rsid w:val="0019780B"/>
    <w:rsid w:val="001A52F7"/>
    <w:rsid w:val="001A592C"/>
    <w:rsid w:val="001A6636"/>
    <w:rsid w:val="001B6C89"/>
    <w:rsid w:val="001C4DAD"/>
    <w:rsid w:val="001D4601"/>
    <w:rsid w:val="001D7471"/>
    <w:rsid w:val="001E469F"/>
    <w:rsid w:val="001E5252"/>
    <w:rsid w:val="001E7090"/>
    <w:rsid w:val="002147EB"/>
    <w:rsid w:val="00216359"/>
    <w:rsid w:val="00221054"/>
    <w:rsid w:val="002248AF"/>
    <w:rsid w:val="002252C7"/>
    <w:rsid w:val="00232D42"/>
    <w:rsid w:val="00232EA0"/>
    <w:rsid w:val="00236539"/>
    <w:rsid w:val="002433F0"/>
    <w:rsid w:val="00244B0C"/>
    <w:rsid w:val="00256CDF"/>
    <w:rsid w:val="00264296"/>
    <w:rsid w:val="0027380A"/>
    <w:rsid w:val="00275855"/>
    <w:rsid w:val="00291F04"/>
    <w:rsid w:val="0029426C"/>
    <w:rsid w:val="00294BE2"/>
    <w:rsid w:val="0029577F"/>
    <w:rsid w:val="002A27F0"/>
    <w:rsid w:val="002A6F01"/>
    <w:rsid w:val="002B40D1"/>
    <w:rsid w:val="002B43A1"/>
    <w:rsid w:val="002B4447"/>
    <w:rsid w:val="002C1D61"/>
    <w:rsid w:val="002C1F31"/>
    <w:rsid w:val="002D005F"/>
    <w:rsid w:val="002D0967"/>
    <w:rsid w:val="002F6436"/>
    <w:rsid w:val="002F71BC"/>
    <w:rsid w:val="003116A7"/>
    <w:rsid w:val="00312372"/>
    <w:rsid w:val="00314C33"/>
    <w:rsid w:val="00316CD8"/>
    <w:rsid w:val="0031738B"/>
    <w:rsid w:val="0032532F"/>
    <w:rsid w:val="0033223C"/>
    <w:rsid w:val="00333FC7"/>
    <w:rsid w:val="00336ECA"/>
    <w:rsid w:val="00340E2B"/>
    <w:rsid w:val="00375276"/>
    <w:rsid w:val="003A21D0"/>
    <w:rsid w:val="003C22C5"/>
    <w:rsid w:val="003C2727"/>
    <w:rsid w:val="003D0BC9"/>
    <w:rsid w:val="003D2EF0"/>
    <w:rsid w:val="003D554A"/>
    <w:rsid w:val="003F03E0"/>
    <w:rsid w:val="003F6B88"/>
    <w:rsid w:val="00412AC5"/>
    <w:rsid w:val="004334C3"/>
    <w:rsid w:val="004459ED"/>
    <w:rsid w:val="00451D5E"/>
    <w:rsid w:val="00461506"/>
    <w:rsid w:val="00475E39"/>
    <w:rsid w:val="004855BE"/>
    <w:rsid w:val="004A2C99"/>
    <w:rsid w:val="004A6DF9"/>
    <w:rsid w:val="004B0973"/>
    <w:rsid w:val="004B57FB"/>
    <w:rsid w:val="004C4377"/>
    <w:rsid w:val="004D758F"/>
    <w:rsid w:val="004E31BA"/>
    <w:rsid w:val="004E6891"/>
    <w:rsid w:val="004F2FF2"/>
    <w:rsid w:val="004F42E7"/>
    <w:rsid w:val="004F54A7"/>
    <w:rsid w:val="0050116D"/>
    <w:rsid w:val="00501CBC"/>
    <w:rsid w:val="00527AFF"/>
    <w:rsid w:val="005329F5"/>
    <w:rsid w:val="00537A06"/>
    <w:rsid w:val="00540CDE"/>
    <w:rsid w:val="005657B1"/>
    <w:rsid w:val="00570AFB"/>
    <w:rsid w:val="00571FA1"/>
    <w:rsid w:val="005811D6"/>
    <w:rsid w:val="00592C79"/>
    <w:rsid w:val="00594861"/>
    <w:rsid w:val="00596E88"/>
    <w:rsid w:val="005D0774"/>
    <w:rsid w:val="005D4EE1"/>
    <w:rsid w:val="005E5E0D"/>
    <w:rsid w:val="005F7045"/>
    <w:rsid w:val="00610982"/>
    <w:rsid w:val="00615BB2"/>
    <w:rsid w:val="00623BCF"/>
    <w:rsid w:val="00625978"/>
    <w:rsid w:val="00632AEF"/>
    <w:rsid w:val="00632CEF"/>
    <w:rsid w:val="0063714D"/>
    <w:rsid w:val="00643118"/>
    <w:rsid w:val="006465B4"/>
    <w:rsid w:val="00653917"/>
    <w:rsid w:val="00655709"/>
    <w:rsid w:val="00657644"/>
    <w:rsid w:val="00664FE5"/>
    <w:rsid w:val="00665847"/>
    <w:rsid w:val="006712EA"/>
    <w:rsid w:val="006761A7"/>
    <w:rsid w:val="0067636E"/>
    <w:rsid w:val="006844D0"/>
    <w:rsid w:val="006A67C9"/>
    <w:rsid w:val="006B0808"/>
    <w:rsid w:val="006B536E"/>
    <w:rsid w:val="006C11BB"/>
    <w:rsid w:val="006C3D6C"/>
    <w:rsid w:val="006C3E6C"/>
    <w:rsid w:val="006D099F"/>
    <w:rsid w:val="006D3589"/>
    <w:rsid w:val="006D7899"/>
    <w:rsid w:val="006E1E4E"/>
    <w:rsid w:val="006F1D4A"/>
    <w:rsid w:val="006F32BE"/>
    <w:rsid w:val="006F7156"/>
    <w:rsid w:val="00700250"/>
    <w:rsid w:val="00703C5A"/>
    <w:rsid w:val="00714BF5"/>
    <w:rsid w:val="00725EA6"/>
    <w:rsid w:val="0072774A"/>
    <w:rsid w:val="00732CAF"/>
    <w:rsid w:val="0073351E"/>
    <w:rsid w:val="007354E9"/>
    <w:rsid w:val="0073719D"/>
    <w:rsid w:val="0074769B"/>
    <w:rsid w:val="007562A1"/>
    <w:rsid w:val="0076351A"/>
    <w:rsid w:val="00782388"/>
    <w:rsid w:val="007827CC"/>
    <w:rsid w:val="00790DAE"/>
    <w:rsid w:val="00793124"/>
    <w:rsid w:val="00795004"/>
    <w:rsid w:val="007B1C09"/>
    <w:rsid w:val="007B1EA7"/>
    <w:rsid w:val="007B2B17"/>
    <w:rsid w:val="007C1CA0"/>
    <w:rsid w:val="007E5A0A"/>
    <w:rsid w:val="007E7971"/>
    <w:rsid w:val="007F21DA"/>
    <w:rsid w:val="007F7F07"/>
    <w:rsid w:val="008019C6"/>
    <w:rsid w:val="00802843"/>
    <w:rsid w:val="00807F2F"/>
    <w:rsid w:val="00822297"/>
    <w:rsid w:val="00825C56"/>
    <w:rsid w:val="00840F5B"/>
    <w:rsid w:val="00841FD0"/>
    <w:rsid w:val="00844553"/>
    <w:rsid w:val="0085437B"/>
    <w:rsid w:val="00856148"/>
    <w:rsid w:val="00871ADA"/>
    <w:rsid w:val="00880529"/>
    <w:rsid w:val="008815FF"/>
    <w:rsid w:val="00881B83"/>
    <w:rsid w:val="008869C5"/>
    <w:rsid w:val="008954E0"/>
    <w:rsid w:val="008A3ED9"/>
    <w:rsid w:val="008A7426"/>
    <w:rsid w:val="008B4947"/>
    <w:rsid w:val="008B5C50"/>
    <w:rsid w:val="008C03CF"/>
    <w:rsid w:val="008C078A"/>
    <w:rsid w:val="008C53DD"/>
    <w:rsid w:val="008D1917"/>
    <w:rsid w:val="008E5B07"/>
    <w:rsid w:val="008F1CD2"/>
    <w:rsid w:val="008F5CA8"/>
    <w:rsid w:val="00913368"/>
    <w:rsid w:val="009329F4"/>
    <w:rsid w:val="00940B3B"/>
    <w:rsid w:val="00945664"/>
    <w:rsid w:val="00953352"/>
    <w:rsid w:val="0095500F"/>
    <w:rsid w:val="00964481"/>
    <w:rsid w:val="00971609"/>
    <w:rsid w:val="00977A98"/>
    <w:rsid w:val="009845BC"/>
    <w:rsid w:val="00984D01"/>
    <w:rsid w:val="009958F1"/>
    <w:rsid w:val="009A0547"/>
    <w:rsid w:val="009B3542"/>
    <w:rsid w:val="009B708A"/>
    <w:rsid w:val="009E4237"/>
    <w:rsid w:val="009E76C6"/>
    <w:rsid w:val="00A05967"/>
    <w:rsid w:val="00A06419"/>
    <w:rsid w:val="00A11506"/>
    <w:rsid w:val="00A1324B"/>
    <w:rsid w:val="00A144FC"/>
    <w:rsid w:val="00A2298A"/>
    <w:rsid w:val="00A36397"/>
    <w:rsid w:val="00A60FE1"/>
    <w:rsid w:val="00A61C13"/>
    <w:rsid w:val="00A73270"/>
    <w:rsid w:val="00A9002D"/>
    <w:rsid w:val="00A95B81"/>
    <w:rsid w:val="00A97202"/>
    <w:rsid w:val="00AA19F0"/>
    <w:rsid w:val="00AA236B"/>
    <w:rsid w:val="00AE29A7"/>
    <w:rsid w:val="00AE2B42"/>
    <w:rsid w:val="00AE6F35"/>
    <w:rsid w:val="00AF3CEF"/>
    <w:rsid w:val="00B0697B"/>
    <w:rsid w:val="00B12E97"/>
    <w:rsid w:val="00B13CC9"/>
    <w:rsid w:val="00B15428"/>
    <w:rsid w:val="00B15F3E"/>
    <w:rsid w:val="00B17137"/>
    <w:rsid w:val="00B2548E"/>
    <w:rsid w:val="00B4517B"/>
    <w:rsid w:val="00B4608A"/>
    <w:rsid w:val="00B47955"/>
    <w:rsid w:val="00B5388A"/>
    <w:rsid w:val="00B752C0"/>
    <w:rsid w:val="00B83A98"/>
    <w:rsid w:val="00B962C4"/>
    <w:rsid w:val="00B97AA6"/>
    <w:rsid w:val="00BA2610"/>
    <w:rsid w:val="00BB65F8"/>
    <w:rsid w:val="00BC574D"/>
    <w:rsid w:val="00BD462C"/>
    <w:rsid w:val="00BE5E09"/>
    <w:rsid w:val="00BF5961"/>
    <w:rsid w:val="00C019DA"/>
    <w:rsid w:val="00C06467"/>
    <w:rsid w:val="00C06F01"/>
    <w:rsid w:val="00C31ED6"/>
    <w:rsid w:val="00C32EA6"/>
    <w:rsid w:val="00C338B9"/>
    <w:rsid w:val="00C47782"/>
    <w:rsid w:val="00C71E9C"/>
    <w:rsid w:val="00C81F0C"/>
    <w:rsid w:val="00C9290A"/>
    <w:rsid w:val="00C93523"/>
    <w:rsid w:val="00C93E73"/>
    <w:rsid w:val="00C94E1B"/>
    <w:rsid w:val="00CA51DB"/>
    <w:rsid w:val="00CA66B2"/>
    <w:rsid w:val="00CB142A"/>
    <w:rsid w:val="00CB23D9"/>
    <w:rsid w:val="00CB513E"/>
    <w:rsid w:val="00CC11F1"/>
    <w:rsid w:val="00CC2AC3"/>
    <w:rsid w:val="00CD380D"/>
    <w:rsid w:val="00CF1A46"/>
    <w:rsid w:val="00CF5D70"/>
    <w:rsid w:val="00D028A5"/>
    <w:rsid w:val="00D052AF"/>
    <w:rsid w:val="00D152E9"/>
    <w:rsid w:val="00D2013F"/>
    <w:rsid w:val="00D325FD"/>
    <w:rsid w:val="00D35D47"/>
    <w:rsid w:val="00D67851"/>
    <w:rsid w:val="00D700DA"/>
    <w:rsid w:val="00D80EFB"/>
    <w:rsid w:val="00D91066"/>
    <w:rsid w:val="00D92392"/>
    <w:rsid w:val="00DB2D45"/>
    <w:rsid w:val="00DC5B03"/>
    <w:rsid w:val="00DC791C"/>
    <w:rsid w:val="00DD2E81"/>
    <w:rsid w:val="00DE134E"/>
    <w:rsid w:val="00DE730D"/>
    <w:rsid w:val="00DF75A6"/>
    <w:rsid w:val="00DF7E06"/>
    <w:rsid w:val="00E05348"/>
    <w:rsid w:val="00E0620A"/>
    <w:rsid w:val="00E15996"/>
    <w:rsid w:val="00E1731D"/>
    <w:rsid w:val="00E1774F"/>
    <w:rsid w:val="00E23678"/>
    <w:rsid w:val="00E332BA"/>
    <w:rsid w:val="00E477F3"/>
    <w:rsid w:val="00E7223A"/>
    <w:rsid w:val="00E77E7D"/>
    <w:rsid w:val="00E81DD6"/>
    <w:rsid w:val="00E82A69"/>
    <w:rsid w:val="00E95010"/>
    <w:rsid w:val="00E9792C"/>
    <w:rsid w:val="00EA0AF8"/>
    <w:rsid w:val="00EA1CFA"/>
    <w:rsid w:val="00EB0566"/>
    <w:rsid w:val="00EB48BF"/>
    <w:rsid w:val="00EC0BA8"/>
    <w:rsid w:val="00EC1A65"/>
    <w:rsid w:val="00EC2818"/>
    <w:rsid w:val="00EE37AC"/>
    <w:rsid w:val="00EF0086"/>
    <w:rsid w:val="00EF79DC"/>
    <w:rsid w:val="00F01699"/>
    <w:rsid w:val="00F0643F"/>
    <w:rsid w:val="00F07B3F"/>
    <w:rsid w:val="00F10273"/>
    <w:rsid w:val="00F2017F"/>
    <w:rsid w:val="00F46695"/>
    <w:rsid w:val="00F47515"/>
    <w:rsid w:val="00F517ED"/>
    <w:rsid w:val="00F56C72"/>
    <w:rsid w:val="00F8256D"/>
    <w:rsid w:val="00F918BE"/>
    <w:rsid w:val="00F9214B"/>
    <w:rsid w:val="00F97A7F"/>
    <w:rsid w:val="00FA1C07"/>
    <w:rsid w:val="00FA522B"/>
    <w:rsid w:val="00FB45CC"/>
    <w:rsid w:val="00FD5DA4"/>
    <w:rsid w:val="00FE5A0B"/>
    <w:rsid w:val="00FE606B"/>
    <w:rsid w:val="01D40932"/>
    <w:rsid w:val="7EBB060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iPriority="72" w:name="Colorful List Accent 5"/>
    <w:lsdException w:unhideWhenUsed="0" w:uiPriority="73" w:semiHidden="0" w:name="Colorful Grid Accent 5"/>
    <w:lsdException w:qFormat="1" w:uiPriority="60" w:name="Light Shading Accent 6"/>
    <w:lsdException w:qFormat="1" w:unhideWhenUsed="0" w:uiPriority="61" w:semiHidden="0" w:name="Light List Accent 6"/>
    <w:lsdException w:qFormat="1"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atLeast"/>
      <w:ind w:firstLine="200" w:firstLineChars="200"/>
      <w:jc w:val="both"/>
    </w:pPr>
    <w:rPr>
      <w:rFonts w:ascii="Times New Roman" w:hAnsi="Times New Roman" w:eastAsia="仿宋_GB2312" w:cstheme="minorBidi"/>
      <w:kern w:val="2"/>
      <w:sz w:val="28"/>
      <w:lang w:val="en-US" w:eastAsia="zh-CN" w:bidi="ar-SA"/>
    </w:rPr>
  </w:style>
  <w:style w:type="paragraph" w:styleId="2">
    <w:name w:val="heading 1"/>
    <w:next w:val="1"/>
    <w:link w:val="49"/>
    <w:qFormat/>
    <w:uiPriority w:val="0"/>
    <w:pPr>
      <w:keepNext/>
      <w:keepLines/>
      <w:pBdr>
        <w:bottom w:val="single" w:color="DEEAF6" w:themeColor="accent1" w:themeTint="33" w:sz="8" w:space="0"/>
      </w:pBdr>
      <w:spacing w:after="200" w:line="300" w:lineRule="auto"/>
      <w:outlineLvl w:val="0"/>
    </w:pPr>
    <w:rPr>
      <w:rFonts w:eastAsia="Microsoft YaHei UI" w:asciiTheme="majorHAnsi" w:hAnsiTheme="majorHAnsi" w:cstheme="majorBidi"/>
      <w:color w:val="5B9BD5" w:themeColor="accent1"/>
      <w:sz w:val="36"/>
      <w:szCs w:val="36"/>
      <w:lang w:val="en-US" w:eastAsia="ja-JP" w:bidi="ar-SA"/>
      <w14:textFill>
        <w14:solidFill>
          <w14:schemeClr w14:val="accent1"/>
        </w14:solidFill>
      </w14:textFill>
    </w:rPr>
  </w:style>
  <w:style w:type="paragraph" w:styleId="3">
    <w:name w:val="heading 2"/>
    <w:next w:val="1"/>
    <w:link w:val="50"/>
    <w:unhideWhenUsed/>
    <w:qFormat/>
    <w:uiPriority w:val="0"/>
    <w:pPr>
      <w:keepNext/>
      <w:keepLines/>
      <w:spacing w:before="120" w:after="120"/>
      <w:outlineLvl w:val="1"/>
    </w:pPr>
    <w:rPr>
      <w:rFonts w:eastAsia="仿宋_GB2312" w:asciiTheme="minorHAnsi" w:hAnsiTheme="minorHAnsi" w:cstheme="minorBidi"/>
      <w:b/>
      <w:bCs/>
      <w:color w:val="000000" w:themeColor="text1"/>
      <w:sz w:val="28"/>
      <w:szCs w:val="26"/>
      <w:lang w:val="en-US" w:eastAsia="ja-JP" w:bidi="ar-SA"/>
      <w14:textFill>
        <w14:solidFill>
          <w14:schemeClr w14:val="tx1"/>
        </w14:solidFill>
      </w14:textFill>
    </w:rPr>
  </w:style>
  <w:style w:type="paragraph" w:styleId="4">
    <w:name w:val="heading 3"/>
    <w:basedOn w:val="1"/>
    <w:next w:val="1"/>
    <w:link w:val="51"/>
    <w:unhideWhenUsed/>
    <w:qFormat/>
    <w:uiPriority w:val="0"/>
    <w:pPr>
      <w:keepNext/>
      <w:keepLines/>
      <w:spacing w:before="260" w:after="260" w:line="413" w:lineRule="auto"/>
      <w:jc w:val="left"/>
      <w:outlineLvl w:val="2"/>
    </w:pPr>
  </w:style>
  <w:style w:type="paragraph" w:styleId="5">
    <w:name w:val="heading 4"/>
    <w:basedOn w:val="1"/>
    <w:next w:val="1"/>
    <w:link w:val="52"/>
    <w:unhideWhenUsed/>
    <w:qFormat/>
    <w:uiPriority w:val="0"/>
    <w:pPr>
      <w:keepNext/>
      <w:keepLines/>
      <w:spacing w:before="280" w:after="290" w:line="376" w:lineRule="auto"/>
      <w:outlineLvl w:val="3"/>
    </w:pPr>
    <w:rPr>
      <w:rFonts w:asciiTheme="majorHAnsi" w:hAnsiTheme="majorHAnsi" w:eastAsiaTheme="majorEastAsia" w:cstheme="majorBidi"/>
      <w:b/>
      <w:bCs/>
      <w:szCs w:val="28"/>
    </w:rPr>
  </w:style>
  <w:style w:type="paragraph" w:styleId="6">
    <w:name w:val="heading 5"/>
    <w:basedOn w:val="1"/>
    <w:next w:val="1"/>
    <w:link w:val="53"/>
    <w:unhideWhenUsed/>
    <w:qFormat/>
    <w:uiPriority w:val="0"/>
    <w:pPr>
      <w:keepNext/>
      <w:keepLines/>
      <w:spacing w:before="280" w:after="290" w:line="376" w:lineRule="auto"/>
      <w:outlineLvl w:val="4"/>
    </w:pPr>
    <w:rPr>
      <w:b/>
      <w:bCs/>
      <w:szCs w:val="28"/>
    </w:rPr>
  </w:style>
  <w:style w:type="character" w:default="1" w:styleId="45">
    <w:name w:val="Default Paragraph Font"/>
    <w:semiHidden/>
    <w:unhideWhenUsed/>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spacing w:line="240" w:lineRule="auto"/>
      <w:ind w:left="2520" w:leftChars="1200" w:firstLine="0" w:firstLineChars="0"/>
    </w:pPr>
    <w:rPr>
      <w:rFonts w:asciiTheme="minorHAnsi" w:hAnsiTheme="minorHAnsi" w:eastAsiaTheme="minorEastAsia"/>
      <w:sz w:val="21"/>
      <w:szCs w:val="22"/>
    </w:rPr>
  </w:style>
  <w:style w:type="paragraph" w:styleId="8">
    <w:name w:val="annotation text"/>
    <w:basedOn w:val="1"/>
    <w:link w:val="65"/>
    <w:semiHidden/>
    <w:unhideWhenUsed/>
    <w:qFormat/>
    <w:uiPriority w:val="0"/>
  </w:style>
  <w:style w:type="paragraph" w:styleId="9">
    <w:name w:val="toc 5"/>
    <w:basedOn w:val="1"/>
    <w:next w:val="1"/>
    <w:unhideWhenUsed/>
    <w:qFormat/>
    <w:uiPriority w:val="39"/>
    <w:pPr>
      <w:spacing w:line="240" w:lineRule="auto"/>
      <w:ind w:left="1680" w:leftChars="800" w:firstLine="0" w:firstLineChars="0"/>
    </w:pPr>
    <w:rPr>
      <w:rFonts w:asciiTheme="minorHAnsi" w:hAnsiTheme="minorHAnsi" w:eastAsiaTheme="minorEastAsia"/>
      <w:sz w:val="21"/>
      <w:szCs w:val="22"/>
    </w:rPr>
  </w:style>
  <w:style w:type="paragraph" w:styleId="10">
    <w:name w:val="toc 3"/>
    <w:basedOn w:val="1"/>
    <w:next w:val="1"/>
    <w:qFormat/>
    <w:uiPriority w:val="39"/>
    <w:pPr>
      <w:ind w:left="840" w:leftChars="400"/>
    </w:pPr>
  </w:style>
  <w:style w:type="paragraph" w:styleId="11">
    <w:name w:val="toc 8"/>
    <w:basedOn w:val="1"/>
    <w:next w:val="1"/>
    <w:unhideWhenUsed/>
    <w:qFormat/>
    <w:uiPriority w:val="39"/>
    <w:pPr>
      <w:spacing w:line="240" w:lineRule="auto"/>
      <w:ind w:left="2940" w:leftChars="1400" w:firstLine="0" w:firstLineChars="0"/>
    </w:pPr>
    <w:rPr>
      <w:rFonts w:asciiTheme="minorHAnsi" w:hAnsiTheme="minorHAnsi" w:eastAsiaTheme="minorEastAsia"/>
      <w:sz w:val="21"/>
      <w:szCs w:val="22"/>
    </w:rPr>
  </w:style>
  <w:style w:type="paragraph" w:styleId="12">
    <w:name w:val="Balloon Text"/>
    <w:basedOn w:val="1"/>
    <w:link w:val="61"/>
    <w:qFormat/>
    <w:uiPriority w:val="0"/>
    <w:rPr>
      <w:sz w:val="18"/>
      <w:szCs w:val="18"/>
    </w:rPr>
  </w:style>
  <w:style w:type="paragraph" w:styleId="13">
    <w:name w:val="footer"/>
    <w:basedOn w:val="1"/>
    <w:link w:val="56"/>
    <w:unhideWhenUsed/>
    <w:qFormat/>
    <w:uiPriority w:val="99"/>
    <w:pPr>
      <w:tabs>
        <w:tab w:val="center" w:pos="4153"/>
        <w:tab w:val="right" w:pos="8306"/>
      </w:tabs>
      <w:snapToGrid w:val="0"/>
      <w:spacing w:line="240" w:lineRule="atLeast"/>
    </w:pPr>
    <w:rPr>
      <w:sz w:val="18"/>
      <w:szCs w:val="18"/>
    </w:rPr>
  </w:style>
  <w:style w:type="paragraph" w:styleId="14">
    <w:name w:val="header"/>
    <w:basedOn w:val="1"/>
    <w:link w:val="55"/>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5">
    <w:name w:val="toc 1"/>
    <w:basedOn w:val="1"/>
    <w:next w:val="1"/>
    <w:qFormat/>
    <w:uiPriority w:val="39"/>
  </w:style>
  <w:style w:type="paragraph" w:styleId="16">
    <w:name w:val="toc 4"/>
    <w:basedOn w:val="1"/>
    <w:next w:val="1"/>
    <w:unhideWhenUsed/>
    <w:qFormat/>
    <w:uiPriority w:val="39"/>
    <w:pPr>
      <w:spacing w:line="240" w:lineRule="auto"/>
      <w:ind w:left="1260" w:leftChars="600" w:firstLine="0" w:firstLineChars="0"/>
    </w:pPr>
    <w:rPr>
      <w:rFonts w:asciiTheme="minorHAnsi" w:hAnsiTheme="minorHAnsi" w:eastAsiaTheme="minorEastAsia"/>
      <w:sz w:val="21"/>
      <w:szCs w:val="22"/>
    </w:rPr>
  </w:style>
  <w:style w:type="paragraph" w:styleId="17">
    <w:name w:val="toc 6"/>
    <w:basedOn w:val="1"/>
    <w:next w:val="1"/>
    <w:unhideWhenUsed/>
    <w:qFormat/>
    <w:uiPriority w:val="39"/>
    <w:pPr>
      <w:spacing w:line="240" w:lineRule="auto"/>
      <w:ind w:left="2100" w:leftChars="1000" w:firstLine="0" w:firstLineChars="0"/>
    </w:pPr>
    <w:rPr>
      <w:rFonts w:asciiTheme="minorHAnsi" w:hAnsiTheme="minorHAnsi" w:eastAsiaTheme="minorEastAsia"/>
      <w:sz w:val="21"/>
      <w:szCs w:val="22"/>
    </w:rPr>
  </w:style>
  <w:style w:type="paragraph" w:styleId="18">
    <w:name w:val="toc 2"/>
    <w:basedOn w:val="1"/>
    <w:next w:val="1"/>
    <w:qFormat/>
    <w:uiPriority w:val="39"/>
    <w:pPr>
      <w:ind w:left="420" w:leftChars="200"/>
    </w:pPr>
  </w:style>
  <w:style w:type="paragraph" w:styleId="19">
    <w:name w:val="toc 9"/>
    <w:basedOn w:val="1"/>
    <w:next w:val="1"/>
    <w:unhideWhenUsed/>
    <w:qFormat/>
    <w:uiPriority w:val="39"/>
    <w:pPr>
      <w:spacing w:line="240" w:lineRule="auto"/>
      <w:ind w:left="3360" w:leftChars="1600" w:firstLine="0" w:firstLineChars="0"/>
    </w:pPr>
    <w:rPr>
      <w:rFonts w:asciiTheme="minorHAnsi" w:hAnsiTheme="minorHAnsi" w:eastAsiaTheme="minorEastAsia"/>
      <w:sz w:val="21"/>
      <w:szCs w:val="22"/>
    </w:rPr>
  </w:style>
  <w:style w:type="paragraph" w:styleId="20">
    <w:name w:val="Normal (Web)"/>
    <w:basedOn w:val="1"/>
    <w:qFormat/>
    <w:uiPriority w:val="99"/>
    <w:pPr>
      <w:widowControl/>
      <w:spacing w:before="100" w:beforeAutospacing="1" w:after="100" w:afterAutospacing="1"/>
    </w:pPr>
    <w:rPr>
      <w:rFonts w:ascii="宋体" w:hAnsi="宋体" w:cs="宋体"/>
      <w:kern w:val="0"/>
      <w:szCs w:val="24"/>
    </w:rPr>
  </w:style>
  <w:style w:type="paragraph" w:styleId="21">
    <w:name w:val="annotation subject"/>
    <w:basedOn w:val="8"/>
    <w:next w:val="8"/>
    <w:link w:val="67"/>
    <w:semiHidden/>
    <w:unhideWhenUsed/>
    <w:qFormat/>
    <w:uiPriority w:val="0"/>
    <w:rPr>
      <w:b/>
      <w:bCs/>
    </w:rPr>
  </w:style>
  <w:style w:type="table" w:styleId="23">
    <w:name w:val="Table Grid"/>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4">
    <w:name w:val="Light Shading Accent 1"/>
    <w:basedOn w:val="22"/>
    <w:uiPriority w:val="60"/>
    <w:rPr>
      <w:color w:val="2E75B6" w:themeColor="accent1" w:themeShade="BF"/>
    </w:rPr>
    <w:tblPr>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5">
    <w:name w:val="Light Shading Accent 3"/>
    <w:basedOn w:val="22"/>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26">
    <w:name w:val="Light Shading Accent 5"/>
    <w:basedOn w:val="22"/>
    <w:uiPriority w:val="60"/>
    <w:rPr>
      <w:color w:val="2F5597" w:themeColor="accent5" w:themeShade="BF"/>
    </w:rPr>
    <w:tblPr>
      <w:tblBorders>
        <w:top w:val="single" w:color="4472C4" w:themeColor="accent5" w:sz="8" w:space="0"/>
        <w:bottom w:val="single" w:color="4472C4" w:themeColor="accent5" w:sz="8" w:space="0"/>
      </w:tblBorders>
    </w:tblPr>
    <w:tblStylePr w:type="firstRow">
      <w:pPr>
        <w:spacing w:before="0" w:after="0" w:line="240" w:lineRule="auto"/>
      </w:pPr>
      <w:rPr>
        <w:b/>
        <w:bCs/>
      </w:rPr>
      <w:tblPr/>
      <w:tcPr>
        <w:tcBorders>
          <w:top w:val="single" w:color="4472C4" w:themeColor="accent5" w:sz="8" w:space="0"/>
          <w:left w:val="nil"/>
          <w:bottom w:val="single" w:color="4472C4" w:themeColor="accent5" w:sz="8" w:space="0"/>
          <w:right w:val="nil"/>
          <w:insideH w:val="nil"/>
          <w:insideV w:val="nil"/>
        </w:tcBorders>
      </w:tcPr>
    </w:tblStylePr>
    <w:tblStylePr w:type="lastRow">
      <w:pPr>
        <w:spacing w:before="0" w:after="0" w:line="240" w:lineRule="auto"/>
      </w:pPr>
      <w:rPr>
        <w:b/>
        <w:bCs/>
      </w:rPr>
      <w:tblPr/>
      <w:tcPr>
        <w:tcBorders>
          <w:top w:val="single" w:color="4472C4" w:themeColor="accent5" w:sz="8" w:space="0"/>
          <w:left w:val="nil"/>
          <w:bottom w:val="single" w:color="4472C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5" w:themeFillTint="3F"/>
      </w:tcPr>
    </w:tblStylePr>
    <w:tblStylePr w:type="band1Horz">
      <w:tblPr/>
      <w:tcPr>
        <w:tcBorders>
          <w:left w:val="nil"/>
          <w:right w:val="nil"/>
          <w:insideH w:val="nil"/>
          <w:insideV w:val="nil"/>
        </w:tcBorders>
        <w:shd w:val="clear" w:color="auto" w:fill="D0DCF0" w:themeFill="accent5" w:themeFillTint="3F"/>
      </w:tcPr>
    </w:tblStylePr>
  </w:style>
  <w:style w:type="table" w:styleId="27">
    <w:name w:val="Light Shading Accent 6"/>
    <w:basedOn w:val="22"/>
    <w:semiHidden/>
    <w:unhideWhenUsed/>
    <w:qFormat/>
    <w:uiPriority w:val="60"/>
    <w:rPr>
      <w:color w:val="548235" w:themeColor="accent6" w:themeShade="BF"/>
    </w:rPr>
    <w:tblPr>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28">
    <w:name w:val="Light List Accent 1"/>
    <w:basedOn w:val="22"/>
    <w:uiPriority w:val="61"/>
    <w:tblPr>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table" w:styleId="29">
    <w:name w:val="Light List Accent 5"/>
    <w:basedOn w:val="22"/>
    <w:uiPriority w:val="61"/>
    <w:tblPr>
      <w:tblBorders>
        <w:top w:val="single" w:color="4472C4" w:themeColor="accent5" w:sz="8" w:space="0"/>
        <w:left w:val="single" w:color="4472C4" w:themeColor="accent5" w:sz="8" w:space="0"/>
        <w:bottom w:val="single" w:color="4472C4" w:themeColor="accent5" w:sz="8" w:space="0"/>
        <w:right w:val="single" w:color="4472C4"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5"/>
      </w:tcPr>
    </w:tblStylePr>
    <w:tblStylePr w:type="lastRow">
      <w:pPr>
        <w:spacing w:before="0" w:after="0" w:line="240" w:lineRule="auto"/>
      </w:pPr>
      <w:rPr>
        <w:b/>
        <w:bCs/>
      </w:rPr>
      <w:tblPr/>
      <w:tcPr>
        <w:tcBorders>
          <w:top w:val="double" w:color="4472C4" w:themeColor="accent5" w:sz="6" w:space="0"/>
          <w:left w:val="single" w:color="4472C4" w:themeColor="accent5" w:sz="8" w:space="0"/>
          <w:bottom w:val="single" w:color="4472C4" w:themeColor="accent5" w:sz="8" w:space="0"/>
          <w:right w:val="single" w:color="4472C4" w:themeColor="accent5" w:sz="8" w:space="0"/>
        </w:tcBorders>
      </w:tcPr>
    </w:tblStylePr>
    <w:tblStylePr w:type="firstCol">
      <w:rPr>
        <w:b/>
        <w:bCs/>
      </w:rPr>
    </w:tblStylePr>
    <w:tblStylePr w:type="lastCol">
      <w:rPr>
        <w:b/>
        <w:bCs/>
      </w:rPr>
    </w:tblStylePr>
    <w:tblStylePr w:type="band1Vert">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tblStylePr w:type="band1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style>
  <w:style w:type="table" w:styleId="30">
    <w:name w:val="Light List Accent 6"/>
    <w:basedOn w:val="22"/>
    <w:qFormat/>
    <w:uiPriority w:val="61"/>
    <w:rPr>
      <w:rFonts w:ascii="Times New Roman" w:hAnsi="Times New Roman" w:eastAsia="宋体" w:cs="Times New Roman"/>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31">
    <w:name w:val="Light Grid Accent 1"/>
    <w:basedOn w:val="22"/>
    <w:uiPriority w:val="62"/>
    <w:tblPr>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sz="8" w:space="0"/>
        </w:tcBorders>
      </w:tcPr>
    </w:tblStylePr>
  </w:style>
  <w:style w:type="table" w:styleId="32">
    <w:name w:val="Light Grid Accent 2"/>
    <w:basedOn w:val="22"/>
    <w:qFormat/>
    <w:uiPriority w:val="62"/>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33">
    <w:name w:val="Light Grid Accent 5"/>
    <w:basedOn w:val="22"/>
    <w:qFormat/>
    <w:uiPriority w:val="62"/>
    <w:rPr>
      <w:rFonts w:ascii="Times New Roman" w:hAnsi="Times New Roman" w:eastAsia="宋体" w:cs="Times New Roman"/>
    </w:rPr>
    <w:tblPr>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5" w:sz="8" w:space="0"/>
          <w:left w:val="single" w:color="4472C4" w:themeColor="accent5" w:sz="8" w:space="0"/>
          <w:bottom w:val="single" w:color="4472C4" w:themeColor="accent5" w:sz="18" w:space="0"/>
          <w:right w:val="single" w:color="4472C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5" w:sz="6" w:space="0"/>
          <w:left w:val="single" w:color="4472C4" w:themeColor="accent5" w:sz="8" w:space="0"/>
          <w:bottom w:val="single" w:color="4472C4" w:themeColor="accent5" w:sz="8" w:space="0"/>
          <w:right w:val="single" w:color="4472C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tblStylePr w:type="band1Vert">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shd w:val="clear" w:color="auto" w:fill="D0DCF0" w:themeFill="accent5" w:themeFillTint="3F"/>
      </w:tcPr>
    </w:tblStylePr>
    <w:tblStylePr w:type="band1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insideV w:val="single" w:sz="8" w:space="0"/>
        </w:tcBorders>
        <w:shd w:val="clear" w:color="auto" w:fill="D0DCF0" w:themeFill="accent5" w:themeFillTint="3F"/>
      </w:tcPr>
    </w:tblStylePr>
    <w:tblStylePr w:type="band2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insideV w:val="single" w:sz="8" w:space="0"/>
        </w:tcBorders>
      </w:tcPr>
    </w:tblStylePr>
  </w:style>
  <w:style w:type="table" w:styleId="34">
    <w:name w:val="Light Grid Accent 6"/>
    <w:basedOn w:val="22"/>
    <w:unhideWhenUsed/>
    <w:qFormat/>
    <w:uiPriority w:val="62"/>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35">
    <w:name w:val="Medium Shading 1 Accent 1"/>
    <w:basedOn w:val="22"/>
    <w:uiPriority w:val="63"/>
    <w:tblPr>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nil"/>
          <w:insideV w:val="nil"/>
        </w:tcBorders>
        <w:shd w:val="clear" w:color="auto" w:fill="5B9BD5" w:themeFill="accent1"/>
      </w:tcPr>
    </w:tblStylePr>
    <w:tblStylePr w:type="lastRow">
      <w:pPr>
        <w:spacing w:before="0" w:after="0" w:line="240" w:lineRule="auto"/>
      </w:pPr>
      <w:rPr>
        <w:b/>
        <w:bCs/>
      </w:rPr>
      <w:tblPr/>
      <w:tcPr>
        <w:tcBorders>
          <w:top w:val="double" w:color="84B4DF" w:themeColor="accent1" w:themeTint="BF" w:sz="6" w:space="0"/>
          <w:left w:val="single" w:color="84B4DF" w:themeColor="accent1" w:themeTint="BF" w:sz="8" w:space="0"/>
          <w:bottom w:val="single" w:color="84B4DF" w:themeColor="accent1" w:themeTint="BF" w:sz="8" w:space="0"/>
          <w:right w:val="single" w:color="84B4D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36">
    <w:name w:val="Medium Shading 1 Accent 5"/>
    <w:basedOn w:val="22"/>
    <w:uiPriority w:val="63"/>
    <w:tblPr>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nil"/>
          <w:insideV w:val="nil"/>
        </w:tcBorders>
        <w:shd w:val="clear" w:color="auto" w:fill="4472C4" w:themeFill="accent5"/>
      </w:tcPr>
    </w:tblStylePr>
    <w:tblStylePr w:type="lastRow">
      <w:pPr>
        <w:spacing w:before="0" w:after="0" w:line="240" w:lineRule="auto"/>
      </w:pPr>
      <w:rPr>
        <w:b/>
        <w:bCs/>
      </w:rPr>
      <w:tblPr/>
      <w:tcPr>
        <w:tcBorders>
          <w:top w:val="double" w:color="7295D2" w:themeColor="accent5" w:themeTint="BF" w:sz="6" w:space="0"/>
          <w:left w:val="single" w:color="7295D2" w:themeColor="accent5" w:themeTint="BF" w:sz="8" w:space="0"/>
          <w:bottom w:val="single" w:color="7295D2" w:themeColor="accent5" w:themeTint="BF" w:sz="8" w:space="0"/>
          <w:right w:val="single" w:color="7295D2"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0DCF0" w:themeFill="accent5" w:themeFillTint="3F"/>
      </w:tcPr>
    </w:tblStylePr>
    <w:tblStylePr w:type="band1Horz">
      <w:tblPr/>
      <w:tcPr>
        <w:tcBorders>
          <w:insideH w:val="nil"/>
          <w:insideV w:val="nil"/>
        </w:tcBorders>
        <w:shd w:val="clear" w:color="auto" w:fill="D0DCF0" w:themeFill="accent5" w:themeFillTint="3F"/>
      </w:tcPr>
    </w:tblStylePr>
    <w:tblStylePr w:type="band2Horz">
      <w:tblPr/>
      <w:tcPr>
        <w:tcBorders>
          <w:insideH w:val="nil"/>
          <w:insideV w:val="nil"/>
        </w:tcBorders>
      </w:tcPr>
    </w:tblStylePr>
  </w:style>
  <w:style w:type="table" w:styleId="37">
    <w:name w:val="Medium Shading 2 Accent 6"/>
    <w:basedOn w:val="22"/>
    <w:qFormat/>
    <w:uiPriority w:val="64"/>
    <w:rPr>
      <w:rFonts w:ascii="Times New Roman" w:hAnsi="Times New Roman" w:eastAsia="宋体" w:cs="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38">
    <w:name w:val="Medium Grid 1 Accent 1"/>
    <w:basedOn w:val="22"/>
    <w:uiPriority w:val="67"/>
    <w:tblPr>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insideV w:val="single" w:color="84B4DF" w:themeColor="accent1" w:themeTint="BF" w:sz="8" w:space="0"/>
      </w:tblBorders>
    </w:tblPr>
    <w:tcPr>
      <w:shd w:val="clear" w:color="auto" w:fill="D6E6F4" w:themeFill="accent1" w:themeFillTint="3F"/>
    </w:tcPr>
    <w:tblStylePr w:type="firstRow">
      <w:rPr>
        <w:b/>
        <w:bCs/>
      </w:rPr>
    </w:tblStylePr>
    <w:tblStylePr w:type="lastRow">
      <w:rPr>
        <w:b/>
        <w:bCs/>
      </w:rPr>
      <w:tblPr/>
      <w:tcPr>
        <w:tcBorders>
          <w:top w:val="single" w:color="84B4DF" w:themeColor="accent1" w:themeTint="BF" w:sz="18" w:space="0"/>
        </w:tcBorders>
      </w:tcPr>
    </w:tblStylePr>
    <w:tblStylePr w:type="firstCol">
      <w:rPr>
        <w:b/>
        <w:bCs/>
      </w:rPr>
    </w:tblStylePr>
    <w:tblStylePr w:type="lastCol">
      <w:rPr>
        <w:b/>
        <w:bCs/>
      </w:rPr>
    </w:tblStylePr>
    <w:tblStylePr w:type="band1Vert">
      <w:tblPr/>
      <w:tcPr>
        <w:shd w:val="clear" w:color="auto" w:fill="ADCDEA" w:themeFill="accent1" w:themeFillTint="7F"/>
      </w:tcPr>
    </w:tblStylePr>
    <w:tblStylePr w:type="band1Horz">
      <w:tblPr/>
      <w:tcPr>
        <w:shd w:val="clear" w:color="auto" w:fill="ADCDEA" w:themeFill="accent1" w:themeFillTint="7F"/>
      </w:tcPr>
    </w:tblStylePr>
  </w:style>
  <w:style w:type="table" w:styleId="39">
    <w:name w:val="Medium Grid 1 Accent 5"/>
    <w:basedOn w:val="22"/>
    <w:uiPriority w:val="67"/>
    <w:tblPr>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Pr>
    <w:tcPr>
      <w:shd w:val="clear" w:color="auto" w:fill="D0DCF0" w:themeFill="accent5" w:themeFillTint="3F"/>
    </w:tcPr>
    <w:tblStylePr w:type="firstRow">
      <w:rPr>
        <w:b/>
        <w:bCs/>
      </w:rPr>
    </w:tblStylePr>
    <w:tblStylePr w:type="lastRow">
      <w:rPr>
        <w:b/>
        <w:bCs/>
      </w:rPr>
      <w:tblPr/>
      <w:tcPr>
        <w:tcBorders>
          <w:top w:val="single" w:color="7295D2" w:themeColor="accent5" w:themeTint="BF" w:sz="18" w:space="0"/>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40">
    <w:name w:val="Medium Grid 3 Accent 1"/>
    <w:basedOn w:val="2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1" w:themeFillTint="7F"/>
      </w:tcPr>
    </w:tblStylePr>
  </w:style>
  <w:style w:type="table" w:styleId="41">
    <w:name w:val="Medium Grid 3 Accent 5"/>
    <w:basedOn w:val="2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5" w:themeFillTint="7F"/>
      </w:tcPr>
    </w:tblStylePr>
  </w:style>
  <w:style w:type="table" w:styleId="42">
    <w:name w:val="Colorful Shading Accent 1"/>
    <w:basedOn w:val="22"/>
    <w:uiPriority w:val="71"/>
    <w:rPr>
      <w:color w:val="000000" w:themeColor="text1"/>
      <w14:textFill>
        <w14:solidFill>
          <w14:schemeClr w14:val="tx1"/>
        </w14:solidFill>
      </w14:textFill>
    </w:rPr>
    <w:tblPr>
      <w:tblBorders>
        <w:top w:val="single" w:color="ED7D31" w:themeColor="accent2" w:sz="24" w:space="0"/>
        <w:left w:val="single" w:color="5B9BD5" w:themeColor="accent1" w:sz="4" w:space="0"/>
        <w:bottom w:val="single" w:color="5B9BD5" w:themeColor="accent1" w:sz="4" w:space="0"/>
        <w:right w:val="single" w:color="5B9BD5" w:themeColor="accent1" w:sz="4" w:space="0"/>
        <w:insideH w:val="single" w:color="FFFFFF" w:themeColor="background1" w:sz="4" w:space="0"/>
        <w:insideV w:val="single" w:color="FFFFFF" w:themeColor="background1" w:sz="4" w:space="0"/>
      </w:tblBorders>
    </w:tblPr>
    <w:tcPr>
      <w:shd w:val="clear" w:color="auto" w:fill="EEF5FA"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DEA"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43">
    <w:name w:val="Colorful List Accent 5"/>
    <w:basedOn w:val="22"/>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CF1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5" w:themeFillTint="3F"/>
      </w:tcPr>
    </w:tblStylePr>
    <w:tblStylePr w:type="band1Horz">
      <w:tblPr/>
      <w:tcPr>
        <w:shd w:val="clear" w:color="auto" w:fill="D9E2F3" w:themeFill="accent5" w:themeFillTint="33"/>
      </w:tcPr>
    </w:tblStylePr>
  </w:style>
  <w:style w:type="table" w:styleId="44">
    <w:name w:val="Colorful List Accent 6"/>
    <w:basedOn w:val="22"/>
    <w:qFormat/>
    <w:uiPriority w:val="72"/>
    <w:rPr>
      <w:rFonts w:ascii="Times New Roman" w:hAnsi="Times New Roman" w:eastAsia="宋体" w:cs="Times New Roman"/>
      <w:color w:val="000000" w:themeColor="text1"/>
      <w14:textFill>
        <w14:solidFill>
          <w14:schemeClr w14:val="tx1"/>
        </w14:solidFill>
      </w14:textFill>
    </w:rPr>
    <w:tblPr>
      <w:tblStyleRowBandSize w:val="1"/>
      <w:tblStyleColBandSize w:val="1"/>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25AA0" w:themeFill="accent5" w:themeFillShade="CC"/>
      </w:tcPr>
    </w:tblStylePr>
    <w:tblStylePr w:type="lastRow">
      <w:rPr>
        <w:b/>
        <w:bCs/>
        <w:color w:val="335AA1"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character" w:styleId="46">
    <w:name w:val="Strong"/>
    <w:basedOn w:val="45"/>
    <w:qFormat/>
    <w:uiPriority w:val="22"/>
    <w:rPr>
      <w:b/>
      <w:bCs/>
    </w:rPr>
  </w:style>
  <w:style w:type="character" w:styleId="47">
    <w:name w:val="Emphasis"/>
    <w:basedOn w:val="45"/>
    <w:qFormat/>
    <w:uiPriority w:val="20"/>
    <w:rPr>
      <w:i/>
      <w:iCs/>
    </w:rPr>
  </w:style>
  <w:style w:type="character" w:styleId="48">
    <w:name w:val="Hyperlink"/>
    <w:basedOn w:val="45"/>
    <w:unhideWhenUsed/>
    <w:qFormat/>
    <w:uiPriority w:val="99"/>
    <w:rPr>
      <w:color w:val="0563C1" w:themeColor="hyperlink"/>
      <w:u w:val="single"/>
      <w14:textFill>
        <w14:solidFill>
          <w14:schemeClr w14:val="hlink"/>
        </w14:solidFill>
      </w14:textFill>
    </w:rPr>
  </w:style>
  <w:style w:type="character" w:customStyle="1" w:styleId="49">
    <w:name w:val="标题 1 Char"/>
    <w:basedOn w:val="45"/>
    <w:link w:val="2"/>
    <w:qFormat/>
    <w:uiPriority w:val="0"/>
    <w:rPr>
      <w:rFonts w:eastAsia="Microsoft YaHei UI" w:asciiTheme="majorHAnsi" w:hAnsiTheme="majorHAnsi" w:cstheme="majorBidi"/>
      <w:color w:val="5B9BD5" w:themeColor="accent1"/>
      <w:kern w:val="0"/>
      <w:sz w:val="36"/>
      <w:szCs w:val="36"/>
      <w:lang w:eastAsia="ja-JP"/>
      <w14:textFill>
        <w14:solidFill>
          <w14:schemeClr w14:val="accent1"/>
        </w14:solidFill>
      </w14:textFill>
    </w:rPr>
  </w:style>
  <w:style w:type="character" w:customStyle="1" w:styleId="50">
    <w:name w:val="标题 2 Char"/>
    <w:basedOn w:val="45"/>
    <w:link w:val="3"/>
    <w:qFormat/>
    <w:uiPriority w:val="0"/>
    <w:rPr>
      <w:rFonts w:eastAsia="仿宋_GB2312"/>
      <w:b/>
      <w:bCs/>
      <w:color w:val="000000" w:themeColor="text1"/>
      <w:kern w:val="0"/>
      <w:sz w:val="28"/>
      <w:szCs w:val="26"/>
      <w:lang w:eastAsia="ja-JP"/>
      <w14:textFill>
        <w14:solidFill>
          <w14:schemeClr w14:val="tx1"/>
        </w14:solidFill>
      </w14:textFill>
    </w:rPr>
  </w:style>
  <w:style w:type="character" w:customStyle="1" w:styleId="51">
    <w:name w:val="标题 3 Char"/>
    <w:basedOn w:val="45"/>
    <w:link w:val="4"/>
    <w:qFormat/>
    <w:uiPriority w:val="0"/>
    <w:rPr>
      <w:rFonts w:ascii="Times New Roman" w:hAnsi="Times New Roman" w:eastAsia="仿宋_GB2312"/>
      <w:sz w:val="28"/>
      <w:szCs w:val="20"/>
    </w:rPr>
  </w:style>
  <w:style w:type="character" w:customStyle="1" w:styleId="52">
    <w:name w:val="标题 4 Char"/>
    <w:basedOn w:val="45"/>
    <w:link w:val="5"/>
    <w:qFormat/>
    <w:uiPriority w:val="0"/>
    <w:rPr>
      <w:rFonts w:asciiTheme="majorHAnsi" w:hAnsiTheme="majorHAnsi" w:eastAsiaTheme="majorEastAsia" w:cstheme="majorBidi"/>
      <w:b/>
      <w:bCs/>
      <w:sz w:val="28"/>
      <w:szCs w:val="28"/>
    </w:rPr>
  </w:style>
  <w:style w:type="character" w:customStyle="1" w:styleId="53">
    <w:name w:val="标题 5 Char"/>
    <w:basedOn w:val="45"/>
    <w:link w:val="6"/>
    <w:qFormat/>
    <w:uiPriority w:val="0"/>
    <w:rPr>
      <w:rFonts w:ascii="Times New Roman" w:hAnsi="Times New Roman" w:eastAsia="仿宋"/>
      <w:b/>
      <w:bCs/>
      <w:sz w:val="28"/>
      <w:szCs w:val="28"/>
    </w:rPr>
  </w:style>
  <w:style w:type="paragraph" w:customStyle="1" w:styleId="54">
    <w:name w:val="列出段落1"/>
    <w:basedOn w:val="1"/>
    <w:qFormat/>
    <w:uiPriority w:val="34"/>
    <w:pPr>
      <w:ind w:firstLine="420"/>
    </w:pPr>
  </w:style>
  <w:style w:type="character" w:customStyle="1" w:styleId="55">
    <w:name w:val="页眉 Char"/>
    <w:basedOn w:val="45"/>
    <w:link w:val="14"/>
    <w:qFormat/>
    <w:uiPriority w:val="99"/>
    <w:rPr>
      <w:rFonts w:ascii="Times New Roman" w:hAnsi="Times New Roman" w:eastAsia="仿宋"/>
      <w:sz w:val="18"/>
      <w:szCs w:val="18"/>
    </w:rPr>
  </w:style>
  <w:style w:type="character" w:customStyle="1" w:styleId="56">
    <w:name w:val="页脚 Char"/>
    <w:basedOn w:val="45"/>
    <w:link w:val="13"/>
    <w:qFormat/>
    <w:uiPriority w:val="99"/>
    <w:rPr>
      <w:rFonts w:ascii="Times New Roman" w:hAnsi="Times New Roman" w:eastAsia="仿宋"/>
      <w:sz w:val="18"/>
      <w:szCs w:val="18"/>
    </w:rPr>
  </w:style>
  <w:style w:type="paragraph" w:styleId="57">
    <w:name w:val="List Paragraph"/>
    <w:basedOn w:val="1"/>
    <w:qFormat/>
    <w:uiPriority w:val="34"/>
    <w:pPr>
      <w:ind w:firstLine="420"/>
    </w:pPr>
  </w:style>
  <w:style w:type="table" w:customStyle="1" w:styleId="58">
    <w:name w:val="浅色网格 - 着色 61"/>
    <w:basedOn w:val="22"/>
    <w:qFormat/>
    <w:uiPriority w:val="62"/>
    <w:rPr>
      <w:rFonts w:ascii="Times New Roman" w:hAnsi="Times New Roman" w:eastAsia="宋体" w:cs="Times New Roman"/>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mbria" w:hAnsi="Cambria" w:eastAsia="宋体" w:cs="Times New Roman"/>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59">
    <w:name w:val="网格表 4 - 着色 11"/>
    <w:basedOn w:val="22"/>
    <w:qFormat/>
    <w:uiPriority w:val="49"/>
    <w:rPr>
      <w:rFonts w:ascii="等线" w:hAnsi="等线" w:eastAsia="等线" w:cs="宋体"/>
    </w:rPr>
    <w:tblPr>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doub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character" w:customStyle="1" w:styleId="60">
    <w:name w:val="fontstyle01"/>
    <w:basedOn w:val="45"/>
    <w:qFormat/>
    <w:uiPriority w:val="0"/>
    <w:rPr>
      <w:rFonts w:hint="eastAsia" w:ascii="仿宋_GB2312" w:eastAsia="仿宋_GB2312"/>
      <w:color w:val="000000"/>
      <w:sz w:val="28"/>
      <w:szCs w:val="28"/>
    </w:rPr>
  </w:style>
  <w:style w:type="character" w:customStyle="1" w:styleId="61">
    <w:name w:val="批注框文本 Char"/>
    <w:basedOn w:val="45"/>
    <w:link w:val="12"/>
    <w:qFormat/>
    <w:uiPriority w:val="0"/>
    <w:rPr>
      <w:rFonts w:ascii="Times New Roman" w:hAnsi="Times New Roman" w:eastAsia="仿宋"/>
      <w:sz w:val="18"/>
      <w:szCs w:val="18"/>
    </w:rPr>
  </w:style>
  <w:style w:type="paragraph" w:customStyle="1" w:styleId="62">
    <w:name w:val="WPSOffice手动目录 1"/>
    <w:qFormat/>
    <w:uiPriority w:val="0"/>
    <w:rPr>
      <w:rFonts w:asciiTheme="minorHAnsi" w:hAnsiTheme="minorHAnsi" w:eastAsiaTheme="minorEastAsia" w:cstheme="minorBidi"/>
      <w:lang w:val="en-US" w:eastAsia="zh-CN" w:bidi="ar-SA"/>
    </w:rPr>
  </w:style>
  <w:style w:type="paragraph" w:customStyle="1" w:styleId="63">
    <w:name w:val="TOC 标题1"/>
    <w:basedOn w:val="2"/>
    <w:next w:val="1"/>
    <w:unhideWhenUsed/>
    <w:qFormat/>
    <w:uiPriority w:val="39"/>
    <w:pPr>
      <w:pBdr>
        <w:bottom w:val="none" w:color="auto" w:sz="0" w:space="0"/>
      </w:pBdr>
      <w:spacing w:before="480" w:after="0" w:line="276" w:lineRule="auto"/>
      <w:ind w:firstLine="200" w:firstLineChars="200"/>
      <w:outlineLvl w:val="9"/>
    </w:pPr>
    <w:rPr>
      <w:rFonts w:eastAsiaTheme="majorEastAsia"/>
      <w:b/>
      <w:bCs/>
      <w:color w:val="2E75B6" w:themeColor="accent1" w:themeShade="BF"/>
      <w:sz w:val="28"/>
      <w:szCs w:val="28"/>
      <w:lang w:eastAsia="zh-CN"/>
    </w:rPr>
  </w:style>
  <w:style w:type="table" w:customStyle="1" w:styleId="64">
    <w:name w:val="浅色网格 - 强调文字颜色 51"/>
    <w:basedOn w:val="22"/>
    <w:qFormat/>
    <w:uiPriority w:val="62"/>
    <w:rPr>
      <w:rFonts w:ascii="Calibri" w:hAnsi="Calibri" w:eastAsia="宋体" w:cs="Times New Roman"/>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mbria" w:hAnsi="Cambria" w:eastAsia="宋体"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character" w:customStyle="1" w:styleId="65">
    <w:name w:val="批注文字 Char"/>
    <w:basedOn w:val="45"/>
    <w:link w:val="8"/>
    <w:semiHidden/>
    <w:qFormat/>
    <w:uiPriority w:val="0"/>
    <w:rPr>
      <w:rFonts w:ascii="Times New Roman" w:hAnsi="Times New Roman" w:eastAsia="仿宋"/>
      <w:sz w:val="24"/>
      <w:szCs w:val="20"/>
    </w:rPr>
  </w:style>
  <w:style w:type="character" w:customStyle="1" w:styleId="66">
    <w:name w:val="批注文字 字符1"/>
    <w:basedOn w:val="45"/>
    <w:semiHidden/>
    <w:qFormat/>
    <w:uiPriority w:val="99"/>
    <w:rPr>
      <w:rFonts w:ascii="Times New Roman" w:hAnsi="Times New Roman" w:eastAsia="仿宋"/>
      <w:sz w:val="24"/>
      <w:szCs w:val="20"/>
    </w:rPr>
  </w:style>
  <w:style w:type="character" w:customStyle="1" w:styleId="67">
    <w:name w:val="批注主题 Char"/>
    <w:basedOn w:val="65"/>
    <w:link w:val="21"/>
    <w:semiHidden/>
    <w:qFormat/>
    <w:uiPriority w:val="0"/>
    <w:rPr>
      <w:rFonts w:ascii="Times New Roman" w:hAnsi="Times New Roman" w:eastAsia="仿宋"/>
      <w:b/>
      <w:bCs/>
      <w:sz w:val="24"/>
      <w:szCs w:val="20"/>
    </w:rPr>
  </w:style>
  <w:style w:type="character" w:customStyle="1" w:styleId="68">
    <w:name w:val="批注主题 字符1"/>
    <w:basedOn w:val="66"/>
    <w:semiHidden/>
    <w:qFormat/>
    <w:uiPriority w:val="99"/>
    <w:rPr>
      <w:rFonts w:ascii="Times New Roman" w:hAnsi="Times New Roman" w:eastAsia="仿宋"/>
      <w:b/>
      <w:bCs/>
      <w:sz w:val="24"/>
      <w:szCs w:val="20"/>
    </w:rPr>
  </w:style>
  <w:style w:type="table" w:customStyle="1" w:styleId="69">
    <w:name w:val="浅色底纹 - 着色 61"/>
    <w:basedOn w:val="22"/>
    <w:qFormat/>
    <w:uiPriority w:val="60"/>
    <w:rPr>
      <w:rFonts w:ascii="Times New Roman" w:hAnsi="Times New Roman" w:eastAsia="宋体" w:cs="Times New Roman"/>
      <w:color w:val="E36C0A"/>
    </w:rPr>
    <w:tblPr>
      <w:tblBorders>
        <w:top w:val="single" w:color="F79646" w:sz="8" w:space="0"/>
        <w:bottom w:val="single" w:color="F79646" w:sz="8" w:space="0"/>
      </w:tblBorders>
    </w:tblPr>
    <w:tblStylePr w:type="fir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70">
    <w:name w:val="浅色列表 - 着色 61"/>
    <w:basedOn w:val="22"/>
    <w:qFormat/>
    <w:uiPriority w:val="61"/>
    <w:rPr>
      <w:rFonts w:ascii="Times New Roman" w:hAnsi="Times New Roman" w:eastAsia="宋体" w:cs="Times New Roman"/>
    </w:rPr>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cPr>
        <w:shd w:val="clear" w:color="auto" w:fill="F79646"/>
      </w:tcPr>
    </w:tblStylePr>
    <w:tblStylePr w:type="lastRow">
      <w:pPr>
        <w:spacing w:before="0" w:after="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71">
    <w:name w:val="浅色网格 - 着色 62"/>
    <w:basedOn w:val="22"/>
    <w:qFormat/>
    <w:uiPriority w:val="62"/>
    <w:rPr>
      <w:rFonts w:ascii="Times New Roman" w:hAnsi="Times New Roman" w:eastAsia="宋体" w:cs="Times New Roman"/>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mbria" w:hAnsi="Cambria" w:eastAsia="宋体" w:cs="Times New Roman"/>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72">
    <w:name w:val="彩色列表 - 着色 51"/>
    <w:basedOn w:val="22"/>
    <w:qFormat/>
    <w:uiPriority w:val="72"/>
    <w:rPr>
      <w:rFonts w:ascii="Times New Roman" w:hAnsi="Times New Roman" w:eastAsia="宋体" w:cs="Times New Roman"/>
      <w:color w:val="000000"/>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cPr>
    </w:tblStylePr>
    <w:tblStylePr w:type="band1Horz">
      <w:tcPr>
        <w:shd w:val="clear" w:color="auto" w:fill="DAEEF3"/>
      </w:tcPr>
    </w:tblStylePr>
  </w:style>
  <w:style w:type="table" w:customStyle="1" w:styleId="73">
    <w:name w:val="彩色列表 - 着色 61"/>
    <w:basedOn w:val="22"/>
    <w:qFormat/>
    <w:uiPriority w:val="72"/>
    <w:rPr>
      <w:rFonts w:ascii="Times New Roman" w:hAnsi="Times New Roman" w:eastAsia="宋体" w:cs="Times New Roman"/>
      <w:color w:val="000000"/>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cPr>
    </w:tblStylePr>
    <w:tblStylePr w:type="band1Horz">
      <w:tcPr>
        <w:shd w:val="clear" w:color="auto" w:fill="FDE9D9"/>
      </w:tcPr>
    </w:tblStylePr>
  </w:style>
  <w:style w:type="table" w:customStyle="1" w:styleId="74">
    <w:name w:val="浅色网格 - 强调文字颜色 511"/>
    <w:basedOn w:val="22"/>
    <w:qFormat/>
    <w:uiPriority w:val="62"/>
    <w:rPr>
      <w:rFonts w:ascii="Calibri" w:hAnsi="Calibri" w:eastAsia="宋体" w:cs="Times New Roman"/>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mbria" w:hAnsi="Cambria" w:eastAsia="宋体"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75">
    <w:name w:val="浅色网格 - 着色 51"/>
    <w:basedOn w:val="22"/>
    <w:qFormat/>
    <w:uiPriority w:val="62"/>
    <w:rPr>
      <w:rFonts w:ascii="Times New Roman" w:hAnsi="Times New Roman" w:eastAsia="宋体" w:cs="Times New Roman"/>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mbria" w:hAnsi="Cambria" w:eastAsia="宋体"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76">
    <w:name w:val="浅色底纹 - 着色 31"/>
    <w:basedOn w:val="2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77">
    <w:name w:val="浅色网格 - 着色 63"/>
    <w:basedOn w:val="22"/>
    <w:qFormat/>
    <w:uiPriority w:val="62"/>
    <w:rPr>
      <w:rFonts w:ascii="Times New Roman" w:hAnsi="Times New Roman" w:eastAsia="宋体" w:cs="Times New Roman"/>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mbria" w:hAnsi="Cambria" w:eastAsia="宋体" w:cs="Times New Roman"/>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78">
    <w:name w:val="网格表 4 - 着色 111"/>
    <w:basedOn w:val="22"/>
    <w:qFormat/>
    <w:uiPriority w:val="49"/>
    <w:rPr>
      <w:rFonts w:ascii="等线" w:hAnsi="等线" w:eastAsia="等线" w:cs="宋体"/>
    </w:rPr>
    <w:tblPr>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doub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79">
    <w:name w:val="中等深浅底纹 2 - 着色 61"/>
    <w:basedOn w:val="22"/>
    <w:qFormat/>
    <w:uiPriority w:val="64"/>
    <w:rPr>
      <w:rFonts w:ascii="Times New Roman" w:hAnsi="Times New Roman" w:eastAsia="宋体" w:cs="Times New Roman"/>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70AD47"/>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70AD47"/>
      </w:tcPr>
    </w:tblStylePr>
    <w:tblStylePr w:type="lastCol">
      <w:rPr>
        <w:b/>
        <w:bCs/>
        <w:color w:val="FFFFFF"/>
      </w:rPr>
      <w:tcPr>
        <w:tcBorders>
          <w:left w:val="nil"/>
          <w:right w:val="nil"/>
          <w:insideH w:val="nil"/>
          <w:insideV w:val="nil"/>
        </w:tcBorders>
        <w:shd w:val="clear" w:color="auto" w:fill="70AD47"/>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80">
    <w:name w:val="浅色列表 - 着色 62"/>
    <w:basedOn w:val="22"/>
    <w:qFormat/>
    <w:uiPriority w:val="61"/>
    <w:rPr>
      <w:rFonts w:ascii="Times New Roman" w:hAnsi="Times New Roman" w:eastAsia="宋体" w:cs="Times New Roman"/>
    </w:rPr>
    <w:tblPr>
      <w:tblBorders>
        <w:top w:val="single" w:color="70AD47" w:sz="8" w:space="0"/>
        <w:left w:val="single" w:color="70AD47" w:sz="8" w:space="0"/>
        <w:bottom w:val="single" w:color="70AD47" w:sz="8" w:space="0"/>
        <w:right w:val="single" w:color="70AD47" w:sz="8" w:space="0"/>
      </w:tblBorders>
    </w:tblPr>
    <w:tblStylePr w:type="firstRow">
      <w:pPr>
        <w:spacing w:before="0" w:after="0" w:line="240" w:lineRule="auto"/>
      </w:pPr>
      <w:rPr>
        <w:b/>
        <w:bCs/>
        <w:color w:val="FFFFFF"/>
      </w:rPr>
      <w:tcPr>
        <w:shd w:val="clear" w:color="auto" w:fill="70AD47"/>
      </w:tcPr>
    </w:tblStylePr>
    <w:tblStylePr w:type="lastRow">
      <w:pPr>
        <w:spacing w:before="0" w:after="0" w:line="240" w:lineRule="auto"/>
      </w:pPr>
      <w:rPr>
        <w:b/>
        <w:bCs/>
      </w:rPr>
      <w:tcPr>
        <w:tcBorders>
          <w:top w:val="double" w:color="70AD47" w:sz="6" w:space="0"/>
          <w:left w:val="single" w:color="70AD47" w:sz="8" w:space="0"/>
          <w:bottom w:val="single" w:color="70AD47" w:sz="8" w:space="0"/>
          <w:right w:val="single" w:color="70AD47" w:sz="8" w:space="0"/>
        </w:tcBorders>
      </w:tcPr>
    </w:tblStylePr>
    <w:tblStylePr w:type="firstCol">
      <w:rPr>
        <w:b/>
        <w:bCs/>
      </w:rPr>
    </w:tblStylePr>
    <w:tblStylePr w:type="lastCol">
      <w:rPr>
        <w:b/>
        <w:bCs/>
      </w:rPr>
    </w:tblStylePr>
    <w:tblStylePr w:type="band1Vert">
      <w:tcPr>
        <w:tcBorders>
          <w:top w:val="single" w:color="70AD47" w:sz="8" w:space="0"/>
          <w:left w:val="single" w:color="70AD47" w:sz="8" w:space="0"/>
          <w:bottom w:val="single" w:color="70AD47" w:sz="8" w:space="0"/>
          <w:right w:val="single" w:color="70AD47" w:sz="8" w:space="0"/>
        </w:tcBorders>
      </w:tcPr>
    </w:tblStylePr>
    <w:tblStylePr w:type="band1Horz">
      <w:tcPr>
        <w:tcBorders>
          <w:top w:val="single" w:color="70AD47" w:sz="8" w:space="0"/>
          <w:left w:val="single" w:color="70AD47" w:sz="8" w:space="0"/>
          <w:bottom w:val="single" w:color="70AD47" w:sz="8" w:space="0"/>
          <w:right w:val="single" w:color="70AD47" w:sz="8" w:space="0"/>
        </w:tcBorders>
      </w:tcPr>
    </w:tblStylePr>
  </w:style>
  <w:style w:type="paragraph" w:customStyle="1" w:styleId="81">
    <w:name w:val="TOC 标题2"/>
    <w:basedOn w:val="2"/>
    <w:next w:val="1"/>
    <w:unhideWhenUsed/>
    <w:qFormat/>
    <w:uiPriority w:val="39"/>
    <w:pPr>
      <w:pBdr>
        <w:bottom w:val="none" w:color="auto" w:sz="0" w:space="0"/>
      </w:pBdr>
      <w:spacing w:before="240" w:after="0" w:line="259" w:lineRule="auto"/>
      <w:outlineLvl w:val="9"/>
    </w:pPr>
    <w:rPr>
      <w:rFonts w:eastAsiaTheme="majorEastAsia"/>
      <w:color w:val="2E75B6" w:themeColor="accent1" w:themeShade="BF"/>
      <w:sz w:val="32"/>
      <w:szCs w:val="32"/>
      <w:lang w:eastAsia="zh-CN"/>
    </w:rPr>
  </w:style>
  <w:style w:type="character" w:customStyle="1" w:styleId="82">
    <w:name w:val="未处理的提及1"/>
    <w:basedOn w:val="45"/>
    <w:semiHidden/>
    <w:unhideWhenUsed/>
    <w:qFormat/>
    <w:uiPriority w:val="99"/>
    <w:rPr>
      <w:color w:val="605E5C"/>
      <w:shd w:val="clear" w:color="auto" w:fill="E1DFDD"/>
    </w:rPr>
  </w:style>
  <w:style w:type="paragraph" w:customStyle="1" w:styleId="83">
    <w:name w:val="标题1"/>
    <w:basedOn w:val="1"/>
    <w:link w:val="85"/>
    <w:qFormat/>
    <w:uiPriority w:val="0"/>
    <w:pPr>
      <w:ind w:firstLine="560"/>
      <w:jc w:val="center"/>
    </w:pPr>
    <w:rPr>
      <w:rFonts w:eastAsia="方正小标宋简体"/>
      <w:sz w:val="44"/>
    </w:rPr>
  </w:style>
  <w:style w:type="paragraph" w:customStyle="1" w:styleId="84">
    <w:name w:val="标题2"/>
    <w:basedOn w:val="1"/>
    <w:link w:val="86"/>
    <w:qFormat/>
    <w:uiPriority w:val="0"/>
    <w:pPr>
      <w:ind w:firstLine="560"/>
      <w:jc w:val="left"/>
    </w:pPr>
    <w:rPr>
      <w:rFonts w:eastAsia="黑体"/>
      <w:b/>
      <w:sz w:val="32"/>
    </w:rPr>
  </w:style>
  <w:style w:type="character" w:customStyle="1" w:styleId="85">
    <w:name w:val="标题1 字符"/>
    <w:basedOn w:val="45"/>
    <w:link w:val="83"/>
    <w:qFormat/>
    <w:uiPriority w:val="0"/>
    <w:rPr>
      <w:rFonts w:ascii="Times New Roman" w:hAnsi="Times New Roman" w:eastAsia="方正小标宋简体"/>
      <w:sz w:val="44"/>
      <w:szCs w:val="20"/>
    </w:rPr>
  </w:style>
  <w:style w:type="character" w:customStyle="1" w:styleId="86">
    <w:name w:val="标题2 字符"/>
    <w:basedOn w:val="45"/>
    <w:link w:val="84"/>
    <w:qFormat/>
    <w:uiPriority w:val="0"/>
    <w:rPr>
      <w:rFonts w:ascii="Times New Roman" w:hAnsi="Times New Roman" w:eastAsia="黑体"/>
      <w:b/>
      <w:sz w:val="32"/>
      <w:szCs w:val="20"/>
    </w:rPr>
  </w:style>
  <w:style w:type="table" w:customStyle="1" w:styleId="87">
    <w:name w:val="浅色网格 - 强调文字颜色 512"/>
    <w:basedOn w:val="22"/>
    <w:qFormat/>
    <w:uiPriority w:val="62"/>
    <w:rPr>
      <w:rFonts w:ascii="Calibri" w:hAnsi="Calibri" w:eastAsia="宋体" w:cs="Times New Roman"/>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mbria" w:hAnsi="Cambria" w:eastAsia="宋体"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88">
    <w:name w:val="浅色底纹 - 强调文字颜色 61"/>
    <w:basedOn w:val="22"/>
    <w:qFormat/>
    <w:uiPriority w:val="60"/>
    <w:rPr>
      <w:rFonts w:ascii="Times New Roman" w:hAnsi="Times New Roman" w:eastAsia="宋体" w:cs="Times New Roman"/>
      <w:color w:val="538135"/>
    </w:rPr>
    <w:tblPr>
      <w:tblBorders>
        <w:top w:val="single" w:color="70AD47" w:sz="8" w:space="0"/>
        <w:bottom w:val="single" w:color="70AD47" w:sz="8" w:space="0"/>
      </w:tblBorders>
    </w:tblPr>
    <w:tblStylePr w:type="firstRow">
      <w:pPr>
        <w:spacing w:before="0" w:after="0" w:line="240" w:lineRule="auto"/>
      </w:pPr>
      <w:rPr>
        <w:b/>
        <w:bCs/>
      </w:rPr>
      <w:tcPr>
        <w:tcBorders>
          <w:top w:val="single" w:color="70AD47" w:sz="8" w:space="0"/>
          <w:left w:val="nil"/>
          <w:bottom w:val="single" w:color="70AD47" w:sz="8" w:space="0"/>
          <w:right w:val="nil"/>
          <w:insideH w:val="nil"/>
          <w:insideV w:val="nil"/>
        </w:tcBorders>
      </w:tcPr>
    </w:tblStylePr>
    <w:tblStylePr w:type="lastRow">
      <w:pPr>
        <w:spacing w:before="0" w:after="0" w:line="240" w:lineRule="auto"/>
      </w:pPr>
      <w:rPr>
        <w:b/>
        <w:bCs/>
      </w:rPr>
      <w:tcPr>
        <w:tcBorders>
          <w:top w:val="single" w:color="70AD47" w:sz="8" w:space="0"/>
          <w:left w:val="nil"/>
          <w:bottom w:val="single" w:color="70AD47"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BEBD0"/>
      </w:tcPr>
    </w:tblStylePr>
    <w:tblStylePr w:type="band1Horz">
      <w:tcPr>
        <w:tcBorders>
          <w:left w:val="nil"/>
          <w:right w:val="nil"/>
          <w:insideH w:val="nil"/>
          <w:insideV w:val="nil"/>
        </w:tcBorders>
        <w:shd w:val="clear" w:color="auto" w:fill="DBEBD0"/>
      </w:tcPr>
    </w:tblStylePr>
  </w:style>
  <w:style w:type="table" w:customStyle="1" w:styleId="89">
    <w:name w:val="浅色列表 - 强调文字颜色 61"/>
    <w:basedOn w:val="22"/>
    <w:qFormat/>
    <w:uiPriority w:val="61"/>
    <w:rPr>
      <w:rFonts w:ascii="Times New Roman" w:hAnsi="Times New Roman" w:eastAsia="宋体" w:cs="Times New Roman"/>
    </w:rPr>
    <w:tblPr>
      <w:tblBorders>
        <w:top w:val="single" w:color="70AD47" w:sz="8" w:space="0"/>
        <w:left w:val="single" w:color="70AD47" w:sz="8" w:space="0"/>
        <w:bottom w:val="single" w:color="70AD47" w:sz="8" w:space="0"/>
        <w:right w:val="single" w:color="70AD47" w:sz="8" w:space="0"/>
      </w:tblBorders>
    </w:tblPr>
    <w:tblStylePr w:type="firstRow">
      <w:pPr>
        <w:spacing w:before="0" w:after="0" w:line="240" w:lineRule="auto"/>
      </w:pPr>
      <w:rPr>
        <w:b/>
        <w:bCs/>
        <w:color w:val="FFFFFF"/>
      </w:rPr>
      <w:tcPr>
        <w:shd w:val="clear" w:color="auto" w:fill="70AD47"/>
      </w:tcPr>
    </w:tblStylePr>
    <w:tblStylePr w:type="lastRow">
      <w:pPr>
        <w:spacing w:before="0" w:after="0" w:line="240" w:lineRule="auto"/>
      </w:pPr>
      <w:rPr>
        <w:b/>
        <w:bCs/>
      </w:rPr>
      <w:tcPr>
        <w:tcBorders>
          <w:top w:val="double" w:color="70AD47" w:sz="6" w:space="0"/>
          <w:left w:val="single" w:color="70AD47" w:sz="8" w:space="0"/>
          <w:bottom w:val="single" w:color="70AD47" w:sz="8" w:space="0"/>
          <w:right w:val="single" w:color="70AD47" w:sz="8" w:space="0"/>
        </w:tcBorders>
      </w:tcPr>
    </w:tblStylePr>
    <w:tblStylePr w:type="firstCol">
      <w:rPr>
        <w:b/>
        <w:bCs/>
      </w:rPr>
    </w:tblStylePr>
    <w:tblStylePr w:type="lastCol">
      <w:rPr>
        <w:b/>
        <w:bCs/>
      </w:rPr>
    </w:tblStylePr>
    <w:tblStylePr w:type="band1Vert">
      <w:tcPr>
        <w:tcBorders>
          <w:top w:val="single" w:color="70AD47" w:sz="8" w:space="0"/>
          <w:left w:val="single" w:color="70AD47" w:sz="8" w:space="0"/>
          <w:bottom w:val="single" w:color="70AD47" w:sz="8" w:space="0"/>
          <w:right w:val="single" w:color="70AD47" w:sz="8" w:space="0"/>
        </w:tcBorders>
      </w:tcPr>
    </w:tblStylePr>
    <w:tblStylePr w:type="band1Horz">
      <w:tcPr>
        <w:tcBorders>
          <w:top w:val="single" w:color="70AD47" w:sz="8" w:space="0"/>
          <w:left w:val="single" w:color="70AD47" w:sz="8" w:space="0"/>
          <w:bottom w:val="single" w:color="70AD47" w:sz="8" w:space="0"/>
          <w:right w:val="single" w:color="70AD47" w:sz="8" w:space="0"/>
        </w:tcBorders>
      </w:tcPr>
    </w:tblStylePr>
  </w:style>
  <w:style w:type="table" w:customStyle="1" w:styleId="90">
    <w:name w:val="浅色网格 - 强调文字颜色 513"/>
    <w:basedOn w:val="22"/>
    <w:qFormat/>
    <w:uiPriority w:val="62"/>
    <w:rPr>
      <w:rFonts w:ascii="Calibri" w:hAnsi="Calibri" w:eastAsia="宋体" w:cs="Times New Roman"/>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mbria" w:hAnsi="Cambria" w:eastAsia="宋体"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91">
    <w:name w:val="浅色列表 - 强调文字颜色 62"/>
    <w:basedOn w:val="22"/>
    <w:qFormat/>
    <w:uiPriority w:val="61"/>
    <w:rPr>
      <w:rFonts w:ascii="Times New Roman" w:hAnsi="Times New Roman" w:eastAsia="宋体" w:cs="Times New Roman"/>
    </w:rPr>
    <w:tblPr>
      <w:tblBorders>
        <w:top w:val="single" w:color="70AD47" w:sz="8" w:space="0"/>
        <w:left w:val="single" w:color="70AD47" w:sz="8" w:space="0"/>
        <w:bottom w:val="single" w:color="70AD47" w:sz="8" w:space="0"/>
        <w:right w:val="single" w:color="70AD47" w:sz="8" w:space="0"/>
      </w:tblBorders>
    </w:tblPr>
    <w:tblStylePr w:type="firstRow">
      <w:pPr>
        <w:spacing w:before="0" w:after="0" w:line="240" w:lineRule="auto"/>
      </w:pPr>
      <w:rPr>
        <w:b/>
        <w:bCs/>
        <w:color w:val="FFFFFF"/>
      </w:rPr>
      <w:tcPr>
        <w:shd w:val="clear" w:color="auto" w:fill="70AD47"/>
      </w:tcPr>
    </w:tblStylePr>
    <w:tblStylePr w:type="lastRow">
      <w:pPr>
        <w:spacing w:before="0" w:after="0" w:line="240" w:lineRule="auto"/>
      </w:pPr>
      <w:rPr>
        <w:b/>
        <w:bCs/>
      </w:rPr>
      <w:tcPr>
        <w:tcBorders>
          <w:top w:val="double" w:color="70AD47" w:sz="6" w:space="0"/>
          <w:left w:val="single" w:color="70AD47" w:sz="8" w:space="0"/>
          <w:bottom w:val="single" w:color="70AD47" w:sz="8" w:space="0"/>
          <w:right w:val="single" w:color="70AD47" w:sz="8" w:space="0"/>
        </w:tcBorders>
      </w:tcPr>
    </w:tblStylePr>
    <w:tblStylePr w:type="firstCol">
      <w:rPr>
        <w:b/>
        <w:bCs/>
      </w:rPr>
    </w:tblStylePr>
    <w:tblStylePr w:type="lastCol">
      <w:rPr>
        <w:b/>
        <w:bCs/>
      </w:rPr>
    </w:tblStylePr>
    <w:tblStylePr w:type="band1Vert">
      <w:tcPr>
        <w:tcBorders>
          <w:top w:val="single" w:color="70AD47" w:sz="8" w:space="0"/>
          <w:left w:val="single" w:color="70AD47" w:sz="8" w:space="0"/>
          <w:bottom w:val="single" w:color="70AD47" w:sz="8" w:space="0"/>
          <w:right w:val="single" w:color="70AD47" w:sz="8" w:space="0"/>
        </w:tcBorders>
      </w:tcPr>
    </w:tblStylePr>
    <w:tblStylePr w:type="band1Horz">
      <w:tcPr>
        <w:tcBorders>
          <w:top w:val="single" w:color="70AD47" w:sz="8" w:space="0"/>
          <w:left w:val="single" w:color="70AD47" w:sz="8" w:space="0"/>
          <w:bottom w:val="single" w:color="70AD47" w:sz="8" w:space="0"/>
          <w:right w:val="single" w:color="70AD47" w:sz="8" w:space="0"/>
        </w:tcBorders>
      </w:tcPr>
    </w:tblStylePr>
  </w:style>
  <w:style w:type="table" w:customStyle="1" w:styleId="92">
    <w:name w:val="无格式表格 11"/>
    <w:basedOn w:val="22"/>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93">
    <w:name w:val="网格表 21"/>
    <w:basedOn w:val="22"/>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94">
    <w:name w:val="网格表 1 浅色1"/>
    <w:basedOn w:val="22"/>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95">
    <w:name w:val="未处理的提及2"/>
    <w:basedOn w:val="45"/>
    <w:semiHidden/>
    <w:unhideWhenUsed/>
    <w:uiPriority w:val="99"/>
    <w:rPr>
      <w:color w:val="605E5C"/>
      <w:shd w:val="clear" w:color="auto" w:fill="E1DFDD"/>
    </w:rPr>
  </w:style>
  <w:style w:type="character" w:customStyle="1" w:styleId="96">
    <w:name w:val="txt"/>
    <w:basedOn w:val="45"/>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customXml" Target="../customXml/item1.xml"/><Relationship Id="rId61" Type="http://schemas.openxmlformats.org/officeDocument/2006/relationships/image" Target="media/image19.png"/><Relationship Id="rId60" Type="http://schemas.openxmlformats.org/officeDocument/2006/relationships/image" Target="media/image18.png"/><Relationship Id="rId6" Type="http://schemas.openxmlformats.org/officeDocument/2006/relationships/header" Target="header2.xml"/><Relationship Id="rId59" Type="http://schemas.openxmlformats.org/officeDocument/2006/relationships/image" Target="media/image17.png"/><Relationship Id="rId58" Type="http://schemas.microsoft.com/office/2007/relationships/diagramDrawing" Target="diagrams/drawing4.xml"/><Relationship Id="rId57" Type="http://schemas.openxmlformats.org/officeDocument/2006/relationships/diagramColors" Target="diagrams/colors4.xml"/><Relationship Id="rId56" Type="http://schemas.openxmlformats.org/officeDocument/2006/relationships/diagramQuickStyle" Target="diagrams/quickStyle4.xml"/><Relationship Id="rId55" Type="http://schemas.openxmlformats.org/officeDocument/2006/relationships/diagramLayout" Target="diagrams/layout4.xml"/><Relationship Id="rId54" Type="http://schemas.openxmlformats.org/officeDocument/2006/relationships/diagramData" Target="diagrams/data4.xml"/><Relationship Id="rId53" Type="http://schemas.openxmlformats.org/officeDocument/2006/relationships/image" Target="media/image16.png"/><Relationship Id="rId52" Type="http://schemas.microsoft.com/office/2007/relationships/diagramDrawing" Target="diagrams/drawing3.xml"/><Relationship Id="rId51" Type="http://schemas.openxmlformats.org/officeDocument/2006/relationships/diagramColors" Target="diagrams/colors3.xml"/><Relationship Id="rId50" Type="http://schemas.openxmlformats.org/officeDocument/2006/relationships/diagramQuickStyle" Target="diagrams/quickStyle3.xml"/><Relationship Id="rId5" Type="http://schemas.openxmlformats.org/officeDocument/2006/relationships/header" Target="header1.xml"/><Relationship Id="rId49" Type="http://schemas.openxmlformats.org/officeDocument/2006/relationships/diagramLayout" Target="diagrams/layout3.xml"/><Relationship Id="rId48" Type="http://schemas.openxmlformats.org/officeDocument/2006/relationships/diagramData" Target="diagrams/data3.xml"/><Relationship Id="rId47" Type="http://schemas.microsoft.com/office/2007/relationships/diagramDrawing" Target="diagrams/drawing2.xml"/><Relationship Id="rId46" Type="http://schemas.openxmlformats.org/officeDocument/2006/relationships/diagramColors" Target="diagrams/colors2.xml"/><Relationship Id="rId45" Type="http://schemas.openxmlformats.org/officeDocument/2006/relationships/diagramQuickStyle" Target="diagrams/quickStyle2.xml"/><Relationship Id="rId44" Type="http://schemas.openxmlformats.org/officeDocument/2006/relationships/diagramLayout" Target="diagrams/layout2.xml"/><Relationship Id="rId43" Type="http://schemas.openxmlformats.org/officeDocument/2006/relationships/diagramData" Target="diagrams/data2.xml"/><Relationship Id="rId42" Type="http://schemas.microsoft.com/office/2007/relationships/diagramDrawing" Target="diagrams/drawing1.xml"/><Relationship Id="rId41" Type="http://schemas.openxmlformats.org/officeDocument/2006/relationships/diagramColors" Target="diagrams/colors1.xml"/><Relationship Id="rId40" Type="http://schemas.openxmlformats.org/officeDocument/2006/relationships/diagramQuickStyle" Target="diagrams/quickStyle1.xml"/><Relationship Id="rId4" Type="http://schemas.openxmlformats.org/officeDocument/2006/relationships/endnotes" Target="endnotes.xml"/><Relationship Id="rId39" Type="http://schemas.openxmlformats.org/officeDocument/2006/relationships/diagramLayout" Target="diagrams/layout1.xml"/><Relationship Id="rId38" Type="http://schemas.openxmlformats.org/officeDocument/2006/relationships/diagramData" Target="diagrams/data1.xml"/><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chart" Target="charts/chart5.xml"/><Relationship Id="rId33" Type="http://schemas.openxmlformats.org/officeDocument/2006/relationships/chart" Target="charts/chart4.xml"/><Relationship Id="rId32" Type="http://schemas.openxmlformats.org/officeDocument/2006/relationships/image" Target="media/image12.png"/><Relationship Id="rId31" Type="http://schemas.openxmlformats.org/officeDocument/2006/relationships/chart" Target="charts/chart3.xml"/><Relationship Id="rId30" Type="http://schemas.openxmlformats.org/officeDocument/2006/relationships/chart" Target="charts/chart2.xml"/><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chart" Target="charts/chart1.xml"/><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Workbook4.xlsx"/></Relationships>
</file>

<file path=word/charts/_rels/chart2.xml.rels><?xml version="1.0" encoding="UTF-8" standalone="yes"?>
<Relationships xmlns="http://schemas.openxmlformats.org/package/2006/relationships"><Relationship Id="rId1" Type="http://schemas.openxmlformats.org/officeDocument/2006/relationships/package" Target="../embeddings/Workbook5.xlsx"/></Relationships>
</file>

<file path=word/charts/_rels/chart3.xml.rels><?xml version="1.0" encoding="UTF-8" standalone="yes"?>
<Relationships xmlns="http://schemas.openxmlformats.org/package/2006/relationships"><Relationship Id="rId1" Type="http://schemas.openxmlformats.org/officeDocument/2006/relationships/package" Target="../embeddings/Workbook1.xlsx"/></Relationships>
</file>

<file path=word/charts/_rels/chart4.xml.rels><?xml version="1.0" encoding="UTF-8" standalone="yes"?>
<Relationships xmlns="http://schemas.openxmlformats.org/package/2006/relationships"><Relationship Id="rId1" Type="http://schemas.openxmlformats.org/officeDocument/2006/relationships/package" Target="../embeddings/Workbook2.xlsx"/></Relationships>
</file>

<file path=word/charts/_rels/chart5.xml.rels><?xml version="1.0" encoding="UTF-8" standalone="yes"?>
<Relationships xmlns="http://schemas.openxmlformats.org/package/2006/relationships"><Relationship Id="rId1" Type="http://schemas.openxmlformats.org/officeDocument/2006/relationships/package" Target="../embeddings/Workbook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营业收入</c:v>
                </c:pt>
              </c:strCache>
            </c:strRef>
          </c:tx>
          <c:invertIfNegative val="0"/>
          <c:dLbls>
            <c:dLbl>
              <c:idx val="0"/>
              <c:delete val="1"/>
            </c:dLbl>
            <c:dLbl>
              <c:idx val="1"/>
              <c:delete val="1"/>
            </c:dLbl>
            <c:dLbl>
              <c:idx val="2"/>
              <c:delete val="1"/>
            </c:dLbl>
            <c:dLbl>
              <c:idx val="3"/>
              <c:layout>
                <c:manualLayout>
                  <c:x val="0.00504095778197858"/>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
                  <c:y val="0.0144927536231884"/>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solidFill>
                    <a:latin typeface="宋体" panose="02010600030101010101" charset="-122"/>
                    <a:ea typeface="宋体" panose="02010600030101010101"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numRef>
              <c:f>Sheet1!$A$2:$A$11</c:f>
              <c:numCache>
                <c:formatCode>General</c:formatCode>
                <c:ptCount val="10"/>
                <c:pt idx="0">
                  <c:v>2019</c:v>
                </c:pt>
                <c:pt idx="1">
                  <c:v>2020</c:v>
                </c:pt>
                <c:pt idx="2">
                  <c:v>2021</c:v>
                </c:pt>
                <c:pt idx="3">
                  <c:v>2022</c:v>
                </c:pt>
                <c:pt idx="4">
                  <c:v>2023</c:v>
                </c:pt>
                <c:pt idx="5">
                  <c:v>2024</c:v>
                </c:pt>
                <c:pt idx="6">
                  <c:v>2025</c:v>
                </c:pt>
                <c:pt idx="7">
                  <c:v>2026</c:v>
                </c:pt>
                <c:pt idx="8">
                  <c:v>2027</c:v>
                </c:pt>
                <c:pt idx="9">
                  <c:v>2028</c:v>
                </c:pt>
              </c:numCache>
            </c:numRef>
          </c:cat>
          <c:val>
            <c:numRef>
              <c:f>Sheet1!$B$2:$B$11</c:f>
              <c:numCache>
                <c:formatCode>General</c:formatCode>
                <c:ptCount val="10"/>
                <c:pt idx="0">
                  <c:v>0</c:v>
                </c:pt>
                <c:pt idx="1">
                  <c:v>0</c:v>
                </c:pt>
                <c:pt idx="2">
                  <c:v>0</c:v>
                </c:pt>
                <c:pt idx="3">
                  <c:v>143.9</c:v>
                </c:pt>
                <c:pt idx="4">
                  <c:v>275.52</c:v>
                </c:pt>
                <c:pt idx="5">
                  <c:v>515.44</c:v>
                </c:pt>
                <c:pt idx="6">
                  <c:v>1619.3</c:v>
                </c:pt>
                <c:pt idx="7">
                  <c:v>3361.2</c:v>
                </c:pt>
                <c:pt idx="8">
                  <c:v>5806.86</c:v>
                </c:pt>
                <c:pt idx="9">
                  <c:v>11779.28</c:v>
                </c:pt>
              </c:numCache>
            </c:numRef>
          </c:val>
        </c:ser>
        <c:ser>
          <c:idx val="1"/>
          <c:order val="1"/>
          <c:tx>
            <c:strRef>
              <c:f>Sheet1!$C$1</c:f>
              <c:strCache>
                <c:ptCount val="1"/>
                <c:pt idx="0">
                  <c:v>资本总额</c:v>
                </c:pt>
              </c:strCache>
            </c:strRef>
          </c:tx>
          <c:invertIfNegative val="0"/>
          <c:dLbls>
            <c:dLbl>
              <c:idx val="3"/>
              <c:delete val="1"/>
            </c:dLbl>
            <c:dLbl>
              <c:idx val="4"/>
              <c:delete val="1"/>
            </c:dLbl>
            <c:dLbl>
              <c:idx val="5"/>
              <c:delete val="1"/>
            </c:dLbl>
            <c:dLbl>
              <c:idx val="6"/>
              <c:delete val="1"/>
            </c:dLbl>
            <c:dLbl>
              <c:idx val="7"/>
              <c:delete val="1"/>
            </c:dLbl>
            <c:dLbl>
              <c:idx val="8"/>
              <c:delete val="1"/>
            </c:dLbl>
            <c:dLbl>
              <c:idx val="9"/>
              <c:delete val="1"/>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solidFill>
                    <a:latin typeface="宋体" panose="02010600030101010101" charset="-122"/>
                    <a:ea typeface="宋体" panose="02010600030101010101"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numRef>
              <c:f>Sheet1!$A$2:$A$11</c:f>
              <c:numCache>
                <c:formatCode>General</c:formatCode>
                <c:ptCount val="10"/>
                <c:pt idx="0">
                  <c:v>2019</c:v>
                </c:pt>
                <c:pt idx="1">
                  <c:v>2020</c:v>
                </c:pt>
                <c:pt idx="2">
                  <c:v>2021</c:v>
                </c:pt>
                <c:pt idx="3">
                  <c:v>2022</c:v>
                </c:pt>
                <c:pt idx="4">
                  <c:v>2023</c:v>
                </c:pt>
                <c:pt idx="5">
                  <c:v>2024</c:v>
                </c:pt>
                <c:pt idx="6">
                  <c:v>2025</c:v>
                </c:pt>
                <c:pt idx="7">
                  <c:v>2026</c:v>
                </c:pt>
                <c:pt idx="8">
                  <c:v>2027</c:v>
                </c:pt>
                <c:pt idx="9">
                  <c:v>2028</c:v>
                </c:pt>
              </c:numCache>
            </c:numRef>
          </c:cat>
          <c:val>
            <c:numRef>
              <c:f>Sheet1!$C$2:$C$11</c:f>
              <c:numCache>
                <c:formatCode>General</c:formatCode>
                <c:ptCount val="10"/>
                <c:pt idx="0">
                  <c:v>2.03</c:v>
                </c:pt>
                <c:pt idx="1">
                  <c:v>4.41</c:v>
                </c:pt>
                <c:pt idx="2">
                  <c:v>11.33</c:v>
                </c:pt>
                <c:pt idx="3">
                  <c:v>145</c:v>
                </c:pt>
                <c:pt idx="4">
                  <c:v>220</c:v>
                </c:pt>
                <c:pt idx="5">
                  <c:v>300</c:v>
                </c:pt>
                <c:pt idx="6">
                  <c:v>900</c:v>
                </c:pt>
                <c:pt idx="7">
                  <c:v>2200</c:v>
                </c:pt>
                <c:pt idx="8">
                  <c:v>4100</c:v>
                </c:pt>
                <c:pt idx="9">
                  <c:v>10000</c:v>
                </c:pt>
              </c:numCache>
            </c:numRef>
          </c:val>
        </c:ser>
        <c:dLbls>
          <c:showLegendKey val="0"/>
          <c:showVal val="0"/>
          <c:showCatName val="0"/>
          <c:showSerName val="0"/>
          <c:showPercent val="0"/>
          <c:showBubbleSize val="0"/>
        </c:dLbls>
        <c:gapWidth val="150"/>
        <c:axId val="611213312"/>
        <c:axId val="611215232"/>
      </c:barChart>
      <c:catAx>
        <c:axId val="611213312"/>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宋体" panose="02010600030101010101" charset="-122"/>
                <a:ea typeface="宋体" panose="02010600030101010101" charset="-122"/>
                <a:cs typeface="+mn-cs"/>
              </a:defRPr>
            </a:pPr>
          </a:p>
        </c:txPr>
        <c:crossAx val="611215232"/>
        <c:crosses val="autoZero"/>
        <c:auto val="1"/>
        <c:lblAlgn val="ctr"/>
        <c:lblOffset val="100"/>
        <c:noMultiLvlLbl val="0"/>
      </c:catAx>
      <c:valAx>
        <c:axId val="611215232"/>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宋体" panose="02010600030101010101" charset="-122"/>
                <a:ea typeface="宋体" panose="02010600030101010101" charset="-122"/>
                <a:cs typeface="+mn-cs"/>
              </a:defRPr>
            </a:pPr>
          </a:p>
        </c:txPr>
        <c:crossAx val="611213312"/>
        <c:crosses val="autoZero"/>
        <c:crossBetween val="between"/>
      </c:valAx>
    </c:plotArea>
    <c:legend>
      <c:legendPos val="r"/>
      <c:layout/>
      <c:overlay val="0"/>
      <c:txPr>
        <a:bodyPr rot="0" spcFirstLastPara="0" vertOverflow="ellipsis" vert="horz" wrap="square"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legend>
    <c:plotVisOnly val="1"/>
    <c:dispBlanksAs val="gap"/>
    <c:showDLblsOverMax val="0"/>
  </c:chart>
  <c:spPr>
    <a:ln w="6350" cap="flat" cmpd="sng" algn="ctr">
      <a:noFill/>
      <a:prstDash val="solid"/>
      <a:round/>
    </a:ln>
  </c:spPr>
  <c:txPr>
    <a:bodyPr/>
    <a:lstStyle/>
    <a:p>
      <a:pPr>
        <a:defRPr lang="zh-CN" sz="900">
          <a:latin typeface="宋体" panose="02010600030101010101" charset="-122"/>
          <a:ea typeface="宋体" panose="02010600030101010101"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市场规模（亿元）</c:v>
                </c:pt>
              </c:strCache>
            </c:strRef>
          </c:tx>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numRef>
              <c:f>Sheet1!$A$2:$A$9</c:f>
              <c:numCache>
                <c:formatCode>General</c:formatCode>
                <c:ptCount val="8"/>
                <c:pt idx="0">
                  <c:v>2011</c:v>
                </c:pt>
                <c:pt idx="1">
                  <c:v>2012</c:v>
                </c:pt>
                <c:pt idx="2">
                  <c:v>2013</c:v>
                </c:pt>
                <c:pt idx="3">
                  <c:v>2014</c:v>
                </c:pt>
                <c:pt idx="4">
                  <c:v>2015</c:v>
                </c:pt>
                <c:pt idx="5">
                  <c:v>2016</c:v>
                </c:pt>
                <c:pt idx="6">
                  <c:v>2017</c:v>
                </c:pt>
                <c:pt idx="7">
                  <c:v>2018</c:v>
                </c:pt>
              </c:numCache>
            </c:numRef>
          </c:cat>
          <c:val>
            <c:numRef>
              <c:f>Sheet1!$B$2:$B$9</c:f>
              <c:numCache>
                <c:formatCode>General</c:formatCode>
                <c:ptCount val="8"/>
                <c:pt idx="0">
                  <c:v>15.8</c:v>
                </c:pt>
                <c:pt idx="1">
                  <c:v>18.6</c:v>
                </c:pt>
                <c:pt idx="2">
                  <c:v>22.1</c:v>
                </c:pt>
                <c:pt idx="3">
                  <c:v>29.5</c:v>
                </c:pt>
                <c:pt idx="4">
                  <c:v>45.5</c:v>
                </c:pt>
                <c:pt idx="5">
                  <c:v>74.1</c:v>
                </c:pt>
                <c:pt idx="6">
                  <c:v>200</c:v>
                </c:pt>
                <c:pt idx="7">
                  <c:v>280</c:v>
                </c:pt>
              </c:numCache>
            </c:numRef>
          </c:val>
        </c:ser>
        <c:dLbls>
          <c:showLegendKey val="0"/>
          <c:showVal val="0"/>
          <c:showCatName val="0"/>
          <c:showSerName val="0"/>
          <c:showPercent val="0"/>
          <c:showBubbleSize val="0"/>
        </c:dLbls>
        <c:gapWidth val="150"/>
        <c:axId val="611624832"/>
        <c:axId val="611626368"/>
      </c:barChart>
      <c:catAx>
        <c:axId val="611624832"/>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宋体" panose="02010600030101010101" charset="-122"/>
                <a:ea typeface="宋体" panose="02010600030101010101" charset="-122"/>
                <a:cs typeface="+mn-cs"/>
              </a:defRPr>
            </a:pPr>
          </a:p>
        </c:txPr>
        <c:crossAx val="611626368"/>
        <c:crosses val="autoZero"/>
        <c:auto val="1"/>
        <c:lblAlgn val="ctr"/>
        <c:lblOffset val="100"/>
        <c:noMultiLvlLbl val="0"/>
      </c:catAx>
      <c:valAx>
        <c:axId val="611626368"/>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宋体" panose="02010600030101010101" charset="-122"/>
                <a:ea typeface="宋体" panose="02010600030101010101" charset="-122"/>
                <a:cs typeface="+mn-cs"/>
              </a:defRPr>
            </a:pPr>
          </a:p>
        </c:txPr>
        <c:crossAx val="611624832"/>
        <c:crosses val="autoZero"/>
        <c:crossBetween val="between"/>
      </c:valAx>
    </c:plotArea>
    <c:legend>
      <c:legendPos val="r"/>
      <c:layout/>
      <c:overlay val="0"/>
      <c:txPr>
        <a:bodyPr rot="0" spcFirstLastPara="0" vertOverflow="ellipsis" vert="horz" wrap="square" anchor="ctr" anchorCtr="1"/>
        <a:lstStyle/>
        <a:p>
          <a:pPr>
            <a:defRPr lang="zh-CN" sz="1000" b="0" i="0" u="none" strike="noStrike" kern="1200" baseline="0">
              <a:solidFill>
                <a:schemeClr val="tx1"/>
              </a:solidFill>
              <a:latin typeface="宋体" panose="02010600030101010101" charset="-122"/>
              <a:ea typeface="宋体" panose="02010600030101010101" charset="-122"/>
              <a:cs typeface="+mn-cs"/>
            </a:defRPr>
          </a:pPr>
        </a:p>
      </c:txPr>
    </c:legend>
    <c:plotVisOnly val="1"/>
    <c:dispBlanksAs val="gap"/>
    <c:showDLblsOverMax val="0"/>
  </c:chart>
  <c:spPr>
    <a:ln w="6350" cap="flat" cmpd="sng" algn="ctr">
      <a:noFill/>
      <a:prstDash val="solid"/>
      <a:round/>
    </a:ln>
  </c:spPr>
  <c:txPr>
    <a:bodyPr/>
    <a:lstStyle/>
    <a:p>
      <a:pPr>
        <a:defRPr lang="zh-CN">
          <a:latin typeface="宋体" panose="02010600030101010101" charset="-122"/>
          <a:ea typeface="宋体" panose="02010600030101010101"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每年新增稳定线上注册用户数</c:v>
                </c:pt>
              </c:strCache>
            </c:strRef>
          </c:tx>
          <c:marker>
            <c:symbol val="none"/>
          </c:marker>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numRef>
              <c:f>Sheet1!$A$2:$A$11</c:f>
              <c:numCache>
                <c:formatCode>General</c:formatCode>
                <c:ptCount val="10"/>
                <c:pt idx="0">
                  <c:v>2019</c:v>
                </c:pt>
                <c:pt idx="1">
                  <c:v>2020</c:v>
                </c:pt>
                <c:pt idx="2">
                  <c:v>2021</c:v>
                </c:pt>
                <c:pt idx="3">
                  <c:v>2022</c:v>
                </c:pt>
                <c:pt idx="4">
                  <c:v>2023</c:v>
                </c:pt>
                <c:pt idx="5">
                  <c:v>2024</c:v>
                </c:pt>
                <c:pt idx="6">
                  <c:v>2025</c:v>
                </c:pt>
                <c:pt idx="7">
                  <c:v>2026</c:v>
                </c:pt>
                <c:pt idx="8">
                  <c:v>2027</c:v>
                </c:pt>
                <c:pt idx="9">
                  <c:v>2028</c:v>
                </c:pt>
              </c:numCache>
            </c:numRef>
          </c:cat>
          <c:val>
            <c:numRef>
              <c:f>Sheet1!$B$2:$B$11</c:f>
              <c:numCache>
                <c:formatCode>General</c:formatCode>
                <c:ptCount val="10"/>
                <c:pt idx="0">
                  <c:v>27</c:v>
                </c:pt>
                <c:pt idx="1">
                  <c:v>45</c:v>
                </c:pt>
                <c:pt idx="2">
                  <c:v>85</c:v>
                </c:pt>
                <c:pt idx="3">
                  <c:v>95</c:v>
                </c:pt>
                <c:pt idx="4">
                  <c:v>120</c:v>
                </c:pt>
                <c:pt idx="5">
                  <c:v>140</c:v>
                </c:pt>
                <c:pt idx="6">
                  <c:v>210</c:v>
                </c:pt>
                <c:pt idx="7">
                  <c:v>280</c:v>
                </c:pt>
                <c:pt idx="8">
                  <c:v>350</c:v>
                </c:pt>
                <c:pt idx="9">
                  <c:v>600</c:v>
                </c:pt>
              </c:numCache>
            </c:numRef>
          </c:val>
          <c:smooth val="0"/>
        </c:ser>
        <c:ser>
          <c:idx val="1"/>
          <c:order val="1"/>
          <c:tx>
            <c:strRef>
              <c:f>Sheet1!$C$1</c:f>
              <c:strCache>
                <c:ptCount val="1"/>
                <c:pt idx="0">
                  <c:v>每年新增稳定线下注册用户数</c:v>
                </c:pt>
              </c:strCache>
            </c:strRef>
          </c:tx>
          <c:marker>
            <c:symbol val="none"/>
          </c:marker>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numRef>
              <c:f>Sheet1!$A$2:$A$11</c:f>
              <c:numCache>
                <c:formatCode>General</c:formatCode>
                <c:ptCount val="10"/>
                <c:pt idx="0">
                  <c:v>2019</c:v>
                </c:pt>
                <c:pt idx="1">
                  <c:v>2020</c:v>
                </c:pt>
                <c:pt idx="2">
                  <c:v>2021</c:v>
                </c:pt>
                <c:pt idx="3">
                  <c:v>2022</c:v>
                </c:pt>
                <c:pt idx="4">
                  <c:v>2023</c:v>
                </c:pt>
                <c:pt idx="5">
                  <c:v>2024</c:v>
                </c:pt>
                <c:pt idx="6">
                  <c:v>2025</c:v>
                </c:pt>
                <c:pt idx="7">
                  <c:v>2026</c:v>
                </c:pt>
                <c:pt idx="8">
                  <c:v>2027</c:v>
                </c:pt>
                <c:pt idx="9">
                  <c:v>2028</c:v>
                </c:pt>
              </c:numCache>
            </c:numRef>
          </c:cat>
          <c:val>
            <c:numRef>
              <c:f>Sheet1!$C$2:$C$11</c:f>
              <c:numCache>
                <c:formatCode>General</c:formatCode>
                <c:ptCount val="10"/>
                <c:pt idx="0">
                  <c:v>3</c:v>
                </c:pt>
                <c:pt idx="1">
                  <c:v>5</c:v>
                </c:pt>
                <c:pt idx="2">
                  <c:v>15</c:v>
                </c:pt>
                <c:pt idx="3">
                  <c:v>25</c:v>
                </c:pt>
                <c:pt idx="4">
                  <c:v>40</c:v>
                </c:pt>
                <c:pt idx="5">
                  <c:v>60</c:v>
                </c:pt>
                <c:pt idx="6">
                  <c:v>90</c:v>
                </c:pt>
                <c:pt idx="7">
                  <c:v>120</c:v>
                </c:pt>
                <c:pt idx="8">
                  <c:v>150</c:v>
                </c:pt>
                <c:pt idx="9">
                  <c:v>200</c:v>
                </c:pt>
              </c:numCache>
            </c:numRef>
          </c:val>
          <c:smooth val="0"/>
        </c:ser>
        <c:dLbls>
          <c:showLegendKey val="0"/>
          <c:showVal val="0"/>
          <c:showCatName val="0"/>
          <c:showSerName val="0"/>
          <c:showPercent val="0"/>
          <c:showBubbleSize val="0"/>
        </c:dLbls>
        <c:marker val="0"/>
        <c:smooth val="0"/>
        <c:axId val="629099136"/>
        <c:axId val="634577280"/>
      </c:lineChart>
      <c:catAx>
        <c:axId val="629099136"/>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crossAx val="634577280"/>
        <c:crosses val="autoZero"/>
        <c:auto val="1"/>
        <c:lblAlgn val="ctr"/>
        <c:lblOffset val="100"/>
        <c:noMultiLvlLbl val="0"/>
      </c:catAx>
      <c:valAx>
        <c:axId val="634577280"/>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crossAx val="629099136"/>
        <c:crosses val="autoZero"/>
        <c:crossBetween val="between"/>
      </c:valAx>
    </c:plotArea>
    <c:legend>
      <c:legendPos val="r"/>
      <c:layout/>
      <c:overlay val="0"/>
      <c:txPr>
        <a:bodyPr rot="0" spcFirstLastPara="0" vertOverflow="ellipsis" vert="horz" wrap="square"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legend>
    <c:plotVisOnly val="1"/>
    <c:dispBlanksAs val="gap"/>
    <c:showDLblsOverMax val="0"/>
  </c:chart>
  <c:spPr>
    <a:ln w="6350" cap="flat" cmpd="sng" algn="ctr">
      <a:noFill/>
      <a:prstDash val="solid"/>
      <a:round/>
    </a:ln>
  </c:spPr>
  <c:txPr>
    <a:bodyPr/>
    <a:lstStyle/>
    <a:p>
      <a:pPr>
        <a:defRPr lang="zh-CN" sz="800">
          <a:latin typeface="宋体" panose="02010600030101010101" charset="-122"/>
          <a:ea typeface="宋体" panose="02010600030101010101"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人均医疗保健消费支出（元）</c:v>
                </c:pt>
              </c:strCache>
            </c:strRef>
          </c:tx>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numRef>
              <c:f>Sheet1!$A$2:$A$11</c:f>
              <c:numCache>
                <c:formatCode>General</c:formatCode>
                <c:ptCount val="10"/>
                <c:pt idx="0">
                  <c:v>2009</c:v>
                </c:pt>
                <c:pt idx="1">
                  <c:v>2010</c:v>
                </c:pt>
                <c:pt idx="2">
                  <c:v>2011</c:v>
                </c:pt>
                <c:pt idx="3">
                  <c:v>2012</c:v>
                </c:pt>
                <c:pt idx="4">
                  <c:v>2013</c:v>
                </c:pt>
                <c:pt idx="5">
                  <c:v>2014</c:v>
                </c:pt>
                <c:pt idx="6">
                  <c:v>2015</c:v>
                </c:pt>
                <c:pt idx="7">
                  <c:v>2016</c:v>
                </c:pt>
                <c:pt idx="8">
                  <c:v>2017</c:v>
                </c:pt>
                <c:pt idx="9">
                  <c:v>2018</c:v>
                </c:pt>
              </c:numCache>
            </c:numRef>
          </c:cat>
          <c:val>
            <c:numRef>
              <c:f>Sheet1!$B$2:$B$11</c:f>
              <c:numCache>
                <c:formatCode>General</c:formatCode>
                <c:ptCount val="10"/>
                <c:pt idx="0">
                  <c:v>582</c:v>
                </c:pt>
                <c:pt idx="1">
                  <c:v>609</c:v>
                </c:pt>
                <c:pt idx="2">
                  <c:v>713</c:v>
                </c:pt>
                <c:pt idx="3">
                  <c:v>799</c:v>
                </c:pt>
                <c:pt idx="4">
                  <c:v>921</c:v>
                </c:pt>
                <c:pt idx="5">
                  <c:v>1045</c:v>
                </c:pt>
                <c:pt idx="6">
                  <c:v>1165</c:v>
                </c:pt>
                <c:pt idx="7">
                  <c:v>1307</c:v>
                </c:pt>
                <c:pt idx="8">
                  <c:v>1451</c:v>
                </c:pt>
                <c:pt idx="9">
                  <c:v>1685</c:v>
                </c:pt>
              </c:numCache>
            </c:numRef>
          </c:val>
        </c:ser>
        <c:dLbls>
          <c:showLegendKey val="0"/>
          <c:showVal val="0"/>
          <c:showCatName val="0"/>
          <c:showSerName val="0"/>
          <c:showPercent val="0"/>
          <c:showBubbleSize val="0"/>
        </c:dLbls>
        <c:gapWidth val="150"/>
        <c:axId val="588934144"/>
        <c:axId val="595276928"/>
      </c:barChart>
      <c:lineChart>
        <c:grouping val="standard"/>
        <c:varyColors val="0"/>
        <c:ser>
          <c:idx val="1"/>
          <c:order val="1"/>
          <c:tx>
            <c:strRef>
              <c:f>Sheet1!$C$1</c:f>
              <c:strCache>
                <c:ptCount val="1"/>
                <c:pt idx="0">
                  <c:v>占人均消费支出的比率</c:v>
                </c:pt>
              </c:strCache>
            </c:strRef>
          </c:tx>
          <c:marker>
            <c:symbol val="circle"/>
            <c:size val="6"/>
            <c:spPr>
              <a:pattFill prst="pct75">
                <a:fgClr>
                  <a:srgbClr val="FF0000"/>
                </a:fgClr>
                <a:bgClr>
                  <a:srgbClr val="FF0000"/>
                </a:bgClr>
              </a:pattFill>
              <a:ln w="6350" cap="flat" cmpd="sng" algn="ctr">
                <a:solidFill>
                  <a:schemeClr val="accent1"/>
                </a:solidFill>
                <a:prstDash val="solid"/>
                <a:round/>
              </a:ln>
            </c:spPr>
          </c:marker>
          <c:dLbls>
            <c:delete val="1"/>
          </c:dLbls>
          <c:cat>
            <c:numRef>
              <c:f>Sheet1!$A$2:$A$11</c:f>
              <c:numCache>
                <c:formatCode>General</c:formatCode>
                <c:ptCount val="10"/>
                <c:pt idx="0">
                  <c:v>2009</c:v>
                </c:pt>
                <c:pt idx="1">
                  <c:v>2010</c:v>
                </c:pt>
                <c:pt idx="2">
                  <c:v>2011</c:v>
                </c:pt>
                <c:pt idx="3">
                  <c:v>2012</c:v>
                </c:pt>
                <c:pt idx="4">
                  <c:v>2013</c:v>
                </c:pt>
                <c:pt idx="5">
                  <c:v>2014</c:v>
                </c:pt>
                <c:pt idx="6">
                  <c:v>2015</c:v>
                </c:pt>
                <c:pt idx="7">
                  <c:v>2016</c:v>
                </c:pt>
                <c:pt idx="8">
                  <c:v>2017</c:v>
                </c:pt>
                <c:pt idx="9">
                  <c:v>2018</c:v>
                </c:pt>
              </c:numCache>
            </c:numRef>
          </c:cat>
          <c:val>
            <c:numRef>
              <c:f>Sheet1!$C$2:$C$11</c:f>
              <c:numCache>
                <c:formatCode>0.00%</c:formatCode>
                <c:ptCount val="10"/>
                <c:pt idx="0">
                  <c:v>0.0478</c:v>
                </c:pt>
                <c:pt idx="1">
                  <c:v>0.0486</c:v>
                </c:pt>
                <c:pt idx="2">
                  <c:v>0.0521</c:v>
                </c:pt>
                <c:pt idx="3">
                  <c:v>0.0584</c:v>
                </c:pt>
                <c:pt idx="4">
                  <c:v>0.0697</c:v>
                </c:pt>
                <c:pt idx="5">
                  <c:v>0.0721</c:v>
                </c:pt>
                <c:pt idx="6">
                  <c:v>0.0741</c:v>
                </c:pt>
                <c:pt idx="7">
                  <c:v>0.0764</c:v>
                </c:pt>
                <c:pt idx="8">
                  <c:v>0.0792</c:v>
                </c:pt>
                <c:pt idx="9">
                  <c:v>0.161</c:v>
                </c:pt>
              </c:numCache>
            </c:numRef>
          </c:val>
          <c:smooth val="0"/>
        </c:ser>
        <c:dLbls>
          <c:showLegendKey val="0"/>
          <c:showVal val="0"/>
          <c:showCatName val="0"/>
          <c:showSerName val="0"/>
          <c:showPercent val="0"/>
          <c:showBubbleSize val="0"/>
        </c:dLbls>
        <c:marker val="1"/>
        <c:smooth val="0"/>
        <c:axId val="595390848"/>
        <c:axId val="595278464"/>
      </c:lineChart>
      <c:catAx>
        <c:axId val="588934144"/>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宋体" panose="02010600030101010101" charset="-122"/>
                <a:ea typeface="宋体" panose="02010600030101010101" charset="-122"/>
                <a:cs typeface="+mn-cs"/>
              </a:defRPr>
            </a:pPr>
          </a:p>
        </c:txPr>
        <c:crossAx val="595276928"/>
        <c:crosses val="autoZero"/>
        <c:auto val="1"/>
        <c:lblAlgn val="ctr"/>
        <c:lblOffset val="100"/>
        <c:noMultiLvlLbl val="0"/>
      </c:catAx>
      <c:valAx>
        <c:axId val="595276928"/>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crossAx val="588934144"/>
        <c:crosses val="autoZero"/>
        <c:crossBetween val="between"/>
      </c:valAx>
      <c:catAx>
        <c:axId val="595390848"/>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宋体" panose="02010600030101010101" charset="-122"/>
                <a:ea typeface="宋体" panose="02010600030101010101" charset="-122"/>
                <a:cs typeface="+mn-cs"/>
              </a:defRPr>
            </a:pPr>
          </a:p>
        </c:txPr>
        <c:crossAx val="595278464"/>
        <c:crosses val="autoZero"/>
        <c:auto val="1"/>
        <c:lblAlgn val="ctr"/>
        <c:lblOffset val="100"/>
        <c:noMultiLvlLbl val="0"/>
      </c:catAx>
      <c:valAx>
        <c:axId val="595278464"/>
        <c:scaling>
          <c:orientation val="minMax"/>
        </c:scaling>
        <c:delete val="0"/>
        <c:axPos val="r"/>
        <c:numFmt formatCode="0.00%"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crossAx val="595390848"/>
        <c:crosses val="max"/>
        <c:crossBetween val="between"/>
      </c:valAx>
    </c:plotArea>
    <c:legend>
      <c:legendPos val="b"/>
      <c:layout/>
      <c:overlay val="0"/>
      <c:txPr>
        <a:bodyPr rot="0" spcFirstLastPara="0" vertOverflow="ellipsis" vert="horz" wrap="square" anchor="ctr" anchorCtr="1"/>
        <a:lstStyle/>
        <a:p>
          <a:pPr>
            <a:defRPr lang="zh-CN" sz="1000" b="0" i="0" u="none" strike="noStrike" kern="1200" baseline="0">
              <a:solidFill>
                <a:schemeClr val="tx1"/>
              </a:solidFill>
              <a:latin typeface="宋体" panose="02010600030101010101" charset="-122"/>
              <a:ea typeface="宋体" panose="02010600030101010101" charset="-122"/>
              <a:cs typeface="+mn-cs"/>
            </a:defRPr>
          </a:pPr>
        </a:p>
      </c:txPr>
    </c:legend>
    <c:plotVisOnly val="1"/>
    <c:dispBlanksAs val="gap"/>
    <c:showDLblsOverMax val="0"/>
  </c:chart>
  <c:spPr>
    <a:ln w="6350" cap="flat" cmpd="sng" algn="ctr">
      <a:noFill/>
      <a:prstDash val="solid"/>
      <a:round/>
    </a:ln>
  </c:spPr>
  <c:txPr>
    <a:bodyPr/>
    <a:lstStyle/>
    <a:p>
      <a:pPr>
        <a:defRPr lang="zh-CN">
          <a:latin typeface="宋体" panose="02010600030101010101" charset="-122"/>
          <a:ea typeface="宋体" panose="02010600030101010101"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全国总人口（亿人）</c:v>
                </c:pt>
              </c:strCache>
            </c:strRef>
          </c:tx>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numRef>
              <c:f>Sheet1!$A$2:$A$10</c:f>
              <c:numCache>
                <c:formatCode>General</c:formatCode>
                <c:ptCount val="9"/>
                <c:pt idx="0">
                  <c:v>2010</c:v>
                </c:pt>
                <c:pt idx="1">
                  <c:v>2011</c:v>
                </c:pt>
                <c:pt idx="2">
                  <c:v>2012</c:v>
                </c:pt>
                <c:pt idx="3">
                  <c:v>2013</c:v>
                </c:pt>
                <c:pt idx="4">
                  <c:v>2014</c:v>
                </c:pt>
                <c:pt idx="5">
                  <c:v>2015</c:v>
                </c:pt>
                <c:pt idx="6">
                  <c:v>2016</c:v>
                </c:pt>
                <c:pt idx="7">
                  <c:v>2017</c:v>
                </c:pt>
                <c:pt idx="8">
                  <c:v>2018</c:v>
                </c:pt>
              </c:numCache>
            </c:numRef>
          </c:cat>
          <c:val>
            <c:numRef>
              <c:f>Sheet1!$B$2:$B$10</c:f>
              <c:numCache>
                <c:formatCode>General</c:formatCode>
                <c:ptCount val="9"/>
                <c:pt idx="0">
                  <c:v>1.08</c:v>
                </c:pt>
                <c:pt idx="1">
                  <c:v>1.11</c:v>
                </c:pt>
                <c:pt idx="2">
                  <c:v>1.14</c:v>
                </c:pt>
                <c:pt idx="3">
                  <c:v>1.18</c:v>
                </c:pt>
                <c:pt idx="4">
                  <c:v>1.22</c:v>
                </c:pt>
                <c:pt idx="5">
                  <c:v>1.28</c:v>
                </c:pt>
                <c:pt idx="6">
                  <c:v>1.35</c:v>
                </c:pt>
                <c:pt idx="7">
                  <c:v>1.43</c:v>
                </c:pt>
                <c:pt idx="8">
                  <c:v>1.52</c:v>
                </c:pt>
              </c:numCache>
            </c:numRef>
          </c:val>
        </c:ser>
        <c:dLbls>
          <c:showLegendKey val="0"/>
          <c:showVal val="0"/>
          <c:showCatName val="0"/>
          <c:showSerName val="0"/>
          <c:showPercent val="0"/>
          <c:showBubbleSize val="0"/>
        </c:dLbls>
        <c:gapWidth val="150"/>
        <c:axId val="597862656"/>
        <c:axId val="597864448"/>
      </c:barChart>
      <c:lineChart>
        <c:grouping val="standard"/>
        <c:varyColors val="0"/>
        <c:ser>
          <c:idx val="1"/>
          <c:order val="1"/>
          <c:tx>
            <c:strRef>
              <c:f>Sheet1!$C$1</c:f>
              <c:strCache>
                <c:ptCount val="1"/>
                <c:pt idx="0">
                  <c:v>65岁以上占总人口比重</c:v>
                </c:pt>
              </c:strCache>
            </c:strRef>
          </c:tx>
          <c:marker>
            <c:symbol val="none"/>
          </c:marker>
          <c:dLbls>
            <c:delete val="1"/>
          </c:dLbls>
          <c:cat>
            <c:numRef>
              <c:f>Sheet1!$A$2:$A$10</c:f>
              <c:numCache>
                <c:formatCode>General</c:formatCode>
                <c:ptCount val="9"/>
                <c:pt idx="0">
                  <c:v>2010</c:v>
                </c:pt>
                <c:pt idx="1">
                  <c:v>2011</c:v>
                </c:pt>
                <c:pt idx="2">
                  <c:v>2012</c:v>
                </c:pt>
                <c:pt idx="3">
                  <c:v>2013</c:v>
                </c:pt>
                <c:pt idx="4">
                  <c:v>2014</c:v>
                </c:pt>
                <c:pt idx="5">
                  <c:v>2015</c:v>
                </c:pt>
                <c:pt idx="6">
                  <c:v>2016</c:v>
                </c:pt>
                <c:pt idx="7">
                  <c:v>2017</c:v>
                </c:pt>
                <c:pt idx="8">
                  <c:v>2018</c:v>
                </c:pt>
              </c:numCache>
            </c:numRef>
          </c:cat>
          <c:val>
            <c:numRef>
              <c:f>Sheet1!$C$2:$C$10</c:f>
              <c:numCache>
                <c:formatCode>0.00%</c:formatCode>
                <c:ptCount val="9"/>
                <c:pt idx="0">
                  <c:v>0.0807</c:v>
                </c:pt>
                <c:pt idx="1">
                  <c:v>0.0826</c:v>
                </c:pt>
                <c:pt idx="2">
                  <c:v>0.0845</c:v>
                </c:pt>
                <c:pt idx="3">
                  <c:v>0.0868</c:v>
                </c:pt>
                <c:pt idx="4">
                  <c:v>0.0897</c:v>
                </c:pt>
                <c:pt idx="5">
                  <c:v>0.0933</c:v>
                </c:pt>
                <c:pt idx="6">
                  <c:v>0.098</c:v>
                </c:pt>
                <c:pt idx="7">
                  <c:v>0.1035</c:v>
                </c:pt>
                <c:pt idx="8">
                  <c:v>0.1092</c:v>
                </c:pt>
              </c:numCache>
            </c:numRef>
          </c:val>
          <c:smooth val="0"/>
        </c:ser>
        <c:dLbls>
          <c:showLegendKey val="0"/>
          <c:showVal val="0"/>
          <c:showCatName val="0"/>
          <c:showSerName val="0"/>
          <c:showPercent val="0"/>
          <c:showBubbleSize val="0"/>
        </c:dLbls>
        <c:marker val="0"/>
        <c:smooth val="0"/>
        <c:axId val="597867520"/>
        <c:axId val="597865984"/>
      </c:lineChart>
      <c:catAx>
        <c:axId val="597862656"/>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crossAx val="597864448"/>
        <c:crosses val="autoZero"/>
        <c:auto val="1"/>
        <c:lblAlgn val="ctr"/>
        <c:lblOffset val="100"/>
        <c:noMultiLvlLbl val="0"/>
      </c:catAx>
      <c:valAx>
        <c:axId val="597864448"/>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crossAx val="597862656"/>
        <c:crosses val="autoZero"/>
        <c:crossBetween val="between"/>
      </c:valAx>
      <c:catAx>
        <c:axId val="597867520"/>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crossAx val="597865984"/>
        <c:crosses val="autoZero"/>
        <c:auto val="1"/>
        <c:lblAlgn val="ctr"/>
        <c:lblOffset val="100"/>
        <c:noMultiLvlLbl val="0"/>
      </c:catAx>
      <c:valAx>
        <c:axId val="597865984"/>
        <c:scaling>
          <c:orientation val="minMax"/>
        </c:scaling>
        <c:delete val="0"/>
        <c:axPos val="r"/>
        <c:numFmt formatCode="0.00%"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crossAx val="597867520"/>
        <c:crosses val="max"/>
        <c:crossBetween val="between"/>
      </c:valAx>
    </c:plotArea>
    <c:legend>
      <c:legendPos val="b"/>
      <c:layout/>
      <c:overlay val="0"/>
      <c:txPr>
        <a:bodyPr rot="0" spcFirstLastPara="0" vertOverflow="ellipsis" vert="horz" wrap="square" anchor="ctr" anchorCtr="1"/>
        <a:lstStyle/>
        <a:p>
          <a:pPr>
            <a:defRPr lang="zh-CN" sz="800" b="0" i="0" u="none" strike="noStrike" kern="1200" baseline="0">
              <a:solidFill>
                <a:schemeClr val="tx1"/>
              </a:solidFill>
              <a:latin typeface="宋体" panose="02010600030101010101" charset="-122"/>
              <a:ea typeface="宋体" panose="02010600030101010101" charset="-122"/>
              <a:cs typeface="+mn-cs"/>
            </a:defRPr>
          </a:pPr>
        </a:p>
      </c:txPr>
    </c:legend>
    <c:plotVisOnly val="1"/>
    <c:dispBlanksAs val="gap"/>
    <c:showDLblsOverMax val="0"/>
  </c:chart>
  <c:spPr>
    <a:ln w="6350" cap="flat" cmpd="sng" algn="ctr">
      <a:noFill/>
      <a:prstDash val="solid"/>
      <a:round/>
    </a:ln>
  </c:spPr>
  <c:txPr>
    <a:bodyPr/>
    <a:lstStyle/>
    <a:p>
      <a:pPr>
        <a:defRPr lang="zh-CN" sz="800">
          <a:latin typeface="宋体" panose="02010600030101010101" charset="-122"/>
          <a:ea typeface="宋体" panose="02010600030101010101" charset="-122"/>
        </a:defRPr>
      </a:pPr>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7AF61DC9-96A8-44FC-9E38-8E0450EA1A52}" type="doc">
      <dgm:prSet loTypeId="urn:microsoft.com/office/officeart/2005/8/layout/vList5" loCatId="list" qsTypeId="urn:microsoft.com/office/officeart/2005/8/quickstyle/simple1#4" qsCatId="simple" csTypeId="urn:microsoft.com/office/officeart/2005/8/colors/colorful1#1" csCatId="colorful" phldr="1"/>
      <dgm:spPr/>
      <dgm:t>
        <a:bodyPr/>
        <a:p>
          <a:endParaRPr lang="zh-CN" altLang="en-US"/>
        </a:p>
      </dgm:t>
    </dgm:pt>
    <dgm:pt modelId="{C16426C8-1730-4FCA-970C-F39363D3E755}">
      <dgm:prSet phldrT="[文本]" custT="1"/>
      <dgm:spPr>
        <a:xfrm>
          <a:off x="258467" y="1928"/>
          <a:ext cx="5154081" cy="468552"/>
        </a:xfrm>
      </dgm:spPr>
      <dgm:t>
        <a:bodyPr/>
        <a:p>
          <a:pPr algn="ctr">
            <a:buNone/>
          </a:pPr>
          <a:r>
            <a:rPr lang="zh-CN" altLang="en-US" sz="1400" b="1">
              <a:latin typeface="宋体" panose="02010600030101010101" charset="-122"/>
              <a:ea typeface="宋体" panose="02010600030101010101" charset="-122"/>
              <a:cs typeface="+mn-cs"/>
            </a:rPr>
            <a:t>前期战略</a:t>
          </a:r>
        </a:p>
      </dgm:t>
    </dgm:pt>
    <dgm:pt modelId="{2E92FFA4-BA5F-42AC-90DC-00377ECA495F}" cxnId="{65EBCE7F-FCCB-46EE-8A16-E8F5A2EC8919}" type="parTrans">
      <dgm:prSet/>
      <dgm:spPr/>
      <dgm:t>
        <a:bodyPr/>
        <a:p>
          <a:endParaRPr lang="zh-CN" altLang="en-US" sz="1000"/>
        </a:p>
      </dgm:t>
    </dgm:pt>
    <dgm:pt modelId="{ED1B4E8C-971A-4012-AEB4-2EC833273EA3}" cxnId="{65EBCE7F-FCCB-46EE-8A16-E8F5A2EC8919}" type="sibTrans">
      <dgm:prSet/>
      <dgm:spPr/>
      <dgm:t>
        <a:bodyPr/>
        <a:p>
          <a:endParaRPr lang="zh-CN" altLang="en-US" sz="1000"/>
        </a:p>
      </dgm:t>
    </dgm:pt>
    <dgm:pt modelId="{62F16210-A1B3-4D78-9B94-44440578926F}">
      <dgm:prSet phldrT="[文本]" custT="1"/>
      <dgm:spPr>
        <a:xfrm>
          <a:off x="258467" y="504830"/>
          <a:ext cx="5346651" cy="885761"/>
        </a:xfrm>
      </dgm:spPr>
      <dgm:t>
        <a:bodyPr/>
        <a:p>
          <a:pPr marL="0" indent="0">
            <a:lnSpc>
              <a:spcPct val="100000"/>
            </a:lnSpc>
            <a:spcAft>
              <a:spcPts val="0"/>
            </a:spcAft>
            <a:buNone/>
          </a:pPr>
          <a:r>
            <a:rPr lang="zh-CN" altLang="en-US" sz="1050">
              <a:latin typeface="宋体" panose="02010600030101010101" charset="-122"/>
              <a:ea typeface="宋体" panose="02010600030101010101" charset="-122"/>
              <a:cs typeface="+mn-cs"/>
            </a:rPr>
            <a:t>扩大医生入住量和用户下载量。充分利用医生竞争性分级体系和刺激机制，提高医生服务质量。通过竞争性分级免费体系，刺激用户以“病毒营销方式推广</a:t>
          </a:r>
          <a:r>
            <a:rPr lang="en-US" altLang="en-US" sz="1050">
              <a:latin typeface="宋体" panose="02010600030101010101" charset="-122"/>
              <a:ea typeface="宋体" panose="02010600030101010101" charset="-122"/>
              <a:cs typeface="+mn-cs"/>
            </a:rPr>
            <a:t>APP</a:t>
          </a:r>
          <a:r>
            <a:rPr lang="zh-CN" altLang="en-US" sz="1050">
              <a:latin typeface="宋体" panose="02010600030101010101" charset="-122"/>
              <a:ea typeface="宋体" panose="02010600030101010101" charset="-122"/>
              <a:cs typeface="+mn-cs"/>
            </a:rPr>
            <a:t>，增加用户注册量，激励用户分享治疗故事。将平台打造成知识共享、医疗服务优化、医疗资源良性循环的生态圈。</a:t>
          </a:r>
          <a:endParaRPr lang="zh-CN" altLang="en-US" sz="1050" b="1">
            <a:latin typeface="宋体" panose="02010600030101010101" charset="-122"/>
            <a:ea typeface="宋体" panose="02010600030101010101" charset="-122"/>
            <a:cs typeface="+mn-cs"/>
          </a:endParaRPr>
        </a:p>
      </dgm:t>
    </dgm:pt>
    <dgm:pt modelId="{09258E69-36A3-42BB-BD9D-0592CF3A1461}" cxnId="{4EF3A603-745B-4727-9736-C9B00DD60AF2}" type="parTrans">
      <dgm:prSet/>
      <dgm:spPr/>
      <dgm:t>
        <a:bodyPr/>
        <a:p>
          <a:endParaRPr lang="zh-CN" altLang="en-US" sz="1000"/>
        </a:p>
      </dgm:t>
    </dgm:pt>
    <dgm:pt modelId="{D083D788-0372-4CE2-8D46-8E593E561046}" cxnId="{4EF3A603-745B-4727-9736-C9B00DD60AF2}" type="sibTrans">
      <dgm:prSet/>
      <dgm:spPr/>
      <dgm:t>
        <a:bodyPr/>
        <a:p>
          <a:endParaRPr lang="zh-CN" altLang="en-US" sz="1000"/>
        </a:p>
      </dgm:t>
    </dgm:pt>
    <dgm:pt modelId="{04A40D09-333E-432D-AA76-6489D879D142}">
      <dgm:prSet phldrT="[文本]" custT="1"/>
      <dgm:spPr>
        <a:xfrm>
          <a:off x="258467" y="1507818"/>
          <a:ext cx="5154081" cy="468552"/>
        </a:xfrm>
      </dgm:spPr>
      <dgm:t>
        <a:bodyPr/>
        <a:p>
          <a:pPr algn="ctr">
            <a:buNone/>
          </a:pPr>
          <a:r>
            <a:rPr lang="zh-CN" altLang="en-US" sz="1400" b="1">
              <a:latin typeface="宋体" panose="02010600030101010101" charset="-122"/>
              <a:ea typeface="宋体" panose="02010600030101010101" charset="-122"/>
              <a:cs typeface="+mn-cs"/>
            </a:rPr>
            <a:t>中期战略</a:t>
          </a:r>
        </a:p>
      </dgm:t>
    </dgm:pt>
    <dgm:pt modelId="{0E3A3623-5DDF-4A41-B422-C2288B09BAB6}" cxnId="{67453199-0B92-47D1-99BC-17F06B2FBAC0}" type="parTrans">
      <dgm:prSet/>
      <dgm:spPr/>
      <dgm:t>
        <a:bodyPr/>
        <a:p>
          <a:endParaRPr lang="zh-CN" altLang="en-US" sz="1000"/>
        </a:p>
      </dgm:t>
    </dgm:pt>
    <dgm:pt modelId="{32FEF928-6D6C-4413-86B4-0AA990E1D918}" cxnId="{67453199-0B92-47D1-99BC-17F06B2FBAC0}" type="sibTrans">
      <dgm:prSet/>
      <dgm:spPr/>
      <dgm:t>
        <a:bodyPr/>
        <a:p>
          <a:endParaRPr lang="zh-CN" altLang="en-US" sz="1000"/>
        </a:p>
      </dgm:t>
    </dgm:pt>
    <dgm:pt modelId="{99A926F4-80A1-40F3-8013-C5AF73BE5B32}">
      <dgm:prSet phldrT="[文本]" custT="1"/>
      <dgm:spPr>
        <a:xfrm>
          <a:off x="287287" y="2021861"/>
          <a:ext cx="5335687" cy="864213"/>
        </a:xfrm>
      </dgm:spPr>
      <dgm:t>
        <a:bodyPr/>
        <a:p>
          <a:pPr marL="0" indent="0">
            <a:lnSpc>
              <a:spcPts val="1700"/>
            </a:lnSpc>
            <a:spcAft>
              <a:spcPts val="0"/>
            </a:spcAft>
            <a:buNone/>
          </a:pPr>
          <a:r>
            <a:rPr lang="zh-CN" altLang="en-US" sz="1000" b="1">
              <a:latin typeface="华文宋体" panose="02010600040101010101" pitchFamily="2" charset="-122"/>
              <a:ea typeface="华文宋体" panose="02010600040101010101" pitchFamily="2" charset="-122"/>
              <a:cs typeface="+mn-cs"/>
            </a:rPr>
            <a:t> </a:t>
          </a:r>
          <a:r>
            <a:rPr lang="zh-CN" altLang="en-US" sz="1050" b="0">
              <a:latin typeface="宋体" panose="02010600030101010101" charset="-122"/>
              <a:ea typeface="宋体" panose="02010600030101010101" charset="-122"/>
              <a:cs typeface="+mn-cs"/>
            </a:rPr>
            <a:t>完善服务模式，扩展辅助功能。服务功能趋于多样化和个性化。逐步退出会诊室、治疗处方、医疗方案和在线药房等一系列盈利项目，提升公司的盈利点，使公司逐步进入盈利阶段。</a:t>
          </a:r>
        </a:p>
      </dgm:t>
    </dgm:pt>
    <dgm:pt modelId="{CF7C9AAA-12E8-4D26-84C2-AAAD178F2EE0}" cxnId="{5038F25E-6A4A-40CB-A201-5EA93A0EE480}" type="parTrans">
      <dgm:prSet/>
      <dgm:spPr/>
      <dgm:t>
        <a:bodyPr/>
        <a:p>
          <a:endParaRPr lang="zh-CN" altLang="en-US" sz="1000"/>
        </a:p>
      </dgm:t>
    </dgm:pt>
    <dgm:pt modelId="{738B8A60-D5F4-4BC9-82CC-F02C905ACFB9}" cxnId="{5038F25E-6A4A-40CB-A201-5EA93A0EE480}" type="sibTrans">
      <dgm:prSet/>
      <dgm:spPr/>
      <dgm:t>
        <a:bodyPr/>
        <a:p>
          <a:endParaRPr lang="zh-CN" altLang="en-US" sz="1000"/>
        </a:p>
      </dgm:t>
    </dgm:pt>
    <dgm:pt modelId="{52D4C75C-4410-4F08-BEB5-AE7AE8157DF3}">
      <dgm:prSet phldrT="[文本]" custT="1"/>
      <dgm:spPr>
        <a:xfrm>
          <a:off x="258467" y="3013709"/>
          <a:ext cx="5154081" cy="468552"/>
        </a:xfrm>
      </dgm:spPr>
      <dgm:t>
        <a:bodyPr/>
        <a:p>
          <a:pPr algn="ctr">
            <a:buNone/>
          </a:pPr>
          <a:r>
            <a:rPr lang="zh-CN" altLang="en-US" sz="1400" b="1">
              <a:latin typeface="宋体" panose="02010600030101010101" charset="-122"/>
              <a:ea typeface="宋体" panose="02010600030101010101" charset="-122"/>
              <a:cs typeface="+mn-cs"/>
            </a:rPr>
            <a:t>长期战略</a:t>
          </a:r>
        </a:p>
      </dgm:t>
    </dgm:pt>
    <dgm:pt modelId="{715039F9-01CA-4E87-B26B-0FD38171B351}" cxnId="{1EE7EB72-36C3-4578-9449-EE595F8FF919}" type="parTrans">
      <dgm:prSet/>
      <dgm:spPr/>
      <dgm:t>
        <a:bodyPr/>
        <a:p>
          <a:endParaRPr lang="zh-CN" altLang="en-US" sz="1000"/>
        </a:p>
      </dgm:t>
    </dgm:pt>
    <dgm:pt modelId="{9B575452-DF11-49B4-BD7B-E157C3A4C9E0}" cxnId="{1EE7EB72-36C3-4578-9449-EE595F8FF919}" type="sibTrans">
      <dgm:prSet/>
      <dgm:spPr/>
      <dgm:t>
        <a:bodyPr/>
        <a:p>
          <a:endParaRPr lang="zh-CN" altLang="en-US" sz="1000"/>
        </a:p>
      </dgm:t>
    </dgm:pt>
    <dgm:pt modelId="{7A08B2E7-C799-4E07-B35D-30956884B748}">
      <dgm:prSet phldrT="[文本]" custT="1"/>
      <dgm:spPr>
        <a:xfrm>
          <a:off x="306083" y="3533776"/>
          <a:ext cx="5318875" cy="870474"/>
        </a:xfrm>
      </dgm:spPr>
      <dgm:t>
        <a:bodyPr/>
        <a:p>
          <a:pPr marL="0" indent="0">
            <a:lnSpc>
              <a:spcPts val="1700"/>
            </a:lnSpc>
            <a:spcAft>
              <a:spcPts val="0"/>
            </a:spcAft>
            <a:buNone/>
          </a:pPr>
          <a:r>
            <a:rPr lang="zh-CN" altLang="en-US" sz="1000">
              <a:latin typeface="等线" panose="02010600030101010101" charset="-122"/>
              <a:ea typeface="等线" panose="02010600030101010101" charset="-122"/>
              <a:cs typeface="+mn-cs"/>
            </a:rPr>
            <a:t> </a:t>
          </a:r>
          <a:r>
            <a:rPr lang="zh-CN" altLang="en-US" sz="1050">
              <a:latin typeface="宋体" panose="02010600030101010101" charset="-122"/>
              <a:ea typeface="宋体" panose="02010600030101010101" charset="-122"/>
              <a:cs typeface="+mn-cs"/>
            </a:rPr>
            <a:t>扩大服务群体和品牌效应，完善移动医疗资源产业体系，坚持服务领先战略和个性化战略。通过开发利用中老年慢性病患者各项身体指标数据，打造成病情分析、健康预测的精准医疗平台。</a:t>
          </a:r>
          <a:endParaRPr lang="zh-CN" altLang="en-US" sz="1000">
            <a:latin typeface="宋体" panose="02010600030101010101" charset="-122"/>
            <a:ea typeface="宋体" panose="02010600030101010101" charset="-122"/>
            <a:cs typeface="+mn-cs"/>
          </a:endParaRPr>
        </a:p>
      </dgm:t>
    </dgm:pt>
    <dgm:pt modelId="{EC72462A-A77F-4BB5-826F-834E304C83D5}" cxnId="{589CEFCA-13FF-4BDE-9F11-AB677457DC05}" type="parTrans">
      <dgm:prSet/>
      <dgm:spPr/>
      <dgm:t>
        <a:bodyPr/>
        <a:p>
          <a:endParaRPr lang="zh-CN" altLang="en-US" sz="1000"/>
        </a:p>
      </dgm:t>
    </dgm:pt>
    <dgm:pt modelId="{FCFF9BF4-5F22-46C2-AC1A-B013B95B6196}" cxnId="{589CEFCA-13FF-4BDE-9F11-AB677457DC05}" type="sibTrans">
      <dgm:prSet/>
      <dgm:spPr/>
      <dgm:t>
        <a:bodyPr/>
        <a:p>
          <a:endParaRPr lang="zh-CN" altLang="en-US" sz="1000"/>
        </a:p>
      </dgm:t>
    </dgm:pt>
    <dgm:pt modelId="{F66391C1-CB79-4504-8A46-23142FC0D553}">
      <dgm:prSet custT="1"/>
      <dgm:spPr/>
      <dgm:t>
        <a:bodyPr/>
        <a:p>
          <a:pPr>
            <a:lnSpc>
              <a:spcPct val="90000"/>
            </a:lnSpc>
            <a:spcAft>
              <a:spcPct val="15000"/>
            </a:spcAft>
          </a:pPr>
          <a:endParaRPr lang="zh-CN" altLang="en-US" sz="1000">
            <a:latin typeface="等线" panose="02010600030101010101" charset="-122"/>
            <a:ea typeface="等线" panose="02010600030101010101" charset="-122"/>
            <a:cs typeface="+mn-cs"/>
          </a:endParaRPr>
        </a:p>
      </dgm:t>
    </dgm:pt>
    <dgm:pt modelId="{C861DA6B-F76C-459F-A649-C46DBA546B4C}" cxnId="{21FE816E-539D-421D-BF50-4F2A3E402F76}" type="parTrans">
      <dgm:prSet/>
      <dgm:spPr/>
      <dgm:t>
        <a:bodyPr/>
        <a:p>
          <a:endParaRPr lang="zh-CN" altLang="en-US" sz="1000"/>
        </a:p>
      </dgm:t>
    </dgm:pt>
    <dgm:pt modelId="{6FC5FD29-C7A1-478F-9C76-4BE58BF03808}" cxnId="{21FE816E-539D-421D-BF50-4F2A3E402F76}" type="sibTrans">
      <dgm:prSet/>
      <dgm:spPr/>
      <dgm:t>
        <a:bodyPr/>
        <a:p>
          <a:endParaRPr lang="zh-CN" altLang="en-US" sz="1000"/>
        </a:p>
      </dgm:t>
    </dgm:pt>
    <dgm:pt modelId="{2284E9F1-DE45-4C3C-BA6E-751A9552142E}" type="pres">
      <dgm:prSet presAssocID="{7AF61DC9-96A8-44FC-9E38-8E0450EA1A52}" presName="Name0" presStyleCnt="0">
        <dgm:presLayoutVars>
          <dgm:dir/>
          <dgm:animLvl val="lvl"/>
          <dgm:resizeHandles val="exact"/>
        </dgm:presLayoutVars>
      </dgm:prSet>
      <dgm:spPr/>
      <dgm:t>
        <a:bodyPr/>
        <a:p>
          <a:endParaRPr lang="zh-CN" altLang="en-US"/>
        </a:p>
      </dgm:t>
    </dgm:pt>
    <dgm:pt modelId="{CECF06D1-F870-40AA-BEC0-F63171B73881}" type="pres">
      <dgm:prSet presAssocID="{C16426C8-1730-4FCA-970C-F39363D3E755}" presName="linNode" presStyleCnt="0"/>
      <dgm:spPr/>
    </dgm:pt>
    <dgm:pt modelId="{379E9105-2C17-40E6-83C8-740816937EA1}" type="pres">
      <dgm:prSet presAssocID="{C16426C8-1730-4FCA-970C-F39363D3E755}" presName="parentText" presStyleLbl="node1" presStyleIdx="0" presStyleCnt="3" custLinFactNeighborY="-387">
        <dgm:presLayoutVars>
          <dgm:chMax val="1"/>
          <dgm:bulletEnabled val="1"/>
        </dgm:presLayoutVars>
      </dgm:prSet>
      <dgm:spPr>
        <a:prstGeom prst="rect">
          <a:avLst/>
        </a:prstGeom>
      </dgm:spPr>
      <dgm:t>
        <a:bodyPr/>
        <a:p>
          <a:endParaRPr lang="zh-CN" altLang="en-US"/>
        </a:p>
      </dgm:t>
    </dgm:pt>
    <dgm:pt modelId="{55327E46-58B2-44E5-9467-A0B9F4A8D773}" type="pres">
      <dgm:prSet presAssocID="{C16426C8-1730-4FCA-970C-F39363D3E755}" presName="descendantText" presStyleLbl="alignAccFollowNode1" presStyleIdx="0" presStyleCnt="3" custScaleY="122012">
        <dgm:presLayoutVars>
          <dgm:bulletEnabled val="1"/>
        </dgm:presLayoutVars>
      </dgm:prSet>
      <dgm:spPr>
        <a:prstGeom prst="rect">
          <a:avLst/>
        </a:prstGeom>
      </dgm:spPr>
      <dgm:t>
        <a:bodyPr/>
        <a:p>
          <a:endParaRPr lang="zh-CN" altLang="en-US"/>
        </a:p>
      </dgm:t>
    </dgm:pt>
    <dgm:pt modelId="{F05C3EC5-0730-4C51-863A-CBF43BBF6560}" type="pres">
      <dgm:prSet presAssocID="{ED1B4E8C-971A-4012-AEB4-2EC833273EA3}" presName="sp" presStyleCnt="0"/>
      <dgm:spPr/>
    </dgm:pt>
    <dgm:pt modelId="{DC5F86C8-D7FE-4B0D-8D8F-4459247AC64D}" type="pres">
      <dgm:prSet presAssocID="{04A40D09-333E-432D-AA76-6489D879D142}" presName="linNode" presStyleCnt="0"/>
      <dgm:spPr/>
    </dgm:pt>
    <dgm:pt modelId="{FAD3700F-30A0-4471-A38B-08065E3EE521}" type="pres">
      <dgm:prSet presAssocID="{04A40D09-333E-432D-AA76-6489D879D142}" presName="parentText" presStyleLbl="node1" presStyleIdx="1" presStyleCnt="3" custLinFactNeighborY="-9318">
        <dgm:presLayoutVars>
          <dgm:chMax val="1"/>
          <dgm:bulletEnabled val="1"/>
        </dgm:presLayoutVars>
      </dgm:prSet>
      <dgm:spPr>
        <a:prstGeom prst="rect">
          <a:avLst/>
        </a:prstGeom>
      </dgm:spPr>
      <dgm:t>
        <a:bodyPr/>
        <a:p>
          <a:endParaRPr lang="zh-CN" altLang="en-US"/>
        </a:p>
      </dgm:t>
    </dgm:pt>
    <dgm:pt modelId="{59ACC0E1-110D-464A-A010-740B304EB6D2}" type="pres">
      <dgm:prSet presAssocID="{04A40D09-333E-432D-AA76-6489D879D142}" presName="descendantText" presStyleLbl="alignAccFollowNode1" presStyleIdx="1" presStyleCnt="3" custScaleY="119620" custLinFactNeighborX="0" custLinFactNeighborY="-12813">
        <dgm:presLayoutVars>
          <dgm:bulletEnabled val="1"/>
        </dgm:presLayoutVars>
      </dgm:prSet>
      <dgm:spPr>
        <a:prstGeom prst="rect">
          <a:avLst/>
        </a:prstGeom>
      </dgm:spPr>
      <dgm:t>
        <a:bodyPr/>
        <a:p>
          <a:endParaRPr lang="zh-CN" altLang="en-US"/>
        </a:p>
      </dgm:t>
    </dgm:pt>
    <dgm:pt modelId="{6052F064-1EB6-4795-AFDD-B897D88B55B3}" type="pres">
      <dgm:prSet presAssocID="{32FEF928-6D6C-4413-86B4-0AA990E1D918}" presName="sp" presStyleCnt="0"/>
      <dgm:spPr/>
    </dgm:pt>
    <dgm:pt modelId="{BE54C801-69DE-4814-9561-5FC80DCECBF6}" type="pres">
      <dgm:prSet presAssocID="{52D4C75C-4410-4F08-BEB5-AE7AE8157DF3}" presName="linNode" presStyleCnt="0"/>
      <dgm:spPr/>
    </dgm:pt>
    <dgm:pt modelId="{48517F4C-CD15-4FD4-A30A-4BEBA9881DD5}" type="pres">
      <dgm:prSet presAssocID="{52D4C75C-4410-4F08-BEB5-AE7AE8157DF3}" presName="parentText" presStyleLbl="node1" presStyleIdx="2" presStyleCnt="3" custLinFactNeighborY="-13045">
        <dgm:presLayoutVars>
          <dgm:chMax val="1"/>
          <dgm:bulletEnabled val="1"/>
        </dgm:presLayoutVars>
      </dgm:prSet>
      <dgm:spPr>
        <a:prstGeom prst="rect">
          <a:avLst/>
        </a:prstGeom>
      </dgm:spPr>
      <dgm:t>
        <a:bodyPr/>
        <a:p>
          <a:endParaRPr lang="zh-CN" altLang="en-US"/>
        </a:p>
      </dgm:t>
    </dgm:pt>
    <dgm:pt modelId="{AB08E129-313D-412C-BE69-E6D8073B12FC}" type="pres">
      <dgm:prSet presAssocID="{52D4C75C-4410-4F08-BEB5-AE7AE8157DF3}" presName="descendantText" presStyleLbl="alignAccFollowNode1" presStyleIdx="2" presStyleCnt="3" custScaleY="123258" custLinFactNeighborY="-15145">
        <dgm:presLayoutVars>
          <dgm:bulletEnabled val="1"/>
        </dgm:presLayoutVars>
      </dgm:prSet>
      <dgm:spPr>
        <a:prstGeom prst="rect">
          <a:avLst/>
        </a:prstGeom>
      </dgm:spPr>
      <dgm:t>
        <a:bodyPr/>
        <a:p>
          <a:endParaRPr lang="zh-CN" altLang="en-US"/>
        </a:p>
      </dgm:t>
    </dgm:pt>
  </dgm:ptLst>
  <dgm:cxnLst>
    <dgm:cxn modelId="{21FE816E-539D-421D-BF50-4F2A3E402F76}" srcId="{C16426C8-1730-4FCA-970C-F39363D3E755}" destId="{F66391C1-CB79-4504-8A46-23142FC0D553}" srcOrd="1" destOrd="0" parTransId="{C861DA6B-F76C-459F-A649-C46DBA546B4C}" sibTransId="{6FC5FD29-C7A1-478F-9C76-4BE58BF03808}"/>
    <dgm:cxn modelId="{6ADBDF7C-3CB6-4888-8884-457D859B4AD7}" type="presOf" srcId="{52D4C75C-4410-4F08-BEB5-AE7AE8157DF3}" destId="{48517F4C-CD15-4FD4-A30A-4BEBA9881DD5}" srcOrd="0" destOrd="0" presId="urn:microsoft.com/office/officeart/2005/8/layout/vList5"/>
    <dgm:cxn modelId="{443D0FA6-6343-458D-82C1-DE01B37810B2}" type="presOf" srcId="{04A40D09-333E-432D-AA76-6489D879D142}" destId="{FAD3700F-30A0-4471-A38B-08065E3EE521}" srcOrd="0" destOrd="0" presId="urn:microsoft.com/office/officeart/2005/8/layout/vList5"/>
    <dgm:cxn modelId="{5038F25E-6A4A-40CB-A201-5EA93A0EE480}" srcId="{04A40D09-333E-432D-AA76-6489D879D142}" destId="{99A926F4-80A1-40F3-8013-C5AF73BE5B32}" srcOrd="0" destOrd="0" parTransId="{CF7C9AAA-12E8-4D26-84C2-AAAD178F2EE0}" sibTransId="{738B8A60-D5F4-4BC9-82CC-F02C905ACFB9}"/>
    <dgm:cxn modelId="{695AEB69-0352-4978-A8FD-9C0935E0BA59}" type="presOf" srcId="{99A926F4-80A1-40F3-8013-C5AF73BE5B32}" destId="{59ACC0E1-110D-464A-A010-740B304EB6D2}" srcOrd="0" destOrd="0" presId="urn:microsoft.com/office/officeart/2005/8/layout/vList5"/>
    <dgm:cxn modelId="{65EBCE7F-FCCB-46EE-8A16-E8F5A2EC8919}" srcId="{7AF61DC9-96A8-44FC-9E38-8E0450EA1A52}" destId="{C16426C8-1730-4FCA-970C-F39363D3E755}" srcOrd="0" destOrd="0" parTransId="{2E92FFA4-BA5F-42AC-90DC-00377ECA495F}" sibTransId="{ED1B4E8C-971A-4012-AEB4-2EC833273EA3}"/>
    <dgm:cxn modelId="{4EF3A603-745B-4727-9736-C9B00DD60AF2}" srcId="{C16426C8-1730-4FCA-970C-F39363D3E755}" destId="{62F16210-A1B3-4D78-9B94-44440578926F}" srcOrd="0" destOrd="0" parTransId="{09258E69-36A3-42BB-BD9D-0592CF3A1461}" sibTransId="{D083D788-0372-4CE2-8D46-8E593E561046}"/>
    <dgm:cxn modelId="{67453199-0B92-47D1-99BC-17F06B2FBAC0}" srcId="{7AF61DC9-96A8-44FC-9E38-8E0450EA1A52}" destId="{04A40D09-333E-432D-AA76-6489D879D142}" srcOrd="1" destOrd="0" parTransId="{0E3A3623-5DDF-4A41-B422-C2288B09BAB6}" sibTransId="{32FEF928-6D6C-4413-86B4-0AA990E1D918}"/>
    <dgm:cxn modelId="{1EE7EB72-36C3-4578-9449-EE595F8FF919}" srcId="{7AF61DC9-96A8-44FC-9E38-8E0450EA1A52}" destId="{52D4C75C-4410-4F08-BEB5-AE7AE8157DF3}" srcOrd="2" destOrd="0" parTransId="{715039F9-01CA-4E87-B26B-0FD38171B351}" sibTransId="{9B575452-DF11-49B4-BD7B-E157C3A4C9E0}"/>
    <dgm:cxn modelId="{589CEFCA-13FF-4BDE-9F11-AB677457DC05}" srcId="{52D4C75C-4410-4F08-BEB5-AE7AE8157DF3}" destId="{7A08B2E7-C799-4E07-B35D-30956884B748}" srcOrd="0" destOrd="0" parTransId="{EC72462A-A77F-4BB5-826F-834E304C83D5}" sibTransId="{FCFF9BF4-5F22-46C2-AC1A-B013B95B6196}"/>
    <dgm:cxn modelId="{A11FB308-9DF5-4BD2-9B1C-A32BBE0C5188}" type="presOf" srcId="{C16426C8-1730-4FCA-970C-F39363D3E755}" destId="{379E9105-2C17-40E6-83C8-740816937EA1}" srcOrd="0" destOrd="0" presId="urn:microsoft.com/office/officeart/2005/8/layout/vList5"/>
    <dgm:cxn modelId="{3A804E8F-620C-456E-922C-D8D8AF4594C4}" type="presOf" srcId="{62F16210-A1B3-4D78-9B94-44440578926F}" destId="{55327E46-58B2-44E5-9467-A0B9F4A8D773}" srcOrd="0" destOrd="0" presId="urn:microsoft.com/office/officeart/2005/8/layout/vList5"/>
    <dgm:cxn modelId="{DE52D0DE-AA52-4EAD-A70B-60E41B3992A5}" type="presOf" srcId="{7A08B2E7-C799-4E07-B35D-30956884B748}" destId="{AB08E129-313D-412C-BE69-E6D8073B12FC}" srcOrd="0" destOrd="0" presId="urn:microsoft.com/office/officeart/2005/8/layout/vList5"/>
    <dgm:cxn modelId="{5AC4EE16-4212-4343-A178-08F2107EB4E5}" type="presOf" srcId="{F66391C1-CB79-4504-8A46-23142FC0D553}" destId="{55327E46-58B2-44E5-9467-A0B9F4A8D773}" srcOrd="0" destOrd="1" presId="urn:microsoft.com/office/officeart/2005/8/layout/vList5"/>
    <dgm:cxn modelId="{BAA7E7CE-6D11-4A1F-BF18-8087A2B85678}" type="presOf" srcId="{7AF61DC9-96A8-44FC-9E38-8E0450EA1A52}" destId="{2284E9F1-DE45-4C3C-BA6E-751A9552142E}" srcOrd="0" destOrd="0" presId="urn:microsoft.com/office/officeart/2005/8/layout/vList5"/>
    <dgm:cxn modelId="{AA6D0271-EC08-49AC-AAE0-B433D082DCA0}" type="presParOf" srcId="{2284E9F1-DE45-4C3C-BA6E-751A9552142E}" destId="{CECF06D1-F870-40AA-BEC0-F63171B73881}" srcOrd="0" destOrd="0" presId="urn:microsoft.com/office/officeart/2005/8/layout/vList5"/>
    <dgm:cxn modelId="{E374ABF6-2A93-4602-83BC-83292E3D5378}" type="presParOf" srcId="{CECF06D1-F870-40AA-BEC0-F63171B73881}" destId="{379E9105-2C17-40E6-83C8-740816937EA1}" srcOrd="0" destOrd="0" presId="urn:microsoft.com/office/officeart/2005/8/layout/vList5"/>
    <dgm:cxn modelId="{D920812C-FAAA-4AC5-B116-CABC38AFFD60}" type="presParOf" srcId="{CECF06D1-F870-40AA-BEC0-F63171B73881}" destId="{55327E46-58B2-44E5-9467-A0B9F4A8D773}" srcOrd="1" destOrd="0" presId="urn:microsoft.com/office/officeart/2005/8/layout/vList5"/>
    <dgm:cxn modelId="{0E926944-BFFE-4363-B20D-5135EBBEA9A8}" type="presParOf" srcId="{2284E9F1-DE45-4C3C-BA6E-751A9552142E}" destId="{F05C3EC5-0730-4C51-863A-CBF43BBF6560}" srcOrd="1" destOrd="0" presId="urn:microsoft.com/office/officeart/2005/8/layout/vList5"/>
    <dgm:cxn modelId="{9F63BC45-A080-4FD5-A687-E581F4CA237C}" type="presParOf" srcId="{2284E9F1-DE45-4C3C-BA6E-751A9552142E}" destId="{DC5F86C8-D7FE-4B0D-8D8F-4459247AC64D}" srcOrd="2" destOrd="0" presId="urn:microsoft.com/office/officeart/2005/8/layout/vList5"/>
    <dgm:cxn modelId="{0E5492A3-FD13-4520-9B4A-5AF4EDE836CF}" type="presParOf" srcId="{DC5F86C8-D7FE-4B0D-8D8F-4459247AC64D}" destId="{FAD3700F-30A0-4471-A38B-08065E3EE521}" srcOrd="0" destOrd="0" presId="urn:microsoft.com/office/officeart/2005/8/layout/vList5"/>
    <dgm:cxn modelId="{7AD10679-2277-478A-852D-A7971415D76A}" type="presParOf" srcId="{DC5F86C8-D7FE-4B0D-8D8F-4459247AC64D}" destId="{59ACC0E1-110D-464A-A010-740B304EB6D2}" srcOrd="1" destOrd="0" presId="urn:microsoft.com/office/officeart/2005/8/layout/vList5"/>
    <dgm:cxn modelId="{CF56F90F-86CF-4EC2-B665-B2A5603C3831}" type="presParOf" srcId="{2284E9F1-DE45-4C3C-BA6E-751A9552142E}" destId="{6052F064-1EB6-4795-AFDD-B897D88B55B3}" srcOrd="3" destOrd="0" presId="urn:microsoft.com/office/officeart/2005/8/layout/vList5"/>
    <dgm:cxn modelId="{B1505066-8D9C-48F5-95F0-72EB5D5E5B1C}" type="presParOf" srcId="{2284E9F1-DE45-4C3C-BA6E-751A9552142E}" destId="{BE54C801-69DE-4814-9561-5FC80DCECBF6}" srcOrd="4" destOrd="0" presId="urn:microsoft.com/office/officeart/2005/8/layout/vList5"/>
    <dgm:cxn modelId="{092D93D1-9696-44D0-BCE3-B8F0007FB880}" type="presParOf" srcId="{BE54C801-69DE-4814-9561-5FC80DCECBF6}" destId="{48517F4C-CD15-4FD4-A30A-4BEBA9881DD5}" srcOrd="0" destOrd="0" presId="urn:microsoft.com/office/officeart/2005/8/layout/vList5"/>
    <dgm:cxn modelId="{EFE45287-4707-4DA4-AE93-0C0B5D1C1444}" type="presParOf" srcId="{BE54C801-69DE-4814-9561-5FC80DCECBF6}" destId="{AB08E129-313D-412C-BE69-E6D8073B12FC}" srcOrd="1" destOrd="0" presId="urn:microsoft.com/office/officeart/2005/8/layout/vList5"/>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CC3EA01-D240-4021-BC27-DB123C88B7FC}" type="doc">
      <dgm:prSet loTypeId="urn:microsoft.com/office/officeart/2005/8/layout/hierarchy2" loCatId="hierarchy" qsTypeId="urn:microsoft.com/office/officeart/2005/8/quickstyle/simple1" qsCatId="simple" csTypeId="urn:microsoft.com/office/officeart/2005/8/colors/accent1_2" csCatId="accent1" phldr="1"/>
      <dgm:spPr/>
      <dgm:t>
        <a:bodyPr/>
        <a:p>
          <a:endParaRPr lang="zh-CN" altLang="en-US"/>
        </a:p>
      </dgm:t>
    </dgm:pt>
    <dgm:pt modelId="{77B3379B-FD71-4201-A80E-F990F82AB1DC}">
      <dgm:prSet phldrT="[文本]" custT="1"/>
      <dgm:spPr/>
      <dgm:t>
        <a:bodyPr/>
        <a:p>
          <a:pPr algn="ctr"/>
          <a:r>
            <a:rPr lang="zh-CN" altLang="en-US" sz="1000">
              <a:latin typeface="宋体" panose="02010600030101010101" charset="-122"/>
              <a:ea typeface="宋体" panose="02010600030101010101" charset="-122"/>
            </a:rPr>
            <a:t>营销策略</a:t>
          </a:r>
        </a:p>
      </dgm:t>
    </dgm:pt>
    <dgm:pt modelId="{0231A6F6-3F1E-4266-9E02-17B770F56CDA}" cxnId="{09FEE10F-2D68-4D95-8C4F-7E1463A3DC98}" type="parTrans">
      <dgm:prSet/>
      <dgm:spPr/>
      <dgm:t>
        <a:bodyPr/>
        <a:p>
          <a:pPr algn="ctr"/>
          <a:endParaRPr lang="zh-CN" altLang="en-US" sz="1000">
            <a:latin typeface="宋体" panose="02010600030101010101" charset="-122"/>
            <a:ea typeface="宋体" panose="02010600030101010101" charset="-122"/>
          </a:endParaRPr>
        </a:p>
      </dgm:t>
    </dgm:pt>
    <dgm:pt modelId="{D5462A1D-7EA1-4274-85FC-DF5B43F94574}" cxnId="{09FEE10F-2D68-4D95-8C4F-7E1463A3DC98}" type="sibTrans">
      <dgm:prSet/>
      <dgm:spPr/>
      <dgm:t>
        <a:bodyPr/>
        <a:p>
          <a:pPr algn="ctr"/>
          <a:endParaRPr lang="zh-CN" altLang="en-US" sz="1000">
            <a:latin typeface="宋体" panose="02010600030101010101" charset="-122"/>
            <a:ea typeface="宋体" panose="02010600030101010101" charset="-122"/>
          </a:endParaRPr>
        </a:p>
      </dgm:t>
    </dgm:pt>
    <dgm:pt modelId="{689769B3-BA76-4BB6-BA86-31407C7236FB}">
      <dgm:prSet phldrT="[文本]" custT="1"/>
      <dgm:spPr/>
      <dgm:t>
        <a:bodyPr/>
        <a:p>
          <a:pPr algn="ctr"/>
          <a:r>
            <a:rPr lang="zh-CN" altLang="en-US" sz="1000">
              <a:latin typeface="宋体" panose="02010600030101010101" charset="-122"/>
              <a:ea typeface="宋体" panose="02010600030101010101" charset="-122"/>
            </a:rPr>
            <a:t>前期</a:t>
          </a:r>
        </a:p>
      </dgm:t>
    </dgm:pt>
    <dgm:pt modelId="{9A326BD5-D0CA-4AD8-8646-86391704C735}" cxnId="{9E42941A-BA88-4AC7-8A77-1A837296BA21}" type="parTrans">
      <dgm:prSet custT="1"/>
      <dgm:spPr/>
      <dgm:t>
        <a:bodyPr/>
        <a:p>
          <a:pPr algn="ctr"/>
          <a:endParaRPr lang="zh-CN" altLang="en-US" sz="1000">
            <a:latin typeface="宋体" panose="02010600030101010101" charset="-122"/>
            <a:ea typeface="宋体" panose="02010600030101010101" charset="-122"/>
          </a:endParaRPr>
        </a:p>
      </dgm:t>
    </dgm:pt>
    <dgm:pt modelId="{6E2FA508-EDFA-4424-B5BE-16371D56D5D6}" cxnId="{9E42941A-BA88-4AC7-8A77-1A837296BA21}" type="sibTrans">
      <dgm:prSet/>
      <dgm:spPr/>
      <dgm:t>
        <a:bodyPr/>
        <a:p>
          <a:pPr algn="ctr"/>
          <a:endParaRPr lang="zh-CN" altLang="en-US" sz="1000">
            <a:latin typeface="宋体" panose="02010600030101010101" charset="-122"/>
            <a:ea typeface="宋体" panose="02010600030101010101" charset="-122"/>
          </a:endParaRPr>
        </a:p>
      </dgm:t>
    </dgm:pt>
    <dgm:pt modelId="{21A3ECDE-5E6B-423C-B5FE-2A9C3A01DD72}">
      <dgm:prSet phldrT="[文本]" custT="1"/>
      <dgm:spPr/>
      <dgm:t>
        <a:bodyPr/>
        <a:p>
          <a:pPr algn="ctr"/>
          <a:r>
            <a:rPr lang="zh-CN" altLang="en-US" sz="1000">
              <a:latin typeface="宋体" panose="02010600030101010101" charset="-122"/>
              <a:ea typeface="宋体" panose="02010600030101010101" charset="-122"/>
            </a:rPr>
            <a:t>线上推广</a:t>
          </a:r>
        </a:p>
      </dgm:t>
    </dgm:pt>
    <dgm:pt modelId="{8A155885-A729-4C09-B521-AE9135126C23}" cxnId="{354526F1-206B-40FB-AE6B-874F07CE29FA}" type="parTrans">
      <dgm:prSet custT="1"/>
      <dgm:spPr/>
      <dgm:t>
        <a:bodyPr/>
        <a:p>
          <a:pPr algn="ctr"/>
          <a:endParaRPr lang="zh-CN" altLang="en-US" sz="1000">
            <a:latin typeface="宋体" panose="02010600030101010101" charset="-122"/>
            <a:ea typeface="宋体" panose="02010600030101010101" charset="-122"/>
          </a:endParaRPr>
        </a:p>
      </dgm:t>
    </dgm:pt>
    <dgm:pt modelId="{9923C360-1FD7-4973-951C-6756BAE777C7}" cxnId="{354526F1-206B-40FB-AE6B-874F07CE29FA}" type="sibTrans">
      <dgm:prSet/>
      <dgm:spPr/>
      <dgm:t>
        <a:bodyPr/>
        <a:p>
          <a:pPr algn="ctr"/>
          <a:endParaRPr lang="zh-CN" altLang="en-US" sz="1000">
            <a:latin typeface="宋体" panose="02010600030101010101" charset="-122"/>
            <a:ea typeface="宋体" panose="02010600030101010101" charset="-122"/>
          </a:endParaRPr>
        </a:p>
      </dgm:t>
    </dgm:pt>
    <dgm:pt modelId="{C34E1DE8-2D09-4362-8F2C-CB8D06D0ADFA}">
      <dgm:prSet phldrT="[文本]" custT="1"/>
      <dgm:spPr/>
      <dgm:t>
        <a:bodyPr/>
        <a:p>
          <a:pPr algn="l">
            <a:lnSpc>
              <a:spcPct val="100000"/>
            </a:lnSpc>
            <a:spcAft>
              <a:spcPts val="0"/>
            </a:spcAft>
          </a:pPr>
          <a:r>
            <a:rPr lang="en-US" altLang="zh-CN" sz="900" b="1">
              <a:latin typeface="宋体" panose="02010600030101010101" charset="-122"/>
              <a:ea typeface="宋体" panose="02010600030101010101" charset="-122"/>
            </a:rPr>
            <a:t>1.</a:t>
          </a:r>
          <a:r>
            <a:rPr lang="zh-CN" altLang="en-US" sz="900" b="1">
              <a:latin typeface="宋体" panose="02010600030101010101" charset="-122"/>
              <a:ea typeface="宋体" panose="02010600030101010101" charset="-122"/>
            </a:rPr>
            <a:t>手机应用市场推广</a:t>
          </a:r>
          <a:endParaRPr lang="en-US" altLang="zh-CN" sz="900" b="1">
            <a:latin typeface="宋体" panose="02010600030101010101" charset="-122"/>
            <a:ea typeface="宋体" panose="02010600030101010101" charset="-122"/>
          </a:endParaRPr>
        </a:p>
        <a:p>
          <a:pPr algn="l">
            <a:lnSpc>
              <a:spcPct val="100000"/>
            </a:lnSpc>
            <a:spcAft>
              <a:spcPts val="0"/>
            </a:spcAft>
          </a:pPr>
          <a:r>
            <a:rPr lang="en-US" altLang="zh-CN" sz="900" b="1">
              <a:latin typeface="宋体" panose="02010600030101010101" charset="-122"/>
              <a:ea typeface="宋体" panose="02010600030101010101" charset="-122"/>
            </a:rPr>
            <a:t>2.</a:t>
          </a:r>
          <a:r>
            <a:rPr lang="zh-CN" altLang="en-US" sz="900" b="1">
              <a:latin typeface="宋体" panose="02010600030101010101" charset="-122"/>
              <a:ea typeface="宋体" panose="02010600030101010101" charset="-122"/>
            </a:rPr>
            <a:t>病毒式营销推广</a:t>
          </a:r>
          <a:endParaRPr lang="en-US" altLang="zh-CN" sz="900" b="1">
            <a:latin typeface="宋体" panose="02010600030101010101" charset="-122"/>
            <a:ea typeface="宋体" panose="02010600030101010101" charset="-122"/>
          </a:endParaRPr>
        </a:p>
        <a:p>
          <a:pPr algn="l">
            <a:lnSpc>
              <a:spcPct val="100000"/>
            </a:lnSpc>
            <a:spcAft>
              <a:spcPts val="0"/>
            </a:spcAft>
          </a:pPr>
          <a:r>
            <a:rPr lang="en-US" altLang="zh-CN" sz="900" b="1">
              <a:latin typeface="宋体" panose="02010600030101010101" charset="-122"/>
              <a:ea typeface="宋体" panose="02010600030101010101" charset="-122"/>
            </a:rPr>
            <a:t>3.</a:t>
          </a:r>
          <a:r>
            <a:rPr lang="zh-CN" altLang="en-US" sz="900" b="1">
              <a:latin typeface="宋体" panose="02010600030101010101" charset="-122"/>
              <a:ea typeface="宋体" panose="02010600030101010101" charset="-122"/>
            </a:rPr>
            <a:t>微信朋友圈推广</a:t>
          </a:r>
          <a:endParaRPr lang="en-US" altLang="zh-CN" sz="900" b="1">
            <a:latin typeface="宋体" panose="02010600030101010101" charset="-122"/>
            <a:ea typeface="宋体" panose="02010600030101010101" charset="-122"/>
          </a:endParaRPr>
        </a:p>
        <a:p>
          <a:pPr algn="l">
            <a:lnSpc>
              <a:spcPct val="100000"/>
            </a:lnSpc>
            <a:spcAft>
              <a:spcPts val="0"/>
            </a:spcAft>
          </a:pPr>
          <a:r>
            <a:rPr lang="en-US" altLang="zh-CN" sz="900" b="1">
              <a:latin typeface="宋体" panose="02010600030101010101" charset="-122"/>
              <a:ea typeface="宋体" panose="02010600030101010101" charset="-122"/>
            </a:rPr>
            <a:t>4.</a:t>
          </a:r>
          <a:r>
            <a:rPr lang="zh-CN" altLang="en-US" sz="900" b="1">
              <a:latin typeface="宋体" panose="02010600030101010101" charset="-122"/>
              <a:ea typeface="宋体" panose="02010600030101010101" charset="-122"/>
            </a:rPr>
            <a:t>利用搜索引擎进行关键词推广</a:t>
          </a:r>
          <a:endParaRPr lang="en-US" altLang="zh-CN" sz="900" b="1">
            <a:latin typeface="宋体" panose="02010600030101010101" charset="-122"/>
            <a:ea typeface="宋体" panose="02010600030101010101" charset="-122"/>
          </a:endParaRPr>
        </a:p>
        <a:p>
          <a:pPr algn="l">
            <a:lnSpc>
              <a:spcPct val="100000"/>
            </a:lnSpc>
            <a:spcAft>
              <a:spcPts val="0"/>
            </a:spcAft>
          </a:pPr>
          <a:r>
            <a:rPr lang="en-US" altLang="zh-CN" sz="900" b="1">
              <a:latin typeface="宋体" panose="02010600030101010101" charset="-122"/>
              <a:ea typeface="宋体" panose="02010600030101010101" charset="-122"/>
            </a:rPr>
            <a:t>5.</a:t>
          </a:r>
          <a:r>
            <a:rPr lang="zh-CN" altLang="en-US" sz="900" b="1">
              <a:latin typeface="宋体" panose="02010600030101010101" charset="-122"/>
              <a:ea typeface="宋体" panose="02010600030101010101" charset="-122"/>
            </a:rPr>
            <a:t>与微信公众号合作推广（软文和硬性广告）</a:t>
          </a:r>
        </a:p>
      </dgm:t>
    </dgm:pt>
    <dgm:pt modelId="{9B011878-BE2E-4E4A-8267-D3D4BAA5DEF7}" cxnId="{0D87B7D0-67A5-4972-A942-DED820CB68AE}" type="parTrans">
      <dgm:prSet custT="1"/>
      <dgm:spPr/>
      <dgm:t>
        <a:bodyPr/>
        <a:p>
          <a:pPr algn="ctr"/>
          <a:endParaRPr lang="zh-CN" altLang="en-US" sz="1000">
            <a:latin typeface="宋体" panose="02010600030101010101" charset="-122"/>
            <a:ea typeface="宋体" panose="02010600030101010101" charset="-122"/>
          </a:endParaRPr>
        </a:p>
      </dgm:t>
    </dgm:pt>
    <dgm:pt modelId="{BB258B81-2107-42EC-B6CA-D5424ED68256}" cxnId="{0D87B7D0-67A5-4972-A942-DED820CB68AE}" type="sibTrans">
      <dgm:prSet/>
      <dgm:spPr/>
      <dgm:t>
        <a:bodyPr/>
        <a:p>
          <a:pPr algn="ctr"/>
          <a:endParaRPr lang="zh-CN" altLang="en-US" sz="1000">
            <a:latin typeface="宋体" panose="02010600030101010101" charset="-122"/>
            <a:ea typeface="宋体" panose="02010600030101010101" charset="-122"/>
          </a:endParaRPr>
        </a:p>
      </dgm:t>
    </dgm:pt>
    <dgm:pt modelId="{A9B7C98C-8E1B-464C-92EE-5750CAB9FF93}">
      <dgm:prSet phldrT="[文本]" custT="1"/>
      <dgm:spPr/>
      <dgm:t>
        <a:bodyPr/>
        <a:p>
          <a:pPr algn="ctr"/>
          <a:r>
            <a:rPr lang="zh-CN" altLang="en-US" sz="1000">
              <a:latin typeface="宋体" panose="02010600030101010101" charset="-122"/>
              <a:ea typeface="宋体" panose="02010600030101010101" charset="-122"/>
            </a:rPr>
            <a:t>中后期</a:t>
          </a:r>
        </a:p>
      </dgm:t>
    </dgm:pt>
    <dgm:pt modelId="{527E64E9-C8C2-4C3D-BDF1-E4C19CABFE6C}" cxnId="{05243254-C0E7-4E2C-AE7D-309B4759EFDA}" type="parTrans">
      <dgm:prSet custT="1"/>
      <dgm:spPr/>
      <dgm:t>
        <a:bodyPr/>
        <a:p>
          <a:pPr algn="ctr"/>
          <a:endParaRPr lang="zh-CN" altLang="en-US" sz="1000">
            <a:latin typeface="宋体" panose="02010600030101010101" charset="-122"/>
            <a:ea typeface="宋体" panose="02010600030101010101" charset="-122"/>
          </a:endParaRPr>
        </a:p>
      </dgm:t>
    </dgm:pt>
    <dgm:pt modelId="{9C052FFE-C034-49B0-A38A-C5213CEB9387}" cxnId="{05243254-C0E7-4E2C-AE7D-309B4759EFDA}" type="sibTrans">
      <dgm:prSet/>
      <dgm:spPr/>
      <dgm:t>
        <a:bodyPr/>
        <a:p>
          <a:pPr algn="ctr"/>
          <a:endParaRPr lang="zh-CN" altLang="en-US" sz="1000">
            <a:latin typeface="宋体" panose="02010600030101010101" charset="-122"/>
            <a:ea typeface="宋体" panose="02010600030101010101" charset="-122"/>
          </a:endParaRPr>
        </a:p>
      </dgm:t>
    </dgm:pt>
    <dgm:pt modelId="{5A54C55A-067B-4909-A1D6-8F7CDE000B4C}">
      <dgm:prSet phldrT="[文本]" custT="1"/>
      <dgm:spPr/>
      <dgm:t>
        <a:bodyPr/>
        <a:p>
          <a:pPr algn="ctr"/>
          <a:r>
            <a:rPr lang="zh-CN" altLang="en-US" sz="1000">
              <a:latin typeface="宋体" panose="02010600030101010101" charset="-122"/>
              <a:ea typeface="宋体" panose="02010600030101010101" charset="-122"/>
            </a:rPr>
            <a:t>线上推广</a:t>
          </a:r>
        </a:p>
      </dgm:t>
    </dgm:pt>
    <dgm:pt modelId="{2D7583B7-86DC-4B02-A5FA-E78A3F82F8C9}" cxnId="{AC060CF8-6835-45DA-A755-A77ACCEB30C3}" type="parTrans">
      <dgm:prSet custT="1"/>
      <dgm:spPr/>
      <dgm:t>
        <a:bodyPr/>
        <a:p>
          <a:pPr algn="ctr"/>
          <a:endParaRPr lang="zh-CN" altLang="en-US" sz="1000">
            <a:latin typeface="宋体" panose="02010600030101010101" charset="-122"/>
            <a:ea typeface="宋体" panose="02010600030101010101" charset="-122"/>
          </a:endParaRPr>
        </a:p>
      </dgm:t>
    </dgm:pt>
    <dgm:pt modelId="{69B034E8-E18B-436A-806D-0D42DEF8097A}" cxnId="{AC060CF8-6835-45DA-A755-A77ACCEB30C3}" type="sibTrans">
      <dgm:prSet/>
      <dgm:spPr/>
      <dgm:t>
        <a:bodyPr/>
        <a:p>
          <a:pPr algn="ctr"/>
          <a:endParaRPr lang="zh-CN" altLang="en-US" sz="1000">
            <a:latin typeface="宋体" panose="02010600030101010101" charset="-122"/>
            <a:ea typeface="宋体" panose="02010600030101010101" charset="-122"/>
          </a:endParaRPr>
        </a:p>
      </dgm:t>
    </dgm:pt>
    <dgm:pt modelId="{9B920985-72E4-424D-9074-4C4E9C72F402}">
      <dgm:prSet custT="1"/>
      <dgm:spPr/>
      <dgm:t>
        <a:bodyPr/>
        <a:p>
          <a:pPr algn="ctr"/>
          <a:r>
            <a:rPr lang="zh-CN" altLang="en-US" sz="1000">
              <a:latin typeface="宋体" panose="02010600030101010101" charset="-122"/>
              <a:ea typeface="宋体" panose="02010600030101010101" charset="-122"/>
            </a:rPr>
            <a:t>线下推广</a:t>
          </a:r>
        </a:p>
      </dgm:t>
    </dgm:pt>
    <dgm:pt modelId="{ACFFDB01-F188-47D8-9F60-54E0ABB9B7AD}" cxnId="{5711F529-E19B-4E31-8E9E-0E457B094DC8}" type="parTrans">
      <dgm:prSet custT="1"/>
      <dgm:spPr/>
      <dgm:t>
        <a:bodyPr/>
        <a:p>
          <a:pPr algn="ctr"/>
          <a:endParaRPr lang="zh-CN" altLang="en-US" sz="1000">
            <a:latin typeface="宋体" panose="02010600030101010101" charset="-122"/>
            <a:ea typeface="宋体" panose="02010600030101010101" charset="-122"/>
          </a:endParaRPr>
        </a:p>
      </dgm:t>
    </dgm:pt>
    <dgm:pt modelId="{03A40DA1-1932-4008-ADA7-C4C28B41AAE4}" cxnId="{5711F529-E19B-4E31-8E9E-0E457B094DC8}" type="sibTrans">
      <dgm:prSet/>
      <dgm:spPr/>
      <dgm:t>
        <a:bodyPr/>
        <a:p>
          <a:pPr algn="ctr"/>
          <a:endParaRPr lang="zh-CN" altLang="en-US" sz="1000">
            <a:latin typeface="宋体" panose="02010600030101010101" charset="-122"/>
            <a:ea typeface="宋体" panose="02010600030101010101" charset="-122"/>
          </a:endParaRPr>
        </a:p>
      </dgm:t>
    </dgm:pt>
    <dgm:pt modelId="{D84D0BF3-F032-490B-B334-6E16E3E54FB1}">
      <dgm:prSet custT="1"/>
      <dgm:spPr/>
      <dgm:t>
        <a:bodyPr/>
        <a:p>
          <a:pPr algn="ctr"/>
          <a:r>
            <a:rPr lang="zh-CN" altLang="en-US" sz="1000">
              <a:latin typeface="宋体" panose="02010600030101010101" charset="-122"/>
              <a:ea typeface="宋体" panose="02010600030101010101" charset="-122"/>
            </a:rPr>
            <a:t>线上推广</a:t>
          </a:r>
        </a:p>
      </dgm:t>
    </dgm:pt>
    <dgm:pt modelId="{902C0D41-D7B9-4481-BA7F-893CDE3C1D8F}" cxnId="{A7F92FCD-FDFD-4C79-BA2A-83EB317B7535}" type="parTrans">
      <dgm:prSet custT="1"/>
      <dgm:spPr/>
      <dgm:t>
        <a:bodyPr/>
        <a:p>
          <a:pPr algn="ctr"/>
          <a:endParaRPr lang="zh-CN" altLang="en-US" sz="1000">
            <a:latin typeface="宋体" panose="02010600030101010101" charset="-122"/>
            <a:ea typeface="宋体" panose="02010600030101010101" charset="-122"/>
          </a:endParaRPr>
        </a:p>
      </dgm:t>
    </dgm:pt>
    <dgm:pt modelId="{0CD76FC0-F087-47E8-B65F-AD480FAF44C8}" cxnId="{A7F92FCD-FDFD-4C79-BA2A-83EB317B7535}" type="sibTrans">
      <dgm:prSet/>
      <dgm:spPr/>
      <dgm:t>
        <a:bodyPr/>
        <a:p>
          <a:pPr algn="ctr"/>
          <a:endParaRPr lang="zh-CN" altLang="en-US" sz="1000">
            <a:latin typeface="宋体" panose="02010600030101010101" charset="-122"/>
            <a:ea typeface="宋体" panose="02010600030101010101" charset="-122"/>
          </a:endParaRPr>
        </a:p>
      </dgm:t>
    </dgm:pt>
    <dgm:pt modelId="{4994F673-757E-4619-A028-33ACF212F678}">
      <dgm:prSet custT="1"/>
      <dgm:spPr/>
      <dgm:t>
        <a:bodyPr/>
        <a:p>
          <a:pPr algn="ctr"/>
          <a:r>
            <a:rPr lang="zh-CN" altLang="en-US" sz="1000" b="1">
              <a:latin typeface="宋体" panose="02010600030101010101" charset="-122"/>
              <a:ea typeface="宋体" panose="02010600030101010101" charset="-122"/>
            </a:rPr>
            <a:t>与医生面对面推广</a:t>
          </a:r>
        </a:p>
      </dgm:t>
    </dgm:pt>
    <dgm:pt modelId="{A36BF260-444B-4EE2-9760-D0FFC2C8AC5A}" cxnId="{365A7FDC-7374-4B3D-B9C6-2F3F26463CF3}" type="parTrans">
      <dgm:prSet/>
      <dgm:spPr/>
      <dgm:t>
        <a:bodyPr/>
        <a:p>
          <a:pPr algn="ctr"/>
          <a:endParaRPr lang="zh-CN" altLang="en-US">
            <a:latin typeface="宋体" panose="02010600030101010101" charset="-122"/>
            <a:ea typeface="宋体" panose="02010600030101010101" charset="-122"/>
          </a:endParaRPr>
        </a:p>
      </dgm:t>
    </dgm:pt>
    <dgm:pt modelId="{F263FC13-F3B6-42DF-BD83-BD9E20DA0A9D}" cxnId="{365A7FDC-7374-4B3D-B9C6-2F3F26463CF3}" type="sibTrans">
      <dgm:prSet/>
      <dgm:spPr/>
      <dgm:t>
        <a:bodyPr/>
        <a:p>
          <a:pPr algn="ctr"/>
          <a:endParaRPr lang="zh-CN" altLang="en-US">
            <a:latin typeface="宋体" panose="02010600030101010101" charset="-122"/>
            <a:ea typeface="宋体" panose="02010600030101010101" charset="-122"/>
          </a:endParaRPr>
        </a:p>
      </dgm:t>
    </dgm:pt>
    <dgm:pt modelId="{D3390E90-1969-4A75-B9FF-FA32300814BA}">
      <dgm:prSet custT="1"/>
      <dgm:spPr/>
      <dgm:t>
        <a:bodyPr/>
        <a:p>
          <a:pPr algn="ctr">
            <a:spcAft>
              <a:spcPts val="0"/>
            </a:spcAft>
          </a:pPr>
          <a:r>
            <a:rPr lang="en-US" altLang="zh-CN" sz="900" b="1">
              <a:latin typeface="宋体" panose="02010600030101010101" charset="-122"/>
              <a:ea typeface="宋体" panose="02010600030101010101" charset="-122"/>
            </a:rPr>
            <a:t>1.</a:t>
          </a:r>
          <a:r>
            <a:rPr lang="zh-CN" altLang="en-US" sz="900" b="1">
              <a:latin typeface="宋体" panose="02010600030101010101" charset="-122"/>
              <a:ea typeface="宋体" panose="02010600030101010101" charset="-122"/>
            </a:rPr>
            <a:t>加大病毒式营销的力度</a:t>
          </a:r>
          <a:endParaRPr lang="en-US" altLang="zh-CN" sz="900" b="1">
            <a:latin typeface="宋体" panose="02010600030101010101" charset="-122"/>
            <a:ea typeface="宋体" panose="02010600030101010101" charset="-122"/>
          </a:endParaRPr>
        </a:p>
        <a:p>
          <a:pPr algn="ctr">
            <a:spcAft>
              <a:spcPts val="0"/>
            </a:spcAft>
          </a:pPr>
          <a:r>
            <a:rPr lang="en-US" altLang="zh-CN" sz="900" b="1">
              <a:latin typeface="宋体" panose="02010600030101010101" charset="-122"/>
              <a:ea typeface="宋体" panose="02010600030101010101" charset="-122"/>
            </a:rPr>
            <a:t>2.</a:t>
          </a:r>
          <a:r>
            <a:rPr lang="zh-CN" altLang="en-US" sz="900" b="1">
              <a:latin typeface="宋体" panose="02010600030101010101" charset="-122"/>
              <a:ea typeface="宋体" panose="02010600030101010101" charset="-122"/>
            </a:rPr>
            <a:t>继续沿用前期营销方式</a:t>
          </a:r>
        </a:p>
      </dgm:t>
    </dgm:pt>
    <dgm:pt modelId="{A0E69056-C93B-4C98-8CF9-190560CAA7E7}" cxnId="{B35DBBEC-4F18-45F3-A6BB-0259BA35CE1E}" type="parTrans">
      <dgm:prSet/>
      <dgm:spPr/>
      <dgm:t>
        <a:bodyPr/>
        <a:p>
          <a:pPr algn="ctr"/>
          <a:endParaRPr lang="zh-CN" altLang="en-US"/>
        </a:p>
      </dgm:t>
    </dgm:pt>
    <dgm:pt modelId="{54681576-D207-4708-A664-58A264F8CA21}" cxnId="{B35DBBEC-4F18-45F3-A6BB-0259BA35CE1E}" type="sibTrans">
      <dgm:prSet/>
      <dgm:spPr/>
      <dgm:t>
        <a:bodyPr/>
        <a:p>
          <a:pPr algn="ctr"/>
          <a:endParaRPr lang="zh-CN" altLang="en-US"/>
        </a:p>
      </dgm:t>
    </dgm:pt>
    <dgm:pt modelId="{18F13F7C-0A8A-4F0F-B76B-AA6D0EAAD45A}">
      <dgm:prSet custT="1"/>
      <dgm:spPr/>
      <dgm:t>
        <a:bodyPr/>
        <a:p>
          <a:pPr algn="ctr"/>
          <a:r>
            <a:rPr lang="zh-CN" altLang="en-US" sz="1000">
              <a:latin typeface="宋体" panose="02010600030101010101" charset="-122"/>
              <a:ea typeface="宋体" panose="02010600030101010101" charset="-122"/>
            </a:rPr>
            <a:t>医生</a:t>
          </a:r>
        </a:p>
      </dgm:t>
    </dgm:pt>
    <dgm:pt modelId="{E72C651E-86B9-429B-9CB0-6823CABFF3A6}" cxnId="{2ECBD81F-3BDA-43BA-A78B-BFBCEBADFF94}" type="parTrans">
      <dgm:prSet/>
      <dgm:spPr/>
      <dgm:t>
        <a:bodyPr/>
        <a:p>
          <a:pPr algn="ctr"/>
          <a:endParaRPr lang="zh-CN" altLang="en-US"/>
        </a:p>
      </dgm:t>
    </dgm:pt>
    <dgm:pt modelId="{B609D480-A9B8-4231-952A-EFAE17A5F43A}" cxnId="{2ECBD81F-3BDA-43BA-A78B-BFBCEBADFF94}" type="sibTrans">
      <dgm:prSet/>
      <dgm:spPr/>
      <dgm:t>
        <a:bodyPr/>
        <a:p>
          <a:pPr algn="ctr"/>
          <a:endParaRPr lang="zh-CN" altLang="en-US"/>
        </a:p>
      </dgm:t>
    </dgm:pt>
    <dgm:pt modelId="{4D604763-890F-47E2-8165-6884595F3D69}">
      <dgm:prSet custT="1"/>
      <dgm:spPr/>
      <dgm:t>
        <a:bodyPr/>
        <a:p>
          <a:pPr algn="ctr"/>
          <a:r>
            <a:rPr lang="zh-CN" altLang="en-US" sz="1000">
              <a:latin typeface="宋体" panose="02010600030101010101" charset="-122"/>
              <a:ea typeface="宋体" panose="02010600030101010101" charset="-122"/>
            </a:rPr>
            <a:t>用户</a:t>
          </a:r>
        </a:p>
      </dgm:t>
    </dgm:pt>
    <dgm:pt modelId="{43AA6390-1917-4DA9-91A1-9CEE118491ED}" cxnId="{77E170FF-4035-4940-970B-E03F2604FB48}" type="parTrans">
      <dgm:prSet/>
      <dgm:spPr/>
      <dgm:t>
        <a:bodyPr/>
        <a:p>
          <a:pPr algn="ctr"/>
          <a:endParaRPr lang="zh-CN" altLang="en-US"/>
        </a:p>
      </dgm:t>
    </dgm:pt>
    <dgm:pt modelId="{1CE3BB5D-7D79-4F2D-8E24-A960407037E7}" cxnId="{77E170FF-4035-4940-970B-E03F2604FB48}" type="sibTrans">
      <dgm:prSet/>
      <dgm:spPr/>
      <dgm:t>
        <a:bodyPr/>
        <a:p>
          <a:pPr algn="ctr"/>
          <a:endParaRPr lang="zh-CN" altLang="en-US"/>
        </a:p>
      </dgm:t>
    </dgm:pt>
    <dgm:pt modelId="{F48E52FB-BEC5-475D-B91B-266226D09EED}">
      <dgm:prSet custT="1"/>
      <dgm:spPr/>
      <dgm:t>
        <a:bodyPr/>
        <a:p>
          <a:pPr algn="l">
            <a:lnSpc>
              <a:spcPct val="100000"/>
            </a:lnSpc>
            <a:spcAft>
              <a:spcPts val="0"/>
            </a:spcAft>
          </a:pPr>
          <a:r>
            <a:rPr lang="en-US" altLang="zh-CN" sz="900" b="1">
              <a:latin typeface="宋体" panose="02010600030101010101" charset="-122"/>
              <a:ea typeface="宋体" panose="02010600030101010101" charset="-122"/>
            </a:rPr>
            <a:t>1.</a:t>
          </a:r>
          <a:r>
            <a:rPr lang="zh-CN" altLang="en-US" sz="900" b="1">
              <a:latin typeface="宋体" panose="02010600030101010101" charset="-122"/>
              <a:ea typeface="宋体" panose="02010600030101010101" charset="-122"/>
            </a:rPr>
            <a:t>线下评选活动</a:t>
          </a:r>
          <a:endParaRPr lang="en-US" altLang="zh-CN" sz="900" b="1">
            <a:latin typeface="宋体" panose="02010600030101010101" charset="-122"/>
            <a:ea typeface="宋体" panose="02010600030101010101" charset="-122"/>
          </a:endParaRPr>
        </a:p>
        <a:p>
          <a:pPr algn="l">
            <a:lnSpc>
              <a:spcPct val="100000"/>
            </a:lnSpc>
            <a:spcAft>
              <a:spcPts val="0"/>
            </a:spcAft>
          </a:pPr>
          <a:r>
            <a:rPr lang="en-US" altLang="zh-CN" sz="900" b="1">
              <a:latin typeface="宋体" panose="02010600030101010101" charset="-122"/>
              <a:ea typeface="宋体" panose="02010600030101010101" charset="-122"/>
            </a:rPr>
            <a:t>2.</a:t>
          </a:r>
          <a:r>
            <a:rPr lang="zh-CN" altLang="en-US" sz="900" b="1">
              <a:latin typeface="宋体" panose="02010600030101010101" charset="-122"/>
              <a:ea typeface="宋体" panose="02010600030101010101" charset="-122"/>
            </a:rPr>
            <a:t>专家座谈会推广</a:t>
          </a:r>
          <a:endParaRPr lang="en-US" altLang="zh-CN" sz="900" b="1">
            <a:latin typeface="宋体" panose="02010600030101010101" charset="-122"/>
            <a:ea typeface="宋体" panose="02010600030101010101" charset="-122"/>
          </a:endParaRPr>
        </a:p>
        <a:p>
          <a:pPr algn="l">
            <a:lnSpc>
              <a:spcPct val="100000"/>
            </a:lnSpc>
            <a:spcAft>
              <a:spcPts val="0"/>
            </a:spcAft>
          </a:pPr>
          <a:r>
            <a:rPr lang="en-US" altLang="zh-CN" sz="900" b="1">
              <a:latin typeface="宋体" panose="02010600030101010101" charset="-122"/>
              <a:ea typeface="宋体" panose="02010600030101010101" charset="-122"/>
            </a:rPr>
            <a:t>3.</a:t>
          </a:r>
          <a:r>
            <a:rPr lang="zh-CN" altLang="en-US" sz="900" b="1">
              <a:latin typeface="宋体" panose="02010600030101010101" charset="-122"/>
              <a:ea typeface="宋体" panose="02010600030101010101" charset="-122"/>
            </a:rPr>
            <a:t>学术会议或行业主题会议推广</a:t>
          </a:r>
        </a:p>
      </dgm:t>
    </dgm:pt>
    <dgm:pt modelId="{27DF4AF3-FC97-4B0B-B635-CAE664FCFD7C}" cxnId="{E81CA271-7C15-4C76-9131-5F6F87B8E7DD}" type="parTrans">
      <dgm:prSet/>
      <dgm:spPr/>
      <dgm:t>
        <a:bodyPr/>
        <a:p>
          <a:endParaRPr lang="zh-CN" altLang="en-US"/>
        </a:p>
      </dgm:t>
    </dgm:pt>
    <dgm:pt modelId="{4D140F12-E4A7-453F-9361-B43A427ECE40}" cxnId="{E81CA271-7C15-4C76-9131-5F6F87B8E7DD}" type="sibTrans">
      <dgm:prSet/>
      <dgm:spPr/>
      <dgm:t>
        <a:bodyPr/>
        <a:p>
          <a:endParaRPr lang="zh-CN" altLang="en-US"/>
        </a:p>
      </dgm:t>
    </dgm:pt>
    <dgm:pt modelId="{E5B923C4-8971-4D12-9367-4B430B099392}">
      <dgm:prSet custT="1"/>
      <dgm:spPr/>
      <dgm:t>
        <a:bodyPr/>
        <a:p>
          <a:pPr algn="l">
            <a:lnSpc>
              <a:spcPct val="100000"/>
            </a:lnSpc>
            <a:spcAft>
              <a:spcPts val="0"/>
            </a:spcAft>
          </a:pPr>
          <a:r>
            <a:rPr lang="en-US" altLang="zh-CN" sz="900" b="1">
              <a:latin typeface="宋体" panose="02010600030101010101" charset="-122"/>
              <a:ea typeface="宋体" panose="02010600030101010101" charset="-122"/>
            </a:rPr>
            <a:t>1.</a:t>
          </a:r>
          <a:r>
            <a:rPr lang="zh-CN" altLang="en-US" sz="900" b="1">
              <a:latin typeface="宋体" panose="02010600030101010101" charset="-122"/>
              <a:ea typeface="宋体" panose="02010600030101010101" charset="-122"/>
            </a:rPr>
            <a:t>纸媒宣传</a:t>
          </a:r>
          <a:endParaRPr lang="en-US" altLang="zh-CN" sz="900" b="1">
            <a:latin typeface="宋体" panose="02010600030101010101" charset="-122"/>
            <a:ea typeface="宋体" panose="02010600030101010101" charset="-122"/>
          </a:endParaRPr>
        </a:p>
        <a:p>
          <a:pPr algn="l">
            <a:lnSpc>
              <a:spcPct val="100000"/>
            </a:lnSpc>
            <a:spcAft>
              <a:spcPts val="0"/>
            </a:spcAft>
          </a:pPr>
          <a:r>
            <a:rPr lang="en-US" altLang="zh-CN" sz="900" b="1">
              <a:latin typeface="宋体" panose="02010600030101010101" charset="-122"/>
              <a:ea typeface="宋体" panose="02010600030101010101" charset="-122"/>
            </a:rPr>
            <a:t>2.</a:t>
          </a:r>
          <a:r>
            <a:rPr lang="zh-CN" altLang="en-US" sz="900" b="1">
              <a:latin typeface="宋体" panose="02010600030101010101" charset="-122"/>
              <a:ea typeface="宋体" panose="02010600030101010101" charset="-122"/>
            </a:rPr>
            <a:t>广告牌宣传</a:t>
          </a:r>
          <a:endParaRPr lang="en-US" altLang="zh-CN" sz="900" b="1">
            <a:latin typeface="宋体" panose="02010600030101010101" charset="-122"/>
            <a:ea typeface="宋体" panose="02010600030101010101" charset="-122"/>
          </a:endParaRPr>
        </a:p>
        <a:p>
          <a:pPr algn="l">
            <a:lnSpc>
              <a:spcPct val="100000"/>
            </a:lnSpc>
            <a:spcAft>
              <a:spcPts val="0"/>
            </a:spcAft>
          </a:pPr>
          <a:r>
            <a:rPr lang="en-US" altLang="zh-CN" sz="900" b="1">
              <a:latin typeface="宋体" panose="02010600030101010101" charset="-122"/>
              <a:ea typeface="宋体" panose="02010600030101010101" charset="-122"/>
            </a:rPr>
            <a:t>3.</a:t>
          </a:r>
          <a:r>
            <a:rPr lang="zh-CN" altLang="en-US" sz="900" b="1">
              <a:latin typeface="宋体" panose="02010600030101010101" charset="-122"/>
              <a:ea typeface="宋体" panose="02010600030101010101" charset="-122"/>
            </a:rPr>
            <a:t>新闻发布会推广</a:t>
          </a:r>
          <a:endParaRPr lang="en-US" altLang="zh-CN" sz="900" b="1">
            <a:latin typeface="宋体" panose="02010600030101010101" charset="-122"/>
            <a:ea typeface="宋体" panose="02010600030101010101" charset="-122"/>
          </a:endParaRPr>
        </a:p>
        <a:p>
          <a:pPr algn="l">
            <a:lnSpc>
              <a:spcPct val="100000"/>
            </a:lnSpc>
            <a:spcAft>
              <a:spcPts val="0"/>
            </a:spcAft>
          </a:pPr>
          <a:r>
            <a:rPr lang="en-US" altLang="zh-CN" sz="900" b="1">
              <a:latin typeface="宋体" panose="02010600030101010101" charset="-122"/>
              <a:ea typeface="宋体" panose="02010600030101010101" charset="-122"/>
            </a:rPr>
            <a:t>4.</a:t>
          </a:r>
          <a:r>
            <a:rPr lang="zh-CN" altLang="en-US" sz="900" b="1">
              <a:latin typeface="宋体" panose="02010600030101010101" charset="-122"/>
              <a:ea typeface="宋体" panose="02010600030101010101" charset="-122"/>
            </a:rPr>
            <a:t>在老年大学内推广</a:t>
          </a:r>
          <a:endParaRPr lang="en-US" altLang="zh-CN" sz="900" b="1">
            <a:latin typeface="宋体" panose="02010600030101010101" charset="-122"/>
            <a:ea typeface="宋体" panose="02010600030101010101" charset="-122"/>
          </a:endParaRPr>
        </a:p>
        <a:p>
          <a:pPr algn="l">
            <a:lnSpc>
              <a:spcPct val="100000"/>
            </a:lnSpc>
            <a:spcAft>
              <a:spcPts val="0"/>
            </a:spcAft>
          </a:pPr>
          <a:r>
            <a:rPr lang="en-US" altLang="zh-CN" sz="900" b="1">
              <a:latin typeface="宋体" panose="02010600030101010101" charset="-122"/>
              <a:ea typeface="宋体" panose="02010600030101010101" charset="-122"/>
            </a:rPr>
            <a:t>5.</a:t>
          </a:r>
          <a:r>
            <a:rPr lang="zh-CN" altLang="en-US" sz="900" b="1">
              <a:latin typeface="宋体" panose="02010600030101010101" charset="-122"/>
              <a:ea typeface="宋体" panose="02010600030101010101" charset="-122"/>
            </a:rPr>
            <a:t>官方媒体或机构宣传</a:t>
          </a:r>
          <a:endParaRPr lang="en-US" altLang="zh-CN" sz="900" b="1">
            <a:latin typeface="宋体" panose="02010600030101010101" charset="-122"/>
            <a:ea typeface="宋体" panose="02010600030101010101" charset="-122"/>
          </a:endParaRPr>
        </a:p>
        <a:p>
          <a:pPr algn="l">
            <a:lnSpc>
              <a:spcPct val="100000"/>
            </a:lnSpc>
            <a:spcAft>
              <a:spcPts val="0"/>
            </a:spcAft>
          </a:pPr>
          <a:r>
            <a:rPr lang="en-US" altLang="zh-CN" sz="900" b="1">
              <a:latin typeface="宋体" panose="02010600030101010101" charset="-122"/>
              <a:ea typeface="宋体" panose="02010600030101010101" charset="-122"/>
            </a:rPr>
            <a:t>6.</a:t>
          </a:r>
          <a:r>
            <a:rPr lang="zh-CN" altLang="en-US" sz="900" b="1">
              <a:latin typeface="宋体" panose="02010600030101010101" charset="-122"/>
              <a:ea typeface="宋体" panose="02010600030101010101" charset="-122"/>
            </a:rPr>
            <a:t>在社区开展健康讲座、义诊活动</a:t>
          </a:r>
        </a:p>
      </dgm:t>
    </dgm:pt>
    <dgm:pt modelId="{705D874E-4A0E-4E0E-A08D-5D7A58B20196}" cxnId="{D3FEE9D2-6D6C-474E-B3EF-034950B9A9FE}" type="parTrans">
      <dgm:prSet/>
      <dgm:spPr/>
      <dgm:t>
        <a:bodyPr/>
        <a:p>
          <a:endParaRPr lang="zh-CN" altLang="en-US"/>
        </a:p>
      </dgm:t>
    </dgm:pt>
    <dgm:pt modelId="{4F09D698-2F0D-43B7-BF2C-1B2246C28376}" cxnId="{D3FEE9D2-6D6C-474E-B3EF-034950B9A9FE}" type="sibTrans">
      <dgm:prSet/>
      <dgm:spPr/>
      <dgm:t>
        <a:bodyPr/>
        <a:p>
          <a:endParaRPr lang="zh-CN" altLang="en-US"/>
        </a:p>
      </dgm:t>
    </dgm:pt>
    <dgm:pt modelId="{8C385529-BBD8-4CEC-980D-2B87EBA3E534}" type="pres">
      <dgm:prSet presAssocID="{ECC3EA01-D240-4021-BC27-DB123C88B7FC}" presName="diagram" presStyleCnt="0">
        <dgm:presLayoutVars>
          <dgm:chPref val="1"/>
          <dgm:dir/>
          <dgm:animOne val="branch"/>
          <dgm:animLvl val="lvl"/>
          <dgm:resizeHandles val="exact"/>
        </dgm:presLayoutVars>
      </dgm:prSet>
      <dgm:spPr/>
      <dgm:t>
        <a:bodyPr/>
        <a:p>
          <a:endParaRPr lang="zh-CN" altLang="en-US"/>
        </a:p>
      </dgm:t>
    </dgm:pt>
    <dgm:pt modelId="{7D1AADA6-7D4B-4D87-8727-9B90F3DCBDFF}" type="pres">
      <dgm:prSet presAssocID="{77B3379B-FD71-4201-A80E-F990F82AB1DC}" presName="root1" presStyleCnt="0"/>
      <dgm:spPr/>
    </dgm:pt>
    <dgm:pt modelId="{DBDD56EB-E20A-468A-9BA1-576F707C9281}" type="pres">
      <dgm:prSet presAssocID="{77B3379B-FD71-4201-A80E-F990F82AB1DC}" presName="LevelOneTextNode" presStyleLbl="node0" presStyleIdx="0" presStyleCnt="1" custScaleX="21890" custScaleY="253087">
        <dgm:presLayoutVars>
          <dgm:chPref val="3"/>
        </dgm:presLayoutVars>
      </dgm:prSet>
      <dgm:spPr/>
      <dgm:t>
        <a:bodyPr/>
        <a:p>
          <a:endParaRPr lang="zh-CN" altLang="en-US"/>
        </a:p>
      </dgm:t>
    </dgm:pt>
    <dgm:pt modelId="{E01417A9-2D3A-413B-BC25-B3E39D4482ED}" type="pres">
      <dgm:prSet presAssocID="{77B3379B-FD71-4201-A80E-F990F82AB1DC}" presName="level2hierChild" presStyleCnt="0"/>
      <dgm:spPr/>
    </dgm:pt>
    <dgm:pt modelId="{32DDE53C-E164-47AA-BFBD-CBD951A86C36}" type="pres">
      <dgm:prSet presAssocID="{9A326BD5-D0CA-4AD8-8646-86391704C735}" presName="conn2-1" presStyleLbl="parChTrans1D2" presStyleIdx="0" presStyleCnt="2"/>
      <dgm:spPr/>
      <dgm:t>
        <a:bodyPr/>
        <a:p>
          <a:endParaRPr lang="zh-CN" altLang="en-US"/>
        </a:p>
      </dgm:t>
    </dgm:pt>
    <dgm:pt modelId="{5C93553E-4E97-4475-A653-92DC5423073F}" type="pres">
      <dgm:prSet presAssocID="{9A326BD5-D0CA-4AD8-8646-86391704C735}" presName="connTx" presStyleLbl="parChTrans1D2" presStyleIdx="0" presStyleCnt="2"/>
      <dgm:spPr/>
      <dgm:t>
        <a:bodyPr/>
        <a:p>
          <a:endParaRPr lang="zh-CN" altLang="en-US"/>
        </a:p>
      </dgm:t>
    </dgm:pt>
    <dgm:pt modelId="{4E26D7CD-5C37-4F81-A2EC-0BD960312A6B}" type="pres">
      <dgm:prSet presAssocID="{689769B3-BA76-4BB6-BA86-31407C7236FB}" presName="root2" presStyleCnt="0"/>
      <dgm:spPr/>
    </dgm:pt>
    <dgm:pt modelId="{1B89293F-58BE-4A95-AC49-F727414AA241}" type="pres">
      <dgm:prSet presAssocID="{689769B3-BA76-4BB6-BA86-31407C7236FB}" presName="LevelTwoTextNode" presStyleLbl="node2" presStyleIdx="0" presStyleCnt="2" custScaleX="53999">
        <dgm:presLayoutVars>
          <dgm:chPref val="3"/>
        </dgm:presLayoutVars>
      </dgm:prSet>
      <dgm:spPr/>
      <dgm:t>
        <a:bodyPr/>
        <a:p>
          <a:endParaRPr lang="zh-CN" altLang="en-US"/>
        </a:p>
      </dgm:t>
    </dgm:pt>
    <dgm:pt modelId="{A8B42894-286B-46DC-B22B-370250D025EC}" type="pres">
      <dgm:prSet presAssocID="{689769B3-BA76-4BB6-BA86-31407C7236FB}" presName="level3hierChild" presStyleCnt="0"/>
      <dgm:spPr/>
    </dgm:pt>
    <dgm:pt modelId="{70E020C5-1AC5-44CA-B652-E99F8B6CE434}" type="pres">
      <dgm:prSet presAssocID="{902C0D41-D7B9-4481-BA7F-893CDE3C1D8F}" presName="conn2-1" presStyleLbl="parChTrans1D3" presStyleIdx="0" presStyleCnt="4"/>
      <dgm:spPr/>
      <dgm:t>
        <a:bodyPr/>
        <a:p>
          <a:endParaRPr lang="zh-CN" altLang="en-US"/>
        </a:p>
      </dgm:t>
    </dgm:pt>
    <dgm:pt modelId="{5B18EE3B-3FE6-4AAB-9A7F-9CA79B196C79}" type="pres">
      <dgm:prSet presAssocID="{902C0D41-D7B9-4481-BA7F-893CDE3C1D8F}" presName="connTx" presStyleLbl="parChTrans1D3" presStyleIdx="0" presStyleCnt="4"/>
      <dgm:spPr/>
      <dgm:t>
        <a:bodyPr/>
        <a:p>
          <a:endParaRPr lang="zh-CN" altLang="en-US"/>
        </a:p>
      </dgm:t>
    </dgm:pt>
    <dgm:pt modelId="{A345644A-E32D-497F-AF4C-6C819883A8B7}" type="pres">
      <dgm:prSet presAssocID="{D84D0BF3-F032-490B-B334-6E16E3E54FB1}" presName="root2" presStyleCnt="0"/>
      <dgm:spPr/>
    </dgm:pt>
    <dgm:pt modelId="{6EA6DD4B-AAF9-4E70-B5D4-60BE35034482}" type="pres">
      <dgm:prSet presAssocID="{D84D0BF3-F032-490B-B334-6E16E3E54FB1}" presName="LevelTwoTextNode" presStyleLbl="node3" presStyleIdx="0" presStyleCnt="4" custScaleX="72051">
        <dgm:presLayoutVars>
          <dgm:chPref val="3"/>
        </dgm:presLayoutVars>
      </dgm:prSet>
      <dgm:spPr/>
      <dgm:t>
        <a:bodyPr/>
        <a:p>
          <a:endParaRPr lang="zh-CN" altLang="en-US"/>
        </a:p>
      </dgm:t>
    </dgm:pt>
    <dgm:pt modelId="{0CA240A7-5377-4CB2-B0DC-DDAAE1A359AF}" type="pres">
      <dgm:prSet presAssocID="{D84D0BF3-F032-490B-B334-6E16E3E54FB1}" presName="level3hierChild" presStyleCnt="0"/>
      <dgm:spPr/>
    </dgm:pt>
    <dgm:pt modelId="{491D626F-49B0-48F0-8337-A89B71C2BB21}" type="pres">
      <dgm:prSet presAssocID="{9B011878-BE2E-4E4A-8267-D3D4BAA5DEF7}" presName="conn2-1" presStyleLbl="parChTrans1D4" presStyleIdx="0" presStyleCnt="7"/>
      <dgm:spPr/>
      <dgm:t>
        <a:bodyPr/>
        <a:p>
          <a:endParaRPr lang="zh-CN" altLang="en-US"/>
        </a:p>
      </dgm:t>
    </dgm:pt>
    <dgm:pt modelId="{E58DC92A-147F-46C9-8395-37C3186140DF}" type="pres">
      <dgm:prSet presAssocID="{9B011878-BE2E-4E4A-8267-D3D4BAA5DEF7}" presName="connTx" presStyleLbl="parChTrans1D4" presStyleIdx="0" presStyleCnt="7"/>
      <dgm:spPr/>
      <dgm:t>
        <a:bodyPr/>
        <a:p>
          <a:endParaRPr lang="zh-CN" altLang="en-US"/>
        </a:p>
      </dgm:t>
    </dgm:pt>
    <dgm:pt modelId="{8EEBF2F9-5166-4CF8-9ACB-94B3DB55D792}" type="pres">
      <dgm:prSet presAssocID="{C34E1DE8-2D09-4362-8F2C-CB8D06D0ADFA}" presName="root2" presStyleCnt="0"/>
      <dgm:spPr/>
    </dgm:pt>
    <dgm:pt modelId="{4D2E31D1-D2B1-4E66-9EDC-A5FEF0276FC7}" type="pres">
      <dgm:prSet presAssocID="{C34E1DE8-2D09-4362-8F2C-CB8D06D0ADFA}" presName="LevelTwoTextNode" presStyleLbl="node4" presStyleIdx="0" presStyleCnt="7" custScaleX="297990" custScaleY="213768">
        <dgm:presLayoutVars>
          <dgm:chPref val="3"/>
        </dgm:presLayoutVars>
      </dgm:prSet>
      <dgm:spPr/>
      <dgm:t>
        <a:bodyPr/>
        <a:p>
          <a:endParaRPr lang="zh-CN" altLang="en-US"/>
        </a:p>
      </dgm:t>
    </dgm:pt>
    <dgm:pt modelId="{535E21C2-6297-4A4E-AB5C-0D91EAF3763D}" type="pres">
      <dgm:prSet presAssocID="{C34E1DE8-2D09-4362-8F2C-CB8D06D0ADFA}" presName="level3hierChild" presStyleCnt="0"/>
      <dgm:spPr/>
    </dgm:pt>
    <dgm:pt modelId="{40C9EFC2-A1EA-4473-BE5B-68205C551B36}" type="pres">
      <dgm:prSet presAssocID="{8A155885-A729-4C09-B521-AE9135126C23}" presName="conn2-1" presStyleLbl="parChTrans1D3" presStyleIdx="1" presStyleCnt="4"/>
      <dgm:spPr/>
      <dgm:t>
        <a:bodyPr/>
        <a:p>
          <a:endParaRPr lang="zh-CN" altLang="en-US"/>
        </a:p>
      </dgm:t>
    </dgm:pt>
    <dgm:pt modelId="{B95130DD-2F71-4EB3-A334-EEF8BEC479EC}" type="pres">
      <dgm:prSet presAssocID="{8A155885-A729-4C09-B521-AE9135126C23}" presName="connTx" presStyleLbl="parChTrans1D3" presStyleIdx="1" presStyleCnt="4"/>
      <dgm:spPr/>
      <dgm:t>
        <a:bodyPr/>
        <a:p>
          <a:endParaRPr lang="zh-CN" altLang="en-US"/>
        </a:p>
      </dgm:t>
    </dgm:pt>
    <dgm:pt modelId="{C669F97B-01B4-4705-850C-0AD8159C70E3}" type="pres">
      <dgm:prSet presAssocID="{21A3ECDE-5E6B-423C-B5FE-2A9C3A01DD72}" presName="root2" presStyleCnt="0"/>
      <dgm:spPr/>
    </dgm:pt>
    <dgm:pt modelId="{C902FC92-3E19-49EF-A3EE-7A418C2E248B}" type="pres">
      <dgm:prSet presAssocID="{21A3ECDE-5E6B-423C-B5FE-2A9C3A01DD72}" presName="LevelTwoTextNode" presStyleLbl="node3" presStyleIdx="1" presStyleCnt="4" custScaleX="72051">
        <dgm:presLayoutVars>
          <dgm:chPref val="3"/>
        </dgm:presLayoutVars>
      </dgm:prSet>
      <dgm:spPr/>
      <dgm:t>
        <a:bodyPr/>
        <a:p>
          <a:endParaRPr lang="zh-CN" altLang="en-US"/>
        </a:p>
      </dgm:t>
    </dgm:pt>
    <dgm:pt modelId="{D13A14C4-8C50-4E2B-8F5B-2F29AF51D2BC}" type="pres">
      <dgm:prSet presAssocID="{21A3ECDE-5E6B-423C-B5FE-2A9C3A01DD72}" presName="level3hierChild" presStyleCnt="0"/>
      <dgm:spPr/>
    </dgm:pt>
    <dgm:pt modelId="{3D38FFBA-8455-4A72-BE90-D21E43BDFC7C}" type="pres">
      <dgm:prSet presAssocID="{A36BF260-444B-4EE2-9760-D0FFC2C8AC5A}" presName="conn2-1" presStyleLbl="parChTrans1D4" presStyleIdx="1" presStyleCnt="7"/>
      <dgm:spPr/>
      <dgm:t>
        <a:bodyPr/>
        <a:p>
          <a:endParaRPr lang="zh-CN" altLang="en-US"/>
        </a:p>
      </dgm:t>
    </dgm:pt>
    <dgm:pt modelId="{8F8C8EE7-689C-488D-ADF7-FA15A1325DC4}" type="pres">
      <dgm:prSet presAssocID="{A36BF260-444B-4EE2-9760-D0FFC2C8AC5A}" presName="connTx" presStyleLbl="parChTrans1D4" presStyleIdx="1" presStyleCnt="7"/>
      <dgm:spPr/>
      <dgm:t>
        <a:bodyPr/>
        <a:p>
          <a:endParaRPr lang="zh-CN" altLang="en-US"/>
        </a:p>
      </dgm:t>
    </dgm:pt>
    <dgm:pt modelId="{997EFB38-EF48-40F9-AA99-95B77502681A}" type="pres">
      <dgm:prSet presAssocID="{4994F673-757E-4619-A028-33ACF212F678}" presName="root2" presStyleCnt="0"/>
      <dgm:spPr/>
    </dgm:pt>
    <dgm:pt modelId="{BF389E9F-FF52-41EA-B2B5-2129D5A70B9D}" type="pres">
      <dgm:prSet presAssocID="{4994F673-757E-4619-A028-33ACF212F678}" presName="LevelTwoTextNode" presStyleLbl="node4" presStyleIdx="1" presStyleCnt="7" custScaleX="152182" custScaleY="53711">
        <dgm:presLayoutVars>
          <dgm:chPref val="3"/>
        </dgm:presLayoutVars>
      </dgm:prSet>
      <dgm:spPr/>
      <dgm:t>
        <a:bodyPr/>
        <a:p>
          <a:endParaRPr lang="zh-CN" altLang="en-US"/>
        </a:p>
      </dgm:t>
    </dgm:pt>
    <dgm:pt modelId="{0EF1D026-28D0-4E9A-A8B0-40CBA205848F}" type="pres">
      <dgm:prSet presAssocID="{4994F673-757E-4619-A028-33ACF212F678}" presName="level3hierChild" presStyleCnt="0"/>
      <dgm:spPr/>
    </dgm:pt>
    <dgm:pt modelId="{92FC51F5-BEC1-407F-A600-F83ADAF08CB7}" type="pres">
      <dgm:prSet presAssocID="{527E64E9-C8C2-4C3D-BDF1-E4C19CABFE6C}" presName="conn2-1" presStyleLbl="parChTrans1D2" presStyleIdx="1" presStyleCnt="2"/>
      <dgm:spPr/>
      <dgm:t>
        <a:bodyPr/>
        <a:p>
          <a:endParaRPr lang="zh-CN" altLang="en-US"/>
        </a:p>
      </dgm:t>
    </dgm:pt>
    <dgm:pt modelId="{48F7F178-C70A-4907-952E-887D64882AD3}" type="pres">
      <dgm:prSet presAssocID="{527E64E9-C8C2-4C3D-BDF1-E4C19CABFE6C}" presName="connTx" presStyleLbl="parChTrans1D2" presStyleIdx="1" presStyleCnt="2"/>
      <dgm:spPr/>
      <dgm:t>
        <a:bodyPr/>
        <a:p>
          <a:endParaRPr lang="zh-CN" altLang="en-US"/>
        </a:p>
      </dgm:t>
    </dgm:pt>
    <dgm:pt modelId="{72C2BBDA-B956-40BE-A888-6882A17EBA79}" type="pres">
      <dgm:prSet presAssocID="{A9B7C98C-8E1B-464C-92EE-5750CAB9FF93}" presName="root2" presStyleCnt="0"/>
      <dgm:spPr/>
    </dgm:pt>
    <dgm:pt modelId="{27747F15-2593-4FF7-A5B4-335D18DD5D14}" type="pres">
      <dgm:prSet presAssocID="{A9B7C98C-8E1B-464C-92EE-5750CAB9FF93}" presName="LevelTwoTextNode" presStyleLbl="node2" presStyleIdx="1" presStyleCnt="2" custScaleX="53999">
        <dgm:presLayoutVars>
          <dgm:chPref val="3"/>
        </dgm:presLayoutVars>
      </dgm:prSet>
      <dgm:spPr/>
      <dgm:t>
        <a:bodyPr/>
        <a:p>
          <a:endParaRPr lang="zh-CN" altLang="en-US"/>
        </a:p>
      </dgm:t>
    </dgm:pt>
    <dgm:pt modelId="{A66F7041-91E3-4C91-B819-D53D5CB983C7}" type="pres">
      <dgm:prSet presAssocID="{A9B7C98C-8E1B-464C-92EE-5750CAB9FF93}" presName="level3hierChild" presStyleCnt="0"/>
      <dgm:spPr/>
    </dgm:pt>
    <dgm:pt modelId="{C02A8DC4-982A-46B2-AA85-41366264134B}" type="pres">
      <dgm:prSet presAssocID="{2D7583B7-86DC-4B02-A5FA-E78A3F82F8C9}" presName="conn2-1" presStyleLbl="parChTrans1D3" presStyleIdx="2" presStyleCnt="4"/>
      <dgm:spPr/>
      <dgm:t>
        <a:bodyPr/>
        <a:p>
          <a:endParaRPr lang="zh-CN" altLang="en-US"/>
        </a:p>
      </dgm:t>
    </dgm:pt>
    <dgm:pt modelId="{7A0E95C7-A4F2-496C-AE37-2177BF782387}" type="pres">
      <dgm:prSet presAssocID="{2D7583B7-86DC-4B02-A5FA-E78A3F82F8C9}" presName="connTx" presStyleLbl="parChTrans1D3" presStyleIdx="2" presStyleCnt="4"/>
      <dgm:spPr/>
      <dgm:t>
        <a:bodyPr/>
        <a:p>
          <a:endParaRPr lang="zh-CN" altLang="en-US"/>
        </a:p>
      </dgm:t>
    </dgm:pt>
    <dgm:pt modelId="{49ED5144-3B14-49D8-97B4-FF628B95FDEF}" type="pres">
      <dgm:prSet presAssocID="{5A54C55A-067B-4909-A1D6-8F7CDE000B4C}" presName="root2" presStyleCnt="0"/>
      <dgm:spPr/>
    </dgm:pt>
    <dgm:pt modelId="{55979FEA-81AF-4D14-A653-05FC1FA89507}" type="pres">
      <dgm:prSet presAssocID="{5A54C55A-067B-4909-A1D6-8F7CDE000B4C}" presName="LevelTwoTextNode" presStyleLbl="node3" presStyleIdx="2" presStyleCnt="4" custScaleX="72051">
        <dgm:presLayoutVars>
          <dgm:chPref val="3"/>
        </dgm:presLayoutVars>
      </dgm:prSet>
      <dgm:spPr/>
      <dgm:t>
        <a:bodyPr/>
        <a:p>
          <a:endParaRPr lang="zh-CN" altLang="en-US"/>
        </a:p>
      </dgm:t>
    </dgm:pt>
    <dgm:pt modelId="{CAE01358-8330-41A1-BC96-FD90E66D4068}" type="pres">
      <dgm:prSet presAssocID="{5A54C55A-067B-4909-A1D6-8F7CDE000B4C}" presName="level3hierChild" presStyleCnt="0"/>
      <dgm:spPr/>
    </dgm:pt>
    <dgm:pt modelId="{BA6E2B5E-3296-4194-98A5-75D4B00A4233}" type="pres">
      <dgm:prSet presAssocID="{A0E69056-C93B-4C98-8CF9-190560CAA7E7}" presName="conn2-1" presStyleLbl="parChTrans1D4" presStyleIdx="2" presStyleCnt="7"/>
      <dgm:spPr/>
      <dgm:t>
        <a:bodyPr/>
        <a:p>
          <a:endParaRPr lang="zh-CN" altLang="en-US"/>
        </a:p>
      </dgm:t>
    </dgm:pt>
    <dgm:pt modelId="{8DC828C1-D9F2-4674-895B-BF5A46F23BAD}" type="pres">
      <dgm:prSet presAssocID="{A0E69056-C93B-4C98-8CF9-190560CAA7E7}" presName="connTx" presStyleLbl="parChTrans1D4" presStyleIdx="2" presStyleCnt="7"/>
      <dgm:spPr/>
      <dgm:t>
        <a:bodyPr/>
        <a:p>
          <a:endParaRPr lang="zh-CN" altLang="en-US"/>
        </a:p>
      </dgm:t>
    </dgm:pt>
    <dgm:pt modelId="{69D3B9A2-1784-4636-9BE9-287E677F5585}" type="pres">
      <dgm:prSet presAssocID="{D3390E90-1969-4A75-B9FF-FA32300814BA}" presName="root2" presStyleCnt="0"/>
      <dgm:spPr/>
    </dgm:pt>
    <dgm:pt modelId="{CF50AEB9-56A3-4ECD-A82D-8EF10309D870}" type="pres">
      <dgm:prSet presAssocID="{D3390E90-1969-4A75-B9FF-FA32300814BA}" presName="LevelTwoTextNode" presStyleLbl="node4" presStyleIdx="2" presStyleCnt="7" custScaleX="183514" custScaleY="90064">
        <dgm:presLayoutVars>
          <dgm:chPref val="3"/>
        </dgm:presLayoutVars>
      </dgm:prSet>
      <dgm:spPr/>
      <dgm:t>
        <a:bodyPr/>
        <a:p>
          <a:endParaRPr lang="zh-CN" altLang="en-US"/>
        </a:p>
      </dgm:t>
    </dgm:pt>
    <dgm:pt modelId="{740C5A4C-42E8-49B3-A6B2-1C1F9A57BBBF}" type="pres">
      <dgm:prSet presAssocID="{D3390E90-1969-4A75-B9FF-FA32300814BA}" presName="level3hierChild" presStyleCnt="0"/>
      <dgm:spPr/>
    </dgm:pt>
    <dgm:pt modelId="{A3A8CEED-2261-427D-9F1F-6A5BAF7D1F15}" type="pres">
      <dgm:prSet presAssocID="{ACFFDB01-F188-47D8-9F60-54E0ABB9B7AD}" presName="conn2-1" presStyleLbl="parChTrans1D3" presStyleIdx="3" presStyleCnt="4"/>
      <dgm:spPr/>
      <dgm:t>
        <a:bodyPr/>
        <a:p>
          <a:endParaRPr lang="zh-CN" altLang="en-US"/>
        </a:p>
      </dgm:t>
    </dgm:pt>
    <dgm:pt modelId="{80F76D0C-545F-46DB-9F19-3C61DCACBDC9}" type="pres">
      <dgm:prSet presAssocID="{ACFFDB01-F188-47D8-9F60-54E0ABB9B7AD}" presName="connTx" presStyleLbl="parChTrans1D3" presStyleIdx="3" presStyleCnt="4"/>
      <dgm:spPr/>
      <dgm:t>
        <a:bodyPr/>
        <a:p>
          <a:endParaRPr lang="zh-CN" altLang="en-US"/>
        </a:p>
      </dgm:t>
    </dgm:pt>
    <dgm:pt modelId="{344ECC9B-DB74-40EF-88E7-5FA0F3CF32A2}" type="pres">
      <dgm:prSet presAssocID="{9B920985-72E4-424D-9074-4C4E9C72F402}" presName="root2" presStyleCnt="0"/>
      <dgm:spPr/>
    </dgm:pt>
    <dgm:pt modelId="{DE8FAE07-661A-4E67-8410-46AC8D8B9C8F}" type="pres">
      <dgm:prSet presAssocID="{9B920985-72E4-424D-9074-4C4E9C72F402}" presName="LevelTwoTextNode" presStyleLbl="node3" presStyleIdx="3" presStyleCnt="4" custScaleX="72051">
        <dgm:presLayoutVars>
          <dgm:chPref val="3"/>
        </dgm:presLayoutVars>
      </dgm:prSet>
      <dgm:spPr/>
      <dgm:t>
        <a:bodyPr/>
        <a:p>
          <a:endParaRPr lang="zh-CN" altLang="en-US"/>
        </a:p>
      </dgm:t>
    </dgm:pt>
    <dgm:pt modelId="{8154C456-6767-4E40-96D8-D3FB38690F82}" type="pres">
      <dgm:prSet presAssocID="{9B920985-72E4-424D-9074-4C4E9C72F402}" presName="level3hierChild" presStyleCnt="0"/>
      <dgm:spPr/>
    </dgm:pt>
    <dgm:pt modelId="{983D21DF-D9F2-4C9A-9BF1-7F5D0A5D7DCB}" type="pres">
      <dgm:prSet presAssocID="{E72C651E-86B9-429B-9CB0-6823CABFF3A6}" presName="conn2-1" presStyleLbl="parChTrans1D4" presStyleIdx="3" presStyleCnt="7"/>
      <dgm:spPr/>
      <dgm:t>
        <a:bodyPr/>
        <a:p>
          <a:endParaRPr lang="zh-CN" altLang="en-US"/>
        </a:p>
      </dgm:t>
    </dgm:pt>
    <dgm:pt modelId="{A239BFB3-B826-413C-A813-A63C0FEE91D9}" type="pres">
      <dgm:prSet presAssocID="{E72C651E-86B9-429B-9CB0-6823CABFF3A6}" presName="connTx" presStyleLbl="parChTrans1D4" presStyleIdx="3" presStyleCnt="7"/>
      <dgm:spPr/>
      <dgm:t>
        <a:bodyPr/>
        <a:p>
          <a:endParaRPr lang="zh-CN" altLang="en-US"/>
        </a:p>
      </dgm:t>
    </dgm:pt>
    <dgm:pt modelId="{C48B382D-ADE8-4351-9D55-B5A95D429279}" type="pres">
      <dgm:prSet presAssocID="{18F13F7C-0A8A-4F0F-B76B-AA6D0EAAD45A}" presName="root2" presStyleCnt="0"/>
      <dgm:spPr/>
    </dgm:pt>
    <dgm:pt modelId="{F889461B-1190-48FC-8BD5-59C7F1C9F2A8}" type="pres">
      <dgm:prSet presAssocID="{18F13F7C-0A8A-4F0F-B76B-AA6D0EAAD45A}" presName="LevelTwoTextNode" presStyleLbl="node4" presStyleIdx="3" presStyleCnt="7" custScaleX="63624">
        <dgm:presLayoutVars>
          <dgm:chPref val="3"/>
        </dgm:presLayoutVars>
      </dgm:prSet>
      <dgm:spPr/>
      <dgm:t>
        <a:bodyPr/>
        <a:p>
          <a:endParaRPr lang="zh-CN" altLang="en-US"/>
        </a:p>
      </dgm:t>
    </dgm:pt>
    <dgm:pt modelId="{2920DC33-89DF-43C8-B004-D55FF5DAEA56}" type="pres">
      <dgm:prSet presAssocID="{18F13F7C-0A8A-4F0F-B76B-AA6D0EAAD45A}" presName="level3hierChild" presStyleCnt="0"/>
      <dgm:spPr/>
    </dgm:pt>
    <dgm:pt modelId="{49A128FF-F5B2-43F6-8FD6-F95D26AEF7A7}" type="pres">
      <dgm:prSet presAssocID="{27DF4AF3-FC97-4B0B-B635-CAE664FCFD7C}" presName="conn2-1" presStyleLbl="parChTrans1D4" presStyleIdx="4" presStyleCnt="7"/>
      <dgm:spPr/>
      <dgm:t>
        <a:bodyPr/>
        <a:p>
          <a:endParaRPr lang="zh-CN" altLang="en-US"/>
        </a:p>
      </dgm:t>
    </dgm:pt>
    <dgm:pt modelId="{414E9951-7E78-4300-A606-8E9284DE71B1}" type="pres">
      <dgm:prSet presAssocID="{27DF4AF3-FC97-4B0B-B635-CAE664FCFD7C}" presName="connTx" presStyleLbl="parChTrans1D4" presStyleIdx="4" presStyleCnt="7"/>
      <dgm:spPr/>
      <dgm:t>
        <a:bodyPr/>
        <a:p>
          <a:endParaRPr lang="zh-CN" altLang="en-US"/>
        </a:p>
      </dgm:t>
    </dgm:pt>
    <dgm:pt modelId="{634DF028-F579-467A-8CE9-0266FCBD9C50}" type="pres">
      <dgm:prSet presAssocID="{F48E52FB-BEC5-475D-B91B-266226D09EED}" presName="root2" presStyleCnt="0"/>
      <dgm:spPr/>
    </dgm:pt>
    <dgm:pt modelId="{8DE86537-2596-41FF-96C2-3AD6A54C7DCF}" type="pres">
      <dgm:prSet presAssocID="{F48E52FB-BEC5-475D-B91B-266226D09EED}" presName="LevelTwoTextNode" presStyleLbl="node4" presStyleIdx="4" presStyleCnt="7" custScaleX="247675" custScaleY="154928">
        <dgm:presLayoutVars>
          <dgm:chPref val="3"/>
        </dgm:presLayoutVars>
      </dgm:prSet>
      <dgm:spPr/>
      <dgm:t>
        <a:bodyPr/>
        <a:p>
          <a:endParaRPr lang="zh-CN" altLang="en-US"/>
        </a:p>
      </dgm:t>
    </dgm:pt>
    <dgm:pt modelId="{CDFDD045-85AF-40B9-ACD7-47F613235214}" type="pres">
      <dgm:prSet presAssocID="{F48E52FB-BEC5-475D-B91B-266226D09EED}" presName="level3hierChild" presStyleCnt="0"/>
      <dgm:spPr/>
    </dgm:pt>
    <dgm:pt modelId="{3BAECF5D-754B-46D2-AF8B-EA7E321AACAD}" type="pres">
      <dgm:prSet presAssocID="{43AA6390-1917-4DA9-91A1-9CEE118491ED}" presName="conn2-1" presStyleLbl="parChTrans1D4" presStyleIdx="5" presStyleCnt="7"/>
      <dgm:spPr/>
      <dgm:t>
        <a:bodyPr/>
        <a:p>
          <a:endParaRPr lang="zh-CN" altLang="en-US"/>
        </a:p>
      </dgm:t>
    </dgm:pt>
    <dgm:pt modelId="{B482578E-1004-4847-B53E-EB9AB52B60BE}" type="pres">
      <dgm:prSet presAssocID="{43AA6390-1917-4DA9-91A1-9CEE118491ED}" presName="connTx" presStyleLbl="parChTrans1D4" presStyleIdx="5" presStyleCnt="7"/>
      <dgm:spPr/>
      <dgm:t>
        <a:bodyPr/>
        <a:p>
          <a:endParaRPr lang="zh-CN" altLang="en-US"/>
        </a:p>
      </dgm:t>
    </dgm:pt>
    <dgm:pt modelId="{35F3110A-7CE2-4DDC-883E-E769C47F7CD8}" type="pres">
      <dgm:prSet presAssocID="{4D604763-890F-47E2-8165-6884595F3D69}" presName="root2" presStyleCnt="0"/>
      <dgm:spPr/>
    </dgm:pt>
    <dgm:pt modelId="{D62B6528-CC2D-494E-B51C-B56C96748136}" type="pres">
      <dgm:prSet presAssocID="{4D604763-890F-47E2-8165-6884595F3D69}" presName="LevelTwoTextNode" presStyleLbl="node4" presStyleIdx="5" presStyleCnt="7" custScaleX="63624">
        <dgm:presLayoutVars>
          <dgm:chPref val="3"/>
        </dgm:presLayoutVars>
      </dgm:prSet>
      <dgm:spPr/>
      <dgm:t>
        <a:bodyPr/>
        <a:p>
          <a:endParaRPr lang="zh-CN" altLang="en-US"/>
        </a:p>
      </dgm:t>
    </dgm:pt>
    <dgm:pt modelId="{71B21E48-8FB5-4791-A630-7D20C6260283}" type="pres">
      <dgm:prSet presAssocID="{4D604763-890F-47E2-8165-6884595F3D69}" presName="level3hierChild" presStyleCnt="0"/>
      <dgm:spPr/>
    </dgm:pt>
    <dgm:pt modelId="{E7F5E43D-8C91-40D7-BA4A-7D271D456759}" type="pres">
      <dgm:prSet presAssocID="{705D874E-4A0E-4E0E-A08D-5D7A58B20196}" presName="conn2-1" presStyleLbl="parChTrans1D4" presStyleIdx="6" presStyleCnt="7"/>
      <dgm:spPr/>
      <dgm:t>
        <a:bodyPr/>
        <a:p>
          <a:endParaRPr lang="zh-CN" altLang="en-US"/>
        </a:p>
      </dgm:t>
    </dgm:pt>
    <dgm:pt modelId="{C660C2CD-4ACF-47F7-9DC9-55BA334951D1}" type="pres">
      <dgm:prSet presAssocID="{705D874E-4A0E-4E0E-A08D-5D7A58B20196}" presName="connTx" presStyleLbl="parChTrans1D4" presStyleIdx="6" presStyleCnt="7"/>
      <dgm:spPr/>
      <dgm:t>
        <a:bodyPr/>
        <a:p>
          <a:endParaRPr lang="zh-CN" altLang="en-US"/>
        </a:p>
      </dgm:t>
    </dgm:pt>
    <dgm:pt modelId="{1E68A3A5-C0EA-4A85-AD06-F628BD4E6E2D}" type="pres">
      <dgm:prSet presAssocID="{E5B923C4-8971-4D12-9367-4B430B099392}" presName="root2" presStyleCnt="0"/>
      <dgm:spPr/>
    </dgm:pt>
    <dgm:pt modelId="{742EEACC-763D-43A9-809C-7C74192F25E0}" type="pres">
      <dgm:prSet presAssocID="{E5B923C4-8971-4D12-9367-4B430B099392}" presName="LevelTwoTextNode" presStyleLbl="node4" presStyleIdx="6" presStyleCnt="7" custScaleX="248417" custScaleY="229958">
        <dgm:presLayoutVars>
          <dgm:chPref val="3"/>
        </dgm:presLayoutVars>
      </dgm:prSet>
      <dgm:spPr/>
      <dgm:t>
        <a:bodyPr/>
        <a:p>
          <a:endParaRPr lang="zh-CN" altLang="en-US"/>
        </a:p>
      </dgm:t>
    </dgm:pt>
    <dgm:pt modelId="{83B5388D-65A0-4214-84A9-9CE80A8562F8}" type="pres">
      <dgm:prSet presAssocID="{E5B923C4-8971-4D12-9367-4B430B099392}" presName="level3hierChild" presStyleCnt="0"/>
      <dgm:spPr/>
    </dgm:pt>
  </dgm:ptLst>
  <dgm:cxnLst>
    <dgm:cxn modelId="{276EAD08-2AF9-4760-8832-CE4F15D02FED}" type="presOf" srcId="{2D7583B7-86DC-4B02-A5FA-E78A3F82F8C9}" destId="{7A0E95C7-A4F2-496C-AE37-2177BF782387}" srcOrd="1" destOrd="0" presId="urn:microsoft.com/office/officeart/2005/8/layout/hierarchy2"/>
    <dgm:cxn modelId="{A4576168-DEB6-4EDE-95FA-D71D8DFFED90}" type="presOf" srcId="{E5B923C4-8971-4D12-9367-4B430B099392}" destId="{742EEACC-763D-43A9-809C-7C74192F25E0}" srcOrd="0" destOrd="0" presId="urn:microsoft.com/office/officeart/2005/8/layout/hierarchy2"/>
    <dgm:cxn modelId="{284150C1-3B99-45FB-B543-E60A725D2AAC}" type="presOf" srcId="{4D604763-890F-47E2-8165-6884595F3D69}" destId="{D62B6528-CC2D-494E-B51C-B56C96748136}" srcOrd="0" destOrd="0" presId="urn:microsoft.com/office/officeart/2005/8/layout/hierarchy2"/>
    <dgm:cxn modelId="{409A4511-4D52-4FE1-A2D4-53717448C1EB}" type="presOf" srcId="{27DF4AF3-FC97-4B0B-B635-CAE664FCFD7C}" destId="{414E9951-7E78-4300-A606-8E9284DE71B1}" srcOrd="1" destOrd="0" presId="urn:microsoft.com/office/officeart/2005/8/layout/hierarchy2"/>
    <dgm:cxn modelId="{AC060CF8-6835-45DA-A755-A77ACCEB30C3}" srcId="{A9B7C98C-8E1B-464C-92EE-5750CAB9FF93}" destId="{5A54C55A-067B-4909-A1D6-8F7CDE000B4C}" srcOrd="0" destOrd="0" parTransId="{2D7583B7-86DC-4B02-A5FA-E78A3F82F8C9}" sibTransId="{69B034E8-E18B-436A-806D-0D42DEF8097A}"/>
    <dgm:cxn modelId="{7D25894C-7AC0-4651-9778-EAD711273A65}" type="presOf" srcId="{27DF4AF3-FC97-4B0B-B635-CAE664FCFD7C}" destId="{49A128FF-F5B2-43F6-8FD6-F95D26AEF7A7}" srcOrd="0" destOrd="0" presId="urn:microsoft.com/office/officeart/2005/8/layout/hierarchy2"/>
    <dgm:cxn modelId="{FA2EDE26-99F3-4328-8FE2-989091992ABE}" type="presOf" srcId="{ECC3EA01-D240-4021-BC27-DB123C88B7FC}" destId="{8C385529-BBD8-4CEC-980D-2B87EBA3E534}" srcOrd="0" destOrd="0" presId="urn:microsoft.com/office/officeart/2005/8/layout/hierarchy2"/>
    <dgm:cxn modelId="{87F3D876-F173-4683-A175-3E28D9BB69ED}" type="presOf" srcId="{9B011878-BE2E-4E4A-8267-D3D4BAA5DEF7}" destId="{E58DC92A-147F-46C9-8395-37C3186140DF}" srcOrd="1" destOrd="0" presId="urn:microsoft.com/office/officeart/2005/8/layout/hierarchy2"/>
    <dgm:cxn modelId="{9E42941A-BA88-4AC7-8A77-1A837296BA21}" srcId="{77B3379B-FD71-4201-A80E-F990F82AB1DC}" destId="{689769B3-BA76-4BB6-BA86-31407C7236FB}" srcOrd="0" destOrd="0" parTransId="{9A326BD5-D0CA-4AD8-8646-86391704C735}" sibTransId="{6E2FA508-EDFA-4424-B5BE-16371D56D5D6}"/>
    <dgm:cxn modelId="{B35DBBEC-4F18-45F3-A6BB-0259BA35CE1E}" srcId="{5A54C55A-067B-4909-A1D6-8F7CDE000B4C}" destId="{D3390E90-1969-4A75-B9FF-FA32300814BA}" srcOrd="0" destOrd="0" parTransId="{A0E69056-C93B-4C98-8CF9-190560CAA7E7}" sibTransId="{54681576-D207-4708-A664-58A264F8CA21}"/>
    <dgm:cxn modelId="{0D87B7D0-67A5-4972-A942-DED820CB68AE}" srcId="{D84D0BF3-F032-490B-B334-6E16E3E54FB1}" destId="{C34E1DE8-2D09-4362-8F2C-CB8D06D0ADFA}" srcOrd="0" destOrd="0" parTransId="{9B011878-BE2E-4E4A-8267-D3D4BAA5DEF7}" sibTransId="{BB258B81-2107-42EC-B6CA-D5424ED68256}"/>
    <dgm:cxn modelId="{A7F92FCD-FDFD-4C79-BA2A-83EB317B7535}" srcId="{689769B3-BA76-4BB6-BA86-31407C7236FB}" destId="{D84D0BF3-F032-490B-B334-6E16E3E54FB1}" srcOrd="0" destOrd="0" parTransId="{902C0D41-D7B9-4481-BA7F-893CDE3C1D8F}" sibTransId="{0CD76FC0-F087-47E8-B65F-AD480FAF44C8}"/>
    <dgm:cxn modelId="{4E74C752-1A8C-4214-8F35-3A27494FA37A}" type="presOf" srcId="{527E64E9-C8C2-4C3D-BDF1-E4C19CABFE6C}" destId="{92FC51F5-BEC1-407F-A600-F83ADAF08CB7}" srcOrd="0" destOrd="0" presId="urn:microsoft.com/office/officeart/2005/8/layout/hierarchy2"/>
    <dgm:cxn modelId="{FC6554D6-BE2D-4ED4-8DFA-4F93073DE09F}" type="presOf" srcId="{A9B7C98C-8E1B-464C-92EE-5750CAB9FF93}" destId="{27747F15-2593-4FF7-A5B4-335D18DD5D14}" srcOrd="0" destOrd="0" presId="urn:microsoft.com/office/officeart/2005/8/layout/hierarchy2"/>
    <dgm:cxn modelId="{77E170FF-4035-4940-970B-E03F2604FB48}" srcId="{9B920985-72E4-424D-9074-4C4E9C72F402}" destId="{4D604763-890F-47E2-8165-6884595F3D69}" srcOrd="1" destOrd="0" parTransId="{43AA6390-1917-4DA9-91A1-9CEE118491ED}" sibTransId="{1CE3BB5D-7D79-4F2D-8E24-A960407037E7}"/>
    <dgm:cxn modelId="{A32E1B02-5EB5-46B2-AA74-552D6B40D840}" type="presOf" srcId="{689769B3-BA76-4BB6-BA86-31407C7236FB}" destId="{1B89293F-58BE-4A95-AC49-F727414AA241}" srcOrd="0" destOrd="0" presId="urn:microsoft.com/office/officeart/2005/8/layout/hierarchy2"/>
    <dgm:cxn modelId="{843F929E-B0AE-4642-BDB4-19B5583D7DB7}" type="presOf" srcId="{705D874E-4A0E-4E0E-A08D-5D7A58B20196}" destId="{C660C2CD-4ACF-47F7-9DC9-55BA334951D1}" srcOrd="1" destOrd="0" presId="urn:microsoft.com/office/officeart/2005/8/layout/hierarchy2"/>
    <dgm:cxn modelId="{5D59FD8A-00AC-4EE8-92B2-6709EBB3AEA2}" type="presOf" srcId="{9B011878-BE2E-4E4A-8267-D3D4BAA5DEF7}" destId="{491D626F-49B0-48F0-8337-A89B71C2BB21}" srcOrd="0" destOrd="0" presId="urn:microsoft.com/office/officeart/2005/8/layout/hierarchy2"/>
    <dgm:cxn modelId="{384A1A44-6001-41A4-A342-234809B8BC8D}" type="presOf" srcId="{8A155885-A729-4C09-B521-AE9135126C23}" destId="{B95130DD-2F71-4EB3-A334-EEF8BEC479EC}" srcOrd="1" destOrd="0" presId="urn:microsoft.com/office/officeart/2005/8/layout/hierarchy2"/>
    <dgm:cxn modelId="{84319663-2D42-424A-AD9C-1C5F7F70D258}" type="presOf" srcId="{E72C651E-86B9-429B-9CB0-6823CABFF3A6}" destId="{983D21DF-D9F2-4C9A-9BF1-7F5D0A5D7DCB}" srcOrd="0" destOrd="0" presId="urn:microsoft.com/office/officeart/2005/8/layout/hierarchy2"/>
    <dgm:cxn modelId="{2ECBD81F-3BDA-43BA-A78B-BFBCEBADFF94}" srcId="{9B920985-72E4-424D-9074-4C4E9C72F402}" destId="{18F13F7C-0A8A-4F0F-B76B-AA6D0EAAD45A}" srcOrd="0" destOrd="0" parTransId="{E72C651E-86B9-429B-9CB0-6823CABFF3A6}" sibTransId="{B609D480-A9B8-4231-952A-EFAE17A5F43A}"/>
    <dgm:cxn modelId="{09FEE10F-2D68-4D95-8C4F-7E1463A3DC98}" srcId="{ECC3EA01-D240-4021-BC27-DB123C88B7FC}" destId="{77B3379B-FD71-4201-A80E-F990F82AB1DC}" srcOrd="0" destOrd="0" parTransId="{0231A6F6-3F1E-4266-9E02-17B770F56CDA}" sibTransId="{D5462A1D-7EA1-4274-85FC-DF5B43F94574}"/>
    <dgm:cxn modelId="{6FA8B36A-E27E-49D0-A59E-ECBEBC25662A}" type="presOf" srcId="{A36BF260-444B-4EE2-9760-D0FFC2C8AC5A}" destId="{3D38FFBA-8455-4A72-BE90-D21E43BDFC7C}" srcOrd="0" destOrd="0" presId="urn:microsoft.com/office/officeart/2005/8/layout/hierarchy2"/>
    <dgm:cxn modelId="{585C8626-46DD-4439-8AF1-13AC8EAD7ECD}" type="presOf" srcId="{527E64E9-C8C2-4C3D-BDF1-E4C19CABFE6C}" destId="{48F7F178-C70A-4907-952E-887D64882AD3}" srcOrd="1" destOrd="0" presId="urn:microsoft.com/office/officeart/2005/8/layout/hierarchy2"/>
    <dgm:cxn modelId="{365A7FDC-7374-4B3D-B9C6-2F3F26463CF3}" srcId="{21A3ECDE-5E6B-423C-B5FE-2A9C3A01DD72}" destId="{4994F673-757E-4619-A028-33ACF212F678}" srcOrd="0" destOrd="0" parTransId="{A36BF260-444B-4EE2-9760-D0FFC2C8AC5A}" sibTransId="{F263FC13-F3B6-42DF-BD83-BD9E20DA0A9D}"/>
    <dgm:cxn modelId="{5711F529-E19B-4E31-8E9E-0E457B094DC8}" srcId="{A9B7C98C-8E1B-464C-92EE-5750CAB9FF93}" destId="{9B920985-72E4-424D-9074-4C4E9C72F402}" srcOrd="1" destOrd="0" parTransId="{ACFFDB01-F188-47D8-9F60-54E0ABB9B7AD}" sibTransId="{03A40DA1-1932-4008-ADA7-C4C28B41AAE4}"/>
    <dgm:cxn modelId="{9DF7DF38-1B11-4293-98CB-7EEE5738C73F}" type="presOf" srcId="{902C0D41-D7B9-4481-BA7F-893CDE3C1D8F}" destId="{5B18EE3B-3FE6-4AAB-9A7F-9CA79B196C79}" srcOrd="1" destOrd="0" presId="urn:microsoft.com/office/officeart/2005/8/layout/hierarchy2"/>
    <dgm:cxn modelId="{C0EF10CB-B46F-472E-B884-60E3D52069B9}" type="presOf" srcId="{A0E69056-C93B-4C98-8CF9-190560CAA7E7}" destId="{8DC828C1-D9F2-4674-895B-BF5A46F23BAD}" srcOrd="1" destOrd="0" presId="urn:microsoft.com/office/officeart/2005/8/layout/hierarchy2"/>
    <dgm:cxn modelId="{E81CA271-7C15-4C76-9131-5F6F87B8E7DD}" srcId="{18F13F7C-0A8A-4F0F-B76B-AA6D0EAAD45A}" destId="{F48E52FB-BEC5-475D-B91B-266226D09EED}" srcOrd="0" destOrd="0" parTransId="{27DF4AF3-FC97-4B0B-B635-CAE664FCFD7C}" sibTransId="{4D140F12-E4A7-453F-9361-B43A427ECE40}"/>
    <dgm:cxn modelId="{4727FF5B-7F09-4B23-99C5-AAA019EC2C26}" type="presOf" srcId="{8A155885-A729-4C09-B521-AE9135126C23}" destId="{40C9EFC2-A1EA-4473-BE5B-68205C551B36}" srcOrd="0" destOrd="0" presId="urn:microsoft.com/office/officeart/2005/8/layout/hierarchy2"/>
    <dgm:cxn modelId="{7AA3B521-BB27-455D-90B5-F44D308E086D}" type="presOf" srcId="{5A54C55A-067B-4909-A1D6-8F7CDE000B4C}" destId="{55979FEA-81AF-4D14-A653-05FC1FA89507}" srcOrd="0" destOrd="0" presId="urn:microsoft.com/office/officeart/2005/8/layout/hierarchy2"/>
    <dgm:cxn modelId="{EBDDD60F-2820-4BCD-AD05-4980C419040D}" type="presOf" srcId="{C34E1DE8-2D09-4362-8F2C-CB8D06D0ADFA}" destId="{4D2E31D1-D2B1-4E66-9EDC-A5FEF0276FC7}" srcOrd="0" destOrd="0" presId="urn:microsoft.com/office/officeart/2005/8/layout/hierarchy2"/>
    <dgm:cxn modelId="{F6DF9F63-616B-48EC-9286-FF2872AF5D52}" type="presOf" srcId="{43AA6390-1917-4DA9-91A1-9CEE118491ED}" destId="{3BAECF5D-754B-46D2-AF8B-EA7E321AACAD}" srcOrd="0" destOrd="0" presId="urn:microsoft.com/office/officeart/2005/8/layout/hierarchy2"/>
    <dgm:cxn modelId="{525774C5-D503-49A7-AA0A-B1A1123FE15E}" type="presOf" srcId="{D84D0BF3-F032-490B-B334-6E16E3E54FB1}" destId="{6EA6DD4B-AAF9-4E70-B5D4-60BE35034482}" srcOrd="0" destOrd="0" presId="urn:microsoft.com/office/officeart/2005/8/layout/hierarchy2"/>
    <dgm:cxn modelId="{A402A2D9-2621-45A5-AF1E-637756E54085}" type="presOf" srcId="{9B920985-72E4-424D-9074-4C4E9C72F402}" destId="{DE8FAE07-661A-4E67-8410-46AC8D8B9C8F}" srcOrd="0" destOrd="0" presId="urn:microsoft.com/office/officeart/2005/8/layout/hierarchy2"/>
    <dgm:cxn modelId="{D3FEE9D2-6D6C-474E-B3EF-034950B9A9FE}" srcId="{4D604763-890F-47E2-8165-6884595F3D69}" destId="{E5B923C4-8971-4D12-9367-4B430B099392}" srcOrd="0" destOrd="0" parTransId="{705D874E-4A0E-4E0E-A08D-5D7A58B20196}" sibTransId="{4F09D698-2F0D-43B7-BF2C-1B2246C28376}"/>
    <dgm:cxn modelId="{CDA79770-4216-4D28-9450-781C9334432A}" type="presOf" srcId="{E72C651E-86B9-429B-9CB0-6823CABFF3A6}" destId="{A239BFB3-B826-413C-A813-A63C0FEE91D9}" srcOrd="1" destOrd="0" presId="urn:microsoft.com/office/officeart/2005/8/layout/hierarchy2"/>
    <dgm:cxn modelId="{3ABC6B24-3628-4E4F-A02D-4B5F0088EC2A}" type="presOf" srcId="{9A326BD5-D0CA-4AD8-8646-86391704C735}" destId="{5C93553E-4E97-4475-A653-92DC5423073F}" srcOrd="1" destOrd="0" presId="urn:microsoft.com/office/officeart/2005/8/layout/hierarchy2"/>
    <dgm:cxn modelId="{C69A386A-FB44-44F6-BD26-C6B95A6225B3}" type="presOf" srcId="{4994F673-757E-4619-A028-33ACF212F678}" destId="{BF389E9F-FF52-41EA-B2B5-2129D5A70B9D}" srcOrd="0" destOrd="0" presId="urn:microsoft.com/office/officeart/2005/8/layout/hierarchy2"/>
    <dgm:cxn modelId="{A826D9B1-2772-4390-8C79-97297A3D681C}" type="presOf" srcId="{9A326BD5-D0CA-4AD8-8646-86391704C735}" destId="{32DDE53C-E164-47AA-BFBD-CBD951A86C36}" srcOrd="0" destOrd="0" presId="urn:microsoft.com/office/officeart/2005/8/layout/hierarchy2"/>
    <dgm:cxn modelId="{C1A4E449-72FD-4260-9F90-5858E9149505}" type="presOf" srcId="{77B3379B-FD71-4201-A80E-F990F82AB1DC}" destId="{DBDD56EB-E20A-468A-9BA1-576F707C9281}" srcOrd="0" destOrd="0" presId="urn:microsoft.com/office/officeart/2005/8/layout/hierarchy2"/>
    <dgm:cxn modelId="{1AB1F580-A93B-4EB2-ADF6-967A60315785}" type="presOf" srcId="{2D7583B7-86DC-4B02-A5FA-E78A3F82F8C9}" destId="{C02A8DC4-982A-46B2-AA85-41366264134B}" srcOrd="0" destOrd="0" presId="urn:microsoft.com/office/officeart/2005/8/layout/hierarchy2"/>
    <dgm:cxn modelId="{05243254-C0E7-4E2C-AE7D-309B4759EFDA}" srcId="{77B3379B-FD71-4201-A80E-F990F82AB1DC}" destId="{A9B7C98C-8E1B-464C-92EE-5750CAB9FF93}" srcOrd="1" destOrd="0" parTransId="{527E64E9-C8C2-4C3D-BDF1-E4C19CABFE6C}" sibTransId="{9C052FFE-C034-49B0-A38A-C5213CEB9387}"/>
    <dgm:cxn modelId="{AED7E662-6217-421B-AB23-E3E5F54DAF8B}" type="presOf" srcId="{ACFFDB01-F188-47D8-9F60-54E0ABB9B7AD}" destId="{A3A8CEED-2261-427D-9F1F-6A5BAF7D1F15}" srcOrd="0" destOrd="0" presId="urn:microsoft.com/office/officeart/2005/8/layout/hierarchy2"/>
    <dgm:cxn modelId="{354526F1-206B-40FB-AE6B-874F07CE29FA}" srcId="{689769B3-BA76-4BB6-BA86-31407C7236FB}" destId="{21A3ECDE-5E6B-423C-B5FE-2A9C3A01DD72}" srcOrd="1" destOrd="0" parTransId="{8A155885-A729-4C09-B521-AE9135126C23}" sibTransId="{9923C360-1FD7-4973-951C-6756BAE777C7}"/>
    <dgm:cxn modelId="{DD2B298E-E704-4039-A839-AE229E9648C0}" type="presOf" srcId="{A0E69056-C93B-4C98-8CF9-190560CAA7E7}" destId="{BA6E2B5E-3296-4194-98A5-75D4B00A4233}" srcOrd="0" destOrd="0" presId="urn:microsoft.com/office/officeart/2005/8/layout/hierarchy2"/>
    <dgm:cxn modelId="{F82ECBCB-2160-40B7-A914-52AC933DEBEE}" type="presOf" srcId="{D3390E90-1969-4A75-B9FF-FA32300814BA}" destId="{CF50AEB9-56A3-4ECD-A82D-8EF10309D870}" srcOrd="0" destOrd="0" presId="urn:microsoft.com/office/officeart/2005/8/layout/hierarchy2"/>
    <dgm:cxn modelId="{35D2B866-8CA7-4894-B59B-BD513CBF9F76}" type="presOf" srcId="{F48E52FB-BEC5-475D-B91B-266226D09EED}" destId="{8DE86537-2596-41FF-96C2-3AD6A54C7DCF}" srcOrd="0" destOrd="0" presId="urn:microsoft.com/office/officeart/2005/8/layout/hierarchy2"/>
    <dgm:cxn modelId="{313CC99C-6CC2-4294-9FC4-D502CA4CCBD8}" type="presOf" srcId="{902C0D41-D7B9-4481-BA7F-893CDE3C1D8F}" destId="{70E020C5-1AC5-44CA-B652-E99F8B6CE434}" srcOrd="0" destOrd="0" presId="urn:microsoft.com/office/officeart/2005/8/layout/hierarchy2"/>
    <dgm:cxn modelId="{C489F4A6-FBD1-419B-972F-D5D9F0E58376}" type="presOf" srcId="{ACFFDB01-F188-47D8-9F60-54E0ABB9B7AD}" destId="{80F76D0C-545F-46DB-9F19-3C61DCACBDC9}" srcOrd="1" destOrd="0" presId="urn:microsoft.com/office/officeart/2005/8/layout/hierarchy2"/>
    <dgm:cxn modelId="{26212DE9-BDDB-437D-98A0-F4F64C47BFF6}" type="presOf" srcId="{43AA6390-1917-4DA9-91A1-9CEE118491ED}" destId="{B482578E-1004-4847-B53E-EB9AB52B60BE}" srcOrd="1" destOrd="0" presId="urn:microsoft.com/office/officeart/2005/8/layout/hierarchy2"/>
    <dgm:cxn modelId="{3ED0D967-0B3D-4D7D-80CE-F7F56746B4AF}" type="presOf" srcId="{18F13F7C-0A8A-4F0F-B76B-AA6D0EAAD45A}" destId="{F889461B-1190-48FC-8BD5-59C7F1C9F2A8}" srcOrd="0" destOrd="0" presId="urn:microsoft.com/office/officeart/2005/8/layout/hierarchy2"/>
    <dgm:cxn modelId="{58CCE9E6-75C7-4EA0-8D7E-95AB442D487B}" type="presOf" srcId="{A36BF260-444B-4EE2-9760-D0FFC2C8AC5A}" destId="{8F8C8EE7-689C-488D-ADF7-FA15A1325DC4}" srcOrd="1" destOrd="0" presId="urn:microsoft.com/office/officeart/2005/8/layout/hierarchy2"/>
    <dgm:cxn modelId="{8AAF699F-6496-4264-9619-9E452FA41B32}" type="presOf" srcId="{21A3ECDE-5E6B-423C-B5FE-2A9C3A01DD72}" destId="{C902FC92-3E19-49EF-A3EE-7A418C2E248B}" srcOrd="0" destOrd="0" presId="urn:microsoft.com/office/officeart/2005/8/layout/hierarchy2"/>
    <dgm:cxn modelId="{31E0F779-F8B5-46AE-925B-9D01CB206171}" type="presOf" srcId="{705D874E-4A0E-4E0E-A08D-5D7A58B20196}" destId="{E7F5E43D-8C91-40D7-BA4A-7D271D456759}" srcOrd="0" destOrd="0" presId="urn:microsoft.com/office/officeart/2005/8/layout/hierarchy2"/>
    <dgm:cxn modelId="{AC17907A-0D3F-489E-87F3-E688B1317A4A}" type="presParOf" srcId="{8C385529-BBD8-4CEC-980D-2B87EBA3E534}" destId="{7D1AADA6-7D4B-4D87-8727-9B90F3DCBDFF}" srcOrd="0" destOrd="0" presId="urn:microsoft.com/office/officeart/2005/8/layout/hierarchy2"/>
    <dgm:cxn modelId="{7BFF039F-BCDD-4FE5-AD75-61A7825BA9FE}" type="presParOf" srcId="{7D1AADA6-7D4B-4D87-8727-9B90F3DCBDFF}" destId="{DBDD56EB-E20A-468A-9BA1-576F707C9281}" srcOrd="0" destOrd="0" presId="urn:microsoft.com/office/officeart/2005/8/layout/hierarchy2"/>
    <dgm:cxn modelId="{650847EB-0905-4092-84D4-8943383B26C8}" type="presParOf" srcId="{7D1AADA6-7D4B-4D87-8727-9B90F3DCBDFF}" destId="{E01417A9-2D3A-413B-BC25-B3E39D4482ED}" srcOrd="1" destOrd="0" presId="urn:microsoft.com/office/officeart/2005/8/layout/hierarchy2"/>
    <dgm:cxn modelId="{776433E6-BAA4-447C-84B5-D969AC89AE4C}" type="presParOf" srcId="{E01417A9-2D3A-413B-BC25-B3E39D4482ED}" destId="{32DDE53C-E164-47AA-BFBD-CBD951A86C36}" srcOrd="0" destOrd="0" presId="urn:microsoft.com/office/officeart/2005/8/layout/hierarchy2"/>
    <dgm:cxn modelId="{2D160FD3-BBCB-4C92-A7FF-08B654A55BF6}" type="presParOf" srcId="{32DDE53C-E164-47AA-BFBD-CBD951A86C36}" destId="{5C93553E-4E97-4475-A653-92DC5423073F}" srcOrd="0" destOrd="0" presId="urn:microsoft.com/office/officeart/2005/8/layout/hierarchy2"/>
    <dgm:cxn modelId="{2EC3867F-E3DE-4290-9531-12EC8F2C1F5C}" type="presParOf" srcId="{E01417A9-2D3A-413B-BC25-B3E39D4482ED}" destId="{4E26D7CD-5C37-4F81-A2EC-0BD960312A6B}" srcOrd="1" destOrd="0" presId="urn:microsoft.com/office/officeart/2005/8/layout/hierarchy2"/>
    <dgm:cxn modelId="{A071FE2F-501D-4E65-9F68-AAB4BC56C1E2}" type="presParOf" srcId="{4E26D7CD-5C37-4F81-A2EC-0BD960312A6B}" destId="{1B89293F-58BE-4A95-AC49-F727414AA241}" srcOrd="0" destOrd="0" presId="urn:microsoft.com/office/officeart/2005/8/layout/hierarchy2"/>
    <dgm:cxn modelId="{78752565-FE98-4A7E-9C1B-87B25D6EF96A}" type="presParOf" srcId="{4E26D7CD-5C37-4F81-A2EC-0BD960312A6B}" destId="{A8B42894-286B-46DC-B22B-370250D025EC}" srcOrd="1" destOrd="0" presId="urn:microsoft.com/office/officeart/2005/8/layout/hierarchy2"/>
    <dgm:cxn modelId="{9968D5D5-4877-4E90-AA59-3940ECAE08B5}" type="presParOf" srcId="{A8B42894-286B-46DC-B22B-370250D025EC}" destId="{70E020C5-1AC5-44CA-B652-E99F8B6CE434}" srcOrd="0" destOrd="0" presId="urn:microsoft.com/office/officeart/2005/8/layout/hierarchy2"/>
    <dgm:cxn modelId="{8B408455-8C20-4594-ACB8-4AF8B3677505}" type="presParOf" srcId="{70E020C5-1AC5-44CA-B652-E99F8B6CE434}" destId="{5B18EE3B-3FE6-4AAB-9A7F-9CA79B196C79}" srcOrd="0" destOrd="0" presId="urn:microsoft.com/office/officeart/2005/8/layout/hierarchy2"/>
    <dgm:cxn modelId="{27A8DD18-F7F3-43F1-A44D-36B103EC8F6B}" type="presParOf" srcId="{A8B42894-286B-46DC-B22B-370250D025EC}" destId="{A345644A-E32D-497F-AF4C-6C819883A8B7}" srcOrd="1" destOrd="0" presId="urn:microsoft.com/office/officeart/2005/8/layout/hierarchy2"/>
    <dgm:cxn modelId="{EB38400F-B89E-4935-8E54-3B5B4777B98F}" type="presParOf" srcId="{A345644A-E32D-497F-AF4C-6C819883A8B7}" destId="{6EA6DD4B-AAF9-4E70-B5D4-60BE35034482}" srcOrd="0" destOrd="0" presId="urn:microsoft.com/office/officeart/2005/8/layout/hierarchy2"/>
    <dgm:cxn modelId="{CC8B71A2-84EF-4A35-9CD2-B31977ED4586}" type="presParOf" srcId="{A345644A-E32D-497F-AF4C-6C819883A8B7}" destId="{0CA240A7-5377-4CB2-B0DC-DDAAE1A359AF}" srcOrd="1" destOrd="0" presId="urn:microsoft.com/office/officeart/2005/8/layout/hierarchy2"/>
    <dgm:cxn modelId="{14B1C085-523C-4111-AB0C-E266A455D47B}" type="presParOf" srcId="{0CA240A7-5377-4CB2-B0DC-DDAAE1A359AF}" destId="{491D626F-49B0-48F0-8337-A89B71C2BB21}" srcOrd="0" destOrd="0" presId="urn:microsoft.com/office/officeart/2005/8/layout/hierarchy2"/>
    <dgm:cxn modelId="{AE42B3BE-974F-42E2-8263-C3A9E2E04FE9}" type="presParOf" srcId="{491D626F-49B0-48F0-8337-A89B71C2BB21}" destId="{E58DC92A-147F-46C9-8395-37C3186140DF}" srcOrd="0" destOrd="0" presId="urn:microsoft.com/office/officeart/2005/8/layout/hierarchy2"/>
    <dgm:cxn modelId="{D277A324-D484-477D-B940-83E26241D8F9}" type="presParOf" srcId="{0CA240A7-5377-4CB2-B0DC-DDAAE1A359AF}" destId="{8EEBF2F9-5166-4CF8-9ACB-94B3DB55D792}" srcOrd="1" destOrd="0" presId="urn:microsoft.com/office/officeart/2005/8/layout/hierarchy2"/>
    <dgm:cxn modelId="{DE8B8A2D-ED6C-4279-B7B4-26483C22C902}" type="presParOf" srcId="{8EEBF2F9-5166-4CF8-9ACB-94B3DB55D792}" destId="{4D2E31D1-D2B1-4E66-9EDC-A5FEF0276FC7}" srcOrd="0" destOrd="0" presId="urn:microsoft.com/office/officeart/2005/8/layout/hierarchy2"/>
    <dgm:cxn modelId="{8238D630-AE27-402C-909E-E547618D936F}" type="presParOf" srcId="{8EEBF2F9-5166-4CF8-9ACB-94B3DB55D792}" destId="{535E21C2-6297-4A4E-AB5C-0D91EAF3763D}" srcOrd="1" destOrd="0" presId="urn:microsoft.com/office/officeart/2005/8/layout/hierarchy2"/>
    <dgm:cxn modelId="{43D23A82-C77C-4B19-8F45-DA86184F0A48}" type="presParOf" srcId="{A8B42894-286B-46DC-B22B-370250D025EC}" destId="{40C9EFC2-A1EA-4473-BE5B-68205C551B36}" srcOrd="2" destOrd="0" presId="urn:microsoft.com/office/officeart/2005/8/layout/hierarchy2"/>
    <dgm:cxn modelId="{DD2FDE56-2BF5-471C-9635-D49E18A7B27E}" type="presParOf" srcId="{40C9EFC2-A1EA-4473-BE5B-68205C551B36}" destId="{B95130DD-2F71-4EB3-A334-EEF8BEC479EC}" srcOrd="0" destOrd="0" presId="urn:microsoft.com/office/officeart/2005/8/layout/hierarchy2"/>
    <dgm:cxn modelId="{97C3842C-05DE-4869-AE82-884538F7B21E}" type="presParOf" srcId="{A8B42894-286B-46DC-B22B-370250D025EC}" destId="{C669F97B-01B4-4705-850C-0AD8159C70E3}" srcOrd="3" destOrd="0" presId="urn:microsoft.com/office/officeart/2005/8/layout/hierarchy2"/>
    <dgm:cxn modelId="{05E4D892-7E0B-4579-824F-03522DF398D7}" type="presParOf" srcId="{C669F97B-01B4-4705-850C-0AD8159C70E3}" destId="{C902FC92-3E19-49EF-A3EE-7A418C2E248B}" srcOrd="0" destOrd="0" presId="urn:microsoft.com/office/officeart/2005/8/layout/hierarchy2"/>
    <dgm:cxn modelId="{0CCF5211-39F5-4F36-828A-68ACC20BA48B}" type="presParOf" srcId="{C669F97B-01B4-4705-850C-0AD8159C70E3}" destId="{D13A14C4-8C50-4E2B-8F5B-2F29AF51D2BC}" srcOrd="1" destOrd="0" presId="urn:microsoft.com/office/officeart/2005/8/layout/hierarchy2"/>
    <dgm:cxn modelId="{5658234C-CBBD-4797-BB33-751B8B556B69}" type="presParOf" srcId="{D13A14C4-8C50-4E2B-8F5B-2F29AF51D2BC}" destId="{3D38FFBA-8455-4A72-BE90-D21E43BDFC7C}" srcOrd="0" destOrd="0" presId="urn:microsoft.com/office/officeart/2005/8/layout/hierarchy2"/>
    <dgm:cxn modelId="{C85B3EF1-03CA-49D5-8DDA-6B54AEF12FF5}" type="presParOf" srcId="{3D38FFBA-8455-4A72-BE90-D21E43BDFC7C}" destId="{8F8C8EE7-689C-488D-ADF7-FA15A1325DC4}" srcOrd="0" destOrd="0" presId="urn:microsoft.com/office/officeart/2005/8/layout/hierarchy2"/>
    <dgm:cxn modelId="{40B97E32-B825-4863-9A53-D1B305E4B06F}" type="presParOf" srcId="{D13A14C4-8C50-4E2B-8F5B-2F29AF51D2BC}" destId="{997EFB38-EF48-40F9-AA99-95B77502681A}" srcOrd="1" destOrd="0" presId="urn:microsoft.com/office/officeart/2005/8/layout/hierarchy2"/>
    <dgm:cxn modelId="{B34729B5-A2CB-4531-A1D2-7BF8CBCA5DA8}" type="presParOf" srcId="{997EFB38-EF48-40F9-AA99-95B77502681A}" destId="{BF389E9F-FF52-41EA-B2B5-2129D5A70B9D}" srcOrd="0" destOrd="0" presId="urn:microsoft.com/office/officeart/2005/8/layout/hierarchy2"/>
    <dgm:cxn modelId="{9AC88454-5B80-4A12-9C04-4EEE17528F4A}" type="presParOf" srcId="{997EFB38-EF48-40F9-AA99-95B77502681A}" destId="{0EF1D026-28D0-4E9A-A8B0-40CBA205848F}" srcOrd="1" destOrd="0" presId="urn:microsoft.com/office/officeart/2005/8/layout/hierarchy2"/>
    <dgm:cxn modelId="{B0FE90FF-D5BD-473F-B070-2A87ED7309DB}" type="presParOf" srcId="{E01417A9-2D3A-413B-BC25-B3E39D4482ED}" destId="{92FC51F5-BEC1-407F-A600-F83ADAF08CB7}" srcOrd="2" destOrd="0" presId="urn:microsoft.com/office/officeart/2005/8/layout/hierarchy2"/>
    <dgm:cxn modelId="{A373361F-D892-4736-994E-7FD7D042964C}" type="presParOf" srcId="{92FC51F5-BEC1-407F-A600-F83ADAF08CB7}" destId="{48F7F178-C70A-4907-952E-887D64882AD3}" srcOrd="0" destOrd="0" presId="urn:microsoft.com/office/officeart/2005/8/layout/hierarchy2"/>
    <dgm:cxn modelId="{6ADE9307-9BF8-4C61-99F0-55BE620E98C8}" type="presParOf" srcId="{E01417A9-2D3A-413B-BC25-B3E39D4482ED}" destId="{72C2BBDA-B956-40BE-A888-6882A17EBA79}" srcOrd="3" destOrd="0" presId="urn:microsoft.com/office/officeart/2005/8/layout/hierarchy2"/>
    <dgm:cxn modelId="{38BE8158-1BA4-4AD3-93D2-A2257130CD46}" type="presParOf" srcId="{72C2BBDA-B956-40BE-A888-6882A17EBA79}" destId="{27747F15-2593-4FF7-A5B4-335D18DD5D14}" srcOrd="0" destOrd="0" presId="urn:microsoft.com/office/officeart/2005/8/layout/hierarchy2"/>
    <dgm:cxn modelId="{CB1040D9-17A4-4DBF-8AC2-49D60936EBFC}" type="presParOf" srcId="{72C2BBDA-B956-40BE-A888-6882A17EBA79}" destId="{A66F7041-91E3-4C91-B819-D53D5CB983C7}" srcOrd="1" destOrd="0" presId="urn:microsoft.com/office/officeart/2005/8/layout/hierarchy2"/>
    <dgm:cxn modelId="{8AF2AFBA-4EF0-4292-A9FF-CA0B59DC298C}" type="presParOf" srcId="{A66F7041-91E3-4C91-B819-D53D5CB983C7}" destId="{C02A8DC4-982A-46B2-AA85-41366264134B}" srcOrd="0" destOrd="0" presId="urn:microsoft.com/office/officeart/2005/8/layout/hierarchy2"/>
    <dgm:cxn modelId="{367A41B6-8833-4346-B16D-79DF012103B6}" type="presParOf" srcId="{C02A8DC4-982A-46B2-AA85-41366264134B}" destId="{7A0E95C7-A4F2-496C-AE37-2177BF782387}" srcOrd="0" destOrd="0" presId="urn:microsoft.com/office/officeart/2005/8/layout/hierarchy2"/>
    <dgm:cxn modelId="{CC03D593-2DD4-4F52-9431-4490848FB896}" type="presParOf" srcId="{A66F7041-91E3-4C91-B819-D53D5CB983C7}" destId="{49ED5144-3B14-49D8-97B4-FF628B95FDEF}" srcOrd="1" destOrd="0" presId="urn:microsoft.com/office/officeart/2005/8/layout/hierarchy2"/>
    <dgm:cxn modelId="{16CBAE36-E90D-49E9-A8ED-9750A3802EED}" type="presParOf" srcId="{49ED5144-3B14-49D8-97B4-FF628B95FDEF}" destId="{55979FEA-81AF-4D14-A653-05FC1FA89507}" srcOrd="0" destOrd="0" presId="urn:microsoft.com/office/officeart/2005/8/layout/hierarchy2"/>
    <dgm:cxn modelId="{A30E29F3-0DEC-4871-A33D-0A8AED783D95}" type="presParOf" srcId="{49ED5144-3B14-49D8-97B4-FF628B95FDEF}" destId="{CAE01358-8330-41A1-BC96-FD90E66D4068}" srcOrd="1" destOrd="0" presId="urn:microsoft.com/office/officeart/2005/8/layout/hierarchy2"/>
    <dgm:cxn modelId="{43E69333-A7E9-4A0D-A9A3-4BC3886EEBAE}" type="presParOf" srcId="{CAE01358-8330-41A1-BC96-FD90E66D4068}" destId="{BA6E2B5E-3296-4194-98A5-75D4B00A4233}" srcOrd="0" destOrd="0" presId="urn:microsoft.com/office/officeart/2005/8/layout/hierarchy2"/>
    <dgm:cxn modelId="{A5B213D9-A58C-4387-929B-FAEB4BBECACE}" type="presParOf" srcId="{BA6E2B5E-3296-4194-98A5-75D4B00A4233}" destId="{8DC828C1-D9F2-4674-895B-BF5A46F23BAD}" srcOrd="0" destOrd="0" presId="urn:microsoft.com/office/officeart/2005/8/layout/hierarchy2"/>
    <dgm:cxn modelId="{D4382BE7-3635-4261-B864-F580C42A58F0}" type="presParOf" srcId="{CAE01358-8330-41A1-BC96-FD90E66D4068}" destId="{69D3B9A2-1784-4636-9BE9-287E677F5585}" srcOrd="1" destOrd="0" presId="urn:microsoft.com/office/officeart/2005/8/layout/hierarchy2"/>
    <dgm:cxn modelId="{3B3BAD5F-D833-4DD6-92E6-50E67ED45EE0}" type="presParOf" srcId="{69D3B9A2-1784-4636-9BE9-287E677F5585}" destId="{CF50AEB9-56A3-4ECD-A82D-8EF10309D870}" srcOrd="0" destOrd="0" presId="urn:microsoft.com/office/officeart/2005/8/layout/hierarchy2"/>
    <dgm:cxn modelId="{B2B4E28D-77BD-417E-B2B0-DAEC7D754827}" type="presParOf" srcId="{69D3B9A2-1784-4636-9BE9-287E677F5585}" destId="{740C5A4C-42E8-49B3-A6B2-1C1F9A57BBBF}" srcOrd="1" destOrd="0" presId="urn:microsoft.com/office/officeart/2005/8/layout/hierarchy2"/>
    <dgm:cxn modelId="{517731DE-23F5-464D-AEA9-CB5A72590B23}" type="presParOf" srcId="{A66F7041-91E3-4C91-B819-D53D5CB983C7}" destId="{A3A8CEED-2261-427D-9F1F-6A5BAF7D1F15}" srcOrd="2" destOrd="0" presId="urn:microsoft.com/office/officeart/2005/8/layout/hierarchy2"/>
    <dgm:cxn modelId="{FF486E04-A941-4F7A-9840-E27768675ECE}" type="presParOf" srcId="{A3A8CEED-2261-427D-9F1F-6A5BAF7D1F15}" destId="{80F76D0C-545F-46DB-9F19-3C61DCACBDC9}" srcOrd="0" destOrd="0" presId="urn:microsoft.com/office/officeart/2005/8/layout/hierarchy2"/>
    <dgm:cxn modelId="{A619344E-8724-4691-8015-0E3CB3A230E3}" type="presParOf" srcId="{A66F7041-91E3-4C91-B819-D53D5CB983C7}" destId="{344ECC9B-DB74-40EF-88E7-5FA0F3CF32A2}" srcOrd="3" destOrd="0" presId="urn:microsoft.com/office/officeart/2005/8/layout/hierarchy2"/>
    <dgm:cxn modelId="{3BE9F8E1-6910-4CF9-A614-54120AC5CBB0}" type="presParOf" srcId="{344ECC9B-DB74-40EF-88E7-5FA0F3CF32A2}" destId="{DE8FAE07-661A-4E67-8410-46AC8D8B9C8F}" srcOrd="0" destOrd="0" presId="urn:microsoft.com/office/officeart/2005/8/layout/hierarchy2"/>
    <dgm:cxn modelId="{F2928485-45B6-4850-B170-56AB7FA81ED6}" type="presParOf" srcId="{344ECC9B-DB74-40EF-88E7-5FA0F3CF32A2}" destId="{8154C456-6767-4E40-96D8-D3FB38690F82}" srcOrd="1" destOrd="0" presId="urn:microsoft.com/office/officeart/2005/8/layout/hierarchy2"/>
    <dgm:cxn modelId="{EC5B482C-D038-49DD-8C74-ABDDB738A346}" type="presParOf" srcId="{8154C456-6767-4E40-96D8-D3FB38690F82}" destId="{983D21DF-D9F2-4C9A-9BF1-7F5D0A5D7DCB}" srcOrd="0" destOrd="0" presId="urn:microsoft.com/office/officeart/2005/8/layout/hierarchy2"/>
    <dgm:cxn modelId="{B9B626A9-336F-49F0-8EF2-3137F4769669}" type="presParOf" srcId="{983D21DF-D9F2-4C9A-9BF1-7F5D0A5D7DCB}" destId="{A239BFB3-B826-413C-A813-A63C0FEE91D9}" srcOrd="0" destOrd="0" presId="urn:microsoft.com/office/officeart/2005/8/layout/hierarchy2"/>
    <dgm:cxn modelId="{7A680EB1-ED11-40BF-A8A7-DEEF8F47F4EB}" type="presParOf" srcId="{8154C456-6767-4E40-96D8-D3FB38690F82}" destId="{C48B382D-ADE8-4351-9D55-B5A95D429279}" srcOrd="1" destOrd="0" presId="urn:microsoft.com/office/officeart/2005/8/layout/hierarchy2"/>
    <dgm:cxn modelId="{1464C124-EBF1-467A-80BD-79365962BA05}" type="presParOf" srcId="{C48B382D-ADE8-4351-9D55-B5A95D429279}" destId="{F889461B-1190-48FC-8BD5-59C7F1C9F2A8}" srcOrd="0" destOrd="0" presId="urn:microsoft.com/office/officeart/2005/8/layout/hierarchy2"/>
    <dgm:cxn modelId="{05BC3E8F-C233-4A73-9EAC-F4DF92C8BC8A}" type="presParOf" srcId="{C48B382D-ADE8-4351-9D55-B5A95D429279}" destId="{2920DC33-89DF-43C8-B004-D55FF5DAEA56}" srcOrd="1" destOrd="0" presId="urn:microsoft.com/office/officeart/2005/8/layout/hierarchy2"/>
    <dgm:cxn modelId="{25FD6C73-648F-43CD-B4E0-B03F2FF85F1A}" type="presParOf" srcId="{2920DC33-89DF-43C8-B004-D55FF5DAEA56}" destId="{49A128FF-F5B2-43F6-8FD6-F95D26AEF7A7}" srcOrd="0" destOrd="0" presId="urn:microsoft.com/office/officeart/2005/8/layout/hierarchy2"/>
    <dgm:cxn modelId="{CF3F1AD9-A409-4402-870E-5126219F99FF}" type="presParOf" srcId="{49A128FF-F5B2-43F6-8FD6-F95D26AEF7A7}" destId="{414E9951-7E78-4300-A606-8E9284DE71B1}" srcOrd="0" destOrd="0" presId="urn:microsoft.com/office/officeart/2005/8/layout/hierarchy2"/>
    <dgm:cxn modelId="{DCE2B1B0-9182-4E38-B7A0-15EFE1AC9625}" type="presParOf" srcId="{2920DC33-89DF-43C8-B004-D55FF5DAEA56}" destId="{634DF028-F579-467A-8CE9-0266FCBD9C50}" srcOrd="1" destOrd="0" presId="urn:microsoft.com/office/officeart/2005/8/layout/hierarchy2"/>
    <dgm:cxn modelId="{E6E7F1AC-4AD0-4D3A-A53A-CA14B6FB681E}" type="presParOf" srcId="{634DF028-F579-467A-8CE9-0266FCBD9C50}" destId="{8DE86537-2596-41FF-96C2-3AD6A54C7DCF}" srcOrd="0" destOrd="0" presId="urn:microsoft.com/office/officeart/2005/8/layout/hierarchy2"/>
    <dgm:cxn modelId="{2A7EDB34-FF00-4BD5-86D3-BE580A0C5692}" type="presParOf" srcId="{634DF028-F579-467A-8CE9-0266FCBD9C50}" destId="{CDFDD045-85AF-40B9-ACD7-47F613235214}" srcOrd="1" destOrd="0" presId="urn:microsoft.com/office/officeart/2005/8/layout/hierarchy2"/>
    <dgm:cxn modelId="{9E2E9344-D04F-4638-BE56-156BF66AAF30}" type="presParOf" srcId="{8154C456-6767-4E40-96D8-D3FB38690F82}" destId="{3BAECF5D-754B-46D2-AF8B-EA7E321AACAD}" srcOrd="2" destOrd="0" presId="urn:microsoft.com/office/officeart/2005/8/layout/hierarchy2"/>
    <dgm:cxn modelId="{72FF3AAD-721F-48B6-9714-36E4DFD932E6}" type="presParOf" srcId="{3BAECF5D-754B-46D2-AF8B-EA7E321AACAD}" destId="{B482578E-1004-4847-B53E-EB9AB52B60BE}" srcOrd="0" destOrd="0" presId="urn:microsoft.com/office/officeart/2005/8/layout/hierarchy2"/>
    <dgm:cxn modelId="{554E460A-53D2-4228-AC30-B4111FA0545D}" type="presParOf" srcId="{8154C456-6767-4E40-96D8-D3FB38690F82}" destId="{35F3110A-7CE2-4DDC-883E-E769C47F7CD8}" srcOrd="3" destOrd="0" presId="urn:microsoft.com/office/officeart/2005/8/layout/hierarchy2"/>
    <dgm:cxn modelId="{B25C7E54-DEEA-4B77-A94C-0A7998C4796E}" type="presParOf" srcId="{35F3110A-7CE2-4DDC-883E-E769C47F7CD8}" destId="{D62B6528-CC2D-494E-B51C-B56C96748136}" srcOrd="0" destOrd="0" presId="urn:microsoft.com/office/officeart/2005/8/layout/hierarchy2"/>
    <dgm:cxn modelId="{3034AB8E-00EA-460E-A6C2-F45B9615FF5B}" type="presParOf" srcId="{35F3110A-7CE2-4DDC-883E-E769C47F7CD8}" destId="{71B21E48-8FB5-4791-A630-7D20C6260283}" srcOrd="1" destOrd="0" presId="urn:microsoft.com/office/officeart/2005/8/layout/hierarchy2"/>
    <dgm:cxn modelId="{5A930937-CA38-4610-991D-65A92C540AD1}" type="presParOf" srcId="{71B21E48-8FB5-4791-A630-7D20C6260283}" destId="{E7F5E43D-8C91-40D7-BA4A-7D271D456759}" srcOrd="0" destOrd="0" presId="urn:microsoft.com/office/officeart/2005/8/layout/hierarchy2"/>
    <dgm:cxn modelId="{10D773F8-5D56-4159-B61D-C1BB20F03729}" type="presParOf" srcId="{E7F5E43D-8C91-40D7-BA4A-7D271D456759}" destId="{C660C2CD-4ACF-47F7-9DC9-55BA334951D1}" srcOrd="0" destOrd="0" presId="urn:microsoft.com/office/officeart/2005/8/layout/hierarchy2"/>
    <dgm:cxn modelId="{BE0D4C0F-9562-44CF-951D-29FB7AA74AF9}" type="presParOf" srcId="{71B21E48-8FB5-4791-A630-7D20C6260283}" destId="{1E68A3A5-C0EA-4A85-AD06-F628BD4E6E2D}" srcOrd="1" destOrd="0" presId="urn:microsoft.com/office/officeart/2005/8/layout/hierarchy2"/>
    <dgm:cxn modelId="{DB5D7253-756F-43E4-AED1-FFCE7A0C4EEF}" type="presParOf" srcId="{1E68A3A5-C0EA-4A85-AD06-F628BD4E6E2D}" destId="{742EEACC-763D-43A9-809C-7C74192F25E0}" srcOrd="0" destOrd="0" presId="urn:microsoft.com/office/officeart/2005/8/layout/hierarchy2"/>
    <dgm:cxn modelId="{6402A5BA-665D-4955-A023-D4B1080F5AE4}" type="presParOf" srcId="{1E68A3A5-C0EA-4A85-AD06-F628BD4E6E2D}" destId="{83B5388D-65A0-4214-84A9-9CE80A8562F8}" srcOrd="1" destOrd="0" presId="urn:microsoft.com/office/officeart/2005/8/layout/hierarchy2"/>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A7FC2B9-3044-48E8-80FF-15278F9F222C}" type="doc">
      <dgm:prSet loTypeId="urn:microsoft.com/office/officeart/2005/8/layout/orgChart1" loCatId="hierarchy" qsTypeId="urn:microsoft.com/office/officeart/2005/8/quickstyle/simple1" qsCatId="simple" csTypeId="urn:microsoft.com/office/officeart/2005/8/colors/accent1_2" csCatId="accent1" phldr="1"/>
      <dgm:spPr/>
      <dgm:t>
        <a:bodyPr/>
        <a:p>
          <a:endParaRPr lang="zh-CN" altLang="en-US"/>
        </a:p>
      </dgm:t>
    </dgm:pt>
    <dgm:pt modelId="{C5EBF2DA-4977-4CB2-AEAD-9F0E5AED86F7}">
      <dgm:prSet phldrT="[文本]" custT="1"/>
      <dgm:spPr/>
      <dgm:t>
        <a:bodyPr/>
        <a:p>
          <a:r>
            <a:rPr lang="zh-CN" altLang="en-US" sz="1400">
              <a:latin typeface="宋体" panose="02010600030101010101" charset="-122"/>
              <a:ea typeface="宋体" panose="02010600030101010101" charset="-122"/>
            </a:rPr>
            <a:t>总经理</a:t>
          </a:r>
        </a:p>
      </dgm:t>
    </dgm:pt>
    <dgm:pt modelId="{BC19171D-1B74-44CF-9370-F4D4BA0BD73B}" cxnId="{77ED3CFC-977A-4739-A14A-25DC4C27035A}" type="parTrans">
      <dgm:prSet/>
      <dgm:spPr/>
      <dgm:t>
        <a:bodyPr/>
        <a:p>
          <a:endParaRPr lang="zh-CN" altLang="en-US" sz="1400">
            <a:latin typeface="宋体" panose="02010600030101010101" charset="-122"/>
            <a:ea typeface="宋体" panose="02010600030101010101" charset="-122"/>
          </a:endParaRPr>
        </a:p>
      </dgm:t>
    </dgm:pt>
    <dgm:pt modelId="{677F7153-F37B-4A74-B6D1-F00FFA1F89B0}" cxnId="{77ED3CFC-977A-4739-A14A-25DC4C27035A}" type="sibTrans">
      <dgm:prSet/>
      <dgm:spPr/>
      <dgm:t>
        <a:bodyPr/>
        <a:p>
          <a:endParaRPr lang="zh-CN" altLang="en-US" sz="1400">
            <a:latin typeface="宋体" panose="02010600030101010101" charset="-122"/>
            <a:ea typeface="宋体" panose="02010600030101010101" charset="-122"/>
          </a:endParaRPr>
        </a:p>
      </dgm:t>
    </dgm:pt>
    <dgm:pt modelId="{E7AE943B-4DAD-402D-BE5F-C2F37F7A7BAB}">
      <dgm:prSet phldrT="[文本]" custT="1"/>
      <dgm:spPr/>
      <dgm:t>
        <a:bodyPr/>
        <a:p>
          <a:r>
            <a:rPr lang="zh-CN" altLang="en-US" sz="1400">
              <a:latin typeface="宋体" panose="02010600030101010101" charset="-122"/>
              <a:ea typeface="宋体" panose="02010600030101010101" charset="-122"/>
            </a:rPr>
            <a:t>财务部</a:t>
          </a:r>
        </a:p>
      </dgm:t>
    </dgm:pt>
    <dgm:pt modelId="{1E6B5BBE-54BE-451D-A9A1-96D712BA40E2}" cxnId="{68F29880-078E-404B-911F-6EE4C74604C7}" type="parTrans">
      <dgm:prSet/>
      <dgm:spPr/>
      <dgm:t>
        <a:bodyPr/>
        <a:p>
          <a:endParaRPr lang="zh-CN" altLang="en-US" sz="1400">
            <a:latin typeface="宋体" panose="02010600030101010101" charset="-122"/>
            <a:ea typeface="宋体" panose="02010600030101010101" charset="-122"/>
          </a:endParaRPr>
        </a:p>
      </dgm:t>
    </dgm:pt>
    <dgm:pt modelId="{BB84DA29-39CF-4F8C-AABD-DA1B87E141D4}" cxnId="{68F29880-078E-404B-911F-6EE4C74604C7}" type="sibTrans">
      <dgm:prSet/>
      <dgm:spPr/>
      <dgm:t>
        <a:bodyPr/>
        <a:p>
          <a:endParaRPr lang="zh-CN" altLang="en-US" sz="1400">
            <a:latin typeface="宋体" panose="02010600030101010101" charset="-122"/>
            <a:ea typeface="宋体" panose="02010600030101010101" charset="-122"/>
          </a:endParaRPr>
        </a:p>
      </dgm:t>
    </dgm:pt>
    <dgm:pt modelId="{B3C0AAF4-AF9D-41FB-8DB6-C3C51D1A0A6F}">
      <dgm:prSet phldrT="[文本]" custT="1"/>
      <dgm:spPr/>
      <dgm:t>
        <a:bodyPr/>
        <a:p>
          <a:r>
            <a:rPr lang="zh-CN" altLang="en-US" sz="1400">
              <a:latin typeface="宋体" panose="02010600030101010101" charset="-122"/>
              <a:ea typeface="宋体" panose="02010600030101010101" charset="-122"/>
            </a:rPr>
            <a:t>运营部</a:t>
          </a:r>
        </a:p>
      </dgm:t>
    </dgm:pt>
    <dgm:pt modelId="{E33B247E-FE62-4FA2-B96B-5D2BB65DE4A0}" cxnId="{172B69F2-50DD-45D8-8C8E-A93A7F92C8DA}" type="parTrans">
      <dgm:prSet/>
      <dgm:spPr/>
      <dgm:t>
        <a:bodyPr/>
        <a:p>
          <a:endParaRPr lang="zh-CN" altLang="en-US" sz="1400">
            <a:latin typeface="宋体" panose="02010600030101010101" charset="-122"/>
            <a:ea typeface="宋体" panose="02010600030101010101" charset="-122"/>
          </a:endParaRPr>
        </a:p>
      </dgm:t>
    </dgm:pt>
    <dgm:pt modelId="{02C15E6A-0BB3-4A79-907E-96CB30270D97}" cxnId="{172B69F2-50DD-45D8-8C8E-A93A7F92C8DA}" type="sibTrans">
      <dgm:prSet/>
      <dgm:spPr/>
      <dgm:t>
        <a:bodyPr/>
        <a:p>
          <a:endParaRPr lang="zh-CN" altLang="en-US" sz="1400">
            <a:latin typeface="宋体" panose="02010600030101010101" charset="-122"/>
            <a:ea typeface="宋体" panose="02010600030101010101" charset="-122"/>
          </a:endParaRPr>
        </a:p>
      </dgm:t>
    </dgm:pt>
    <dgm:pt modelId="{AD098786-7889-44F6-ADA0-35004D558A39}">
      <dgm:prSet phldrT="[文本]" custT="1"/>
      <dgm:spPr/>
      <dgm:t>
        <a:bodyPr/>
        <a:p>
          <a:r>
            <a:rPr lang="zh-CN" altLang="en-US" sz="1400">
              <a:latin typeface="宋体" panose="02010600030101010101" charset="-122"/>
              <a:ea typeface="宋体" panose="02010600030101010101" charset="-122"/>
            </a:rPr>
            <a:t>技术部</a:t>
          </a:r>
        </a:p>
      </dgm:t>
    </dgm:pt>
    <dgm:pt modelId="{9A1E5009-D024-48BB-B2E3-56DCAFE9D898}" cxnId="{82564E37-1F47-4881-AE3E-FD28803B2158}" type="parTrans">
      <dgm:prSet/>
      <dgm:spPr/>
      <dgm:t>
        <a:bodyPr/>
        <a:p>
          <a:endParaRPr lang="zh-CN" altLang="en-US" sz="1400">
            <a:latin typeface="宋体" panose="02010600030101010101" charset="-122"/>
            <a:ea typeface="宋体" panose="02010600030101010101" charset="-122"/>
          </a:endParaRPr>
        </a:p>
      </dgm:t>
    </dgm:pt>
    <dgm:pt modelId="{3009E459-53A3-46A2-AEA6-0333F235F464}" cxnId="{82564E37-1F47-4881-AE3E-FD28803B2158}" type="sibTrans">
      <dgm:prSet/>
      <dgm:spPr/>
      <dgm:t>
        <a:bodyPr/>
        <a:p>
          <a:endParaRPr lang="zh-CN" altLang="en-US" sz="1400">
            <a:latin typeface="宋体" panose="02010600030101010101" charset="-122"/>
            <a:ea typeface="宋体" panose="02010600030101010101" charset="-122"/>
          </a:endParaRPr>
        </a:p>
      </dgm:t>
    </dgm:pt>
    <dgm:pt modelId="{D2484FF1-8A18-453D-BE42-76D3F629A633}">
      <dgm:prSet custT="1"/>
      <dgm:spPr/>
      <dgm:t>
        <a:bodyPr/>
        <a:p>
          <a:r>
            <a:rPr lang="zh-CN" altLang="en-US" sz="1400">
              <a:latin typeface="宋体" panose="02010600030101010101" charset="-122"/>
              <a:ea typeface="宋体" panose="02010600030101010101" charset="-122"/>
            </a:rPr>
            <a:t>市场部</a:t>
          </a:r>
        </a:p>
      </dgm:t>
    </dgm:pt>
    <dgm:pt modelId="{12AD251C-1B1D-4D95-A251-FAB86E756234}" cxnId="{FED7DEA5-AF03-446C-A366-EDBEE0823483}" type="parTrans">
      <dgm:prSet/>
      <dgm:spPr/>
      <dgm:t>
        <a:bodyPr/>
        <a:p>
          <a:endParaRPr lang="zh-CN" altLang="en-US" sz="1400">
            <a:latin typeface="宋体" panose="02010600030101010101" charset="-122"/>
            <a:ea typeface="宋体" panose="02010600030101010101" charset="-122"/>
          </a:endParaRPr>
        </a:p>
      </dgm:t>
    </dgm:pt>
    <dgm:pt modelId="{69750EF3-FA0D-410C-9812-6539111E87F3}" cxnId="{FED7DEA5-AF03-446C-A366-EDBEE0823483}" type="sibTrans">
      <dgm:prSet/>
      <dgm:spPr/>
      <dgm:t>
        <a:bodyPr/>
        <a:p>
          <a:endParaRPr lang="zh-CN" altLang="en-US" sz="1400">
            <a:latin typeface="宋体" panose="02010600030101010101" charset="-122"/>
            <a:ea typeface="宋体" panose="02010600030101010101" charset="-122"/>
          </a:endParaRPr>
        </a:p>
      </dgm:t>
    </dgm:pt>
    <dgm:pt modelId="{1908F2E9-D09F-4C26-A608-EE499766C19C}">
      <dgm:prSet custT="1"/>
      <dgm:spPr/>
      <dgm:t>
        <a:bodyPr/>
        <a:p>
          <a:r>
            <a:rPr lang="zh-CN" altLang="en-US" sz="1400">
              <a:latin typeface="宋体" panose="02010600030101010101" charset="-122"/>
              <a:ea typeface="宋体" panose="02010600030101010101" charset="-122"/>
            </a:rPr>
            <a:t>行政部</a:t>
          </a:r>
        </a:p>
      </dgm:t>
    </dgm:pt>
    <dgm:pt modelId="{FCD35490-BCF0-4B54-BF31-44F322274A42}" cxnId="{2D989550-D562-4C45-99C4-3AF32377DF57}" type="parTrans">
      <dgm:prSet/>
      <dgm:spPr/>
      <dgm:t>
        <a:bodyPr/>
        <a:p>
          <a:endParaRPr lang="zh-CN" altLang="en-US" sz="1400">
            <a:latin typeface="宋体" panose="02010600030101010101" charset="-122"/>
            <a:ea typeface="宋体" panose="02010600030101010101" charset="-122"/>
          </a:endParaRPr>
        </a:p>
      </dgm:t>
    </dgm:pt>
    <dgm:pt modelId="{CFE3AE46-939B-4891-AAC8-7EF343F130F6}" cxnId="{2D989550-D562-4C45-99C4-3AF32377DF57}" type="sibTrans">
      <dgm:prSet/>
      <dgm:spPr/>
      <dgm:t>
        <a:bodyPr/>
        <a:p>
          <a:endParaRPr lang="zh-CN" altLang="en-US" sz="1400">
            <a:latin typeface="宋体" panose="02010600030101010101" charset="-122"/>
            <a:ea typeface="宋体" panose="02010600030101010101" charset="-122"/>
          </a:endParaRPr>
        </a:p>
      </dgm:t>
    </dgm:pt>
    <dgm:pt modelId="{16A2622F-A90B-4BF5-A300-00F407D8E385}" type="pres">
      <dgm:prSet presAssocID="{CA7FC2B9-3044-48E8-80FF-15278F9F222C}" presName="hierChild1" presStyleCnt="0">
        <dgm:presLayoutVars>
          <dgm:orgChart val="1"/>
          <dgm:chPref val="1"/>
          <dgm:dir/>
          <dgm:animOne val="branch"/>
          <dgm:animLvl val="lvl"/>
          <dgm:resizeHandles/>
        </dgm:presLayoutVars>
      </dgm:prSet>
      <dgm:spPr/>
      <dgm:t>
        <a:bodyPr/>
        <a:p>
          <a:endParaRPr lang="zh-CN" altLang="en-US"/>
        </a:p>
      </dgm:t>
    </dgm:pt>
    <dgm:pt modelId="{2256692C-897C-4503-B80B-1BA25695EDEF}" type="pres">
      <dgm:prSet presAssocID="{C5EBF2DA-4977-4CB2-AEAD-9F0E5AED86F7}" presName="hierRoot1" presStyleCnt="0">
        <dgm:presLayoutVars>
          <dgm:hierBranch val="init"/>
        </dgm:presLayoutVars>
      </dgm:prSet>
      <dgm:spPr/>
    </dgm:pt>
    <dgm:pt modelId="{F2506042-E22F-40C3-859E-0F96B88D8FEE}" type="pres">
      <dgm:prSet presAssocID="{C5EBF2DA-4977-4CB2-AEAD-9F0E5AED86F7}" presName="rootComposite1" presStyleCnt="0"/>
      <dgm:spPr/>
    </dgm:pt>
    <dgm:pt modelId="{595BE243-E147-4D5B-8084-34292B5DA898}" type="pres">
      <dgm:prSet presAssocID="{C5EBF2DA-4977-4CB2-AEAD-9F0E5AED86F7}" presName="rootText1" presStyleLbl="node0" presStyleIdx="0" presStyleCnt="1">
        <dgm:presLayoutVars>
          <dgm:chPref val="3"/>
        </dgm:presLayoutVars>
      </dgm:prSet>
      <dgm:spPr/>
      <dgm:t>
        <a:bodyPr/>
        <a:p>
          <a:endParaRPr lang="zh-CN" altLang="en-US"/>
        </a:p>
      </dgm:t>
    </dgm:pt>
    <dgm:pt modelId="{91B82F43-B72B-4A73-925E-A24066E861BB}" type="pres">
      <dgm:prSet presAssocID="{C5EBF2DA-4977-4CB2-AEAD-9F0E5AED86F7}" presName="rootConnector1" presStyleLbl="node1" presStyleIdx="0" presStyleCnt="0"/>
      <dgm:spPr/>
      <dgm:t>
        <a:bodyPr/>
        <a:p>
          <a:endParaRPr lang="zh-CN" altLang="en-US"/>
        </a:p>
      </dgm:t>
    </dgm:pt>
    <dgm:pt modelId="{6DC049EE-862B-4261-B074-084EDD026979}" type="pres">
      <dgm:prSet presAssocID="{C5EBF2DA-4977-4CB2-AEAD-9F0E5AED86F7}" presName="hierChild2" presStyleCnt="0"/>
      <dgm:spPr/>
    </dgm:pt>
    <dgm:pt modelId="{AF0D125E-7C21-413F-90B8-FF49CA94BA85}" type="pres">
      <dgm:prSet presAssocID="{1E6B5BBE-54BE-451D-A9A1-96D712BA40E2}" presName="Name37" presStyleLbl="parChTrans1D2" presStyleIdx="0" presStyleCnt="5"/>
      <dgm:spPr/>
      <dgm:t>
        <a:bodyPr/>
        <a:p>
          <a:endParaRPr lang="zh-CN" altLang="en-US"/>
        </a:p>
      </dgm:t>
    </dgm:pt>
    <dgm:pt modelId="{2DAB3144-D7ED-43CE-AA0A-68DA5DEB4509}" type="pres">
      <dgm:prSet presAssocID="{E7AE943B-4DAD-402D-BE5F-C2F37F7A7BAB}" presName="hierRoot2" presStyleCnt="0">
        <dgm:presLayoutVars>
          <dgm:hierBranch val="init"/>
        </dgm:presLayoutVars>
      </dgm:prSet>
      <dgm:spPr/>
    </dgm:pt>
    <dgm:pt modelId="{0A62EEE4-8294-4A8C-8CDA-C2C5F7F4FCB3}" type="pres">
      <dgm:prSet presAssocID="{E7AE943B-4DAD-402D-BE5F-C2F37F7A7BAB}" presName="rootComposite" presStyleCnt="0"/>
      <dgm:spPr/>
    </dgm:pt>
    <dgm:pt modelId="{785313B9-442E-4425-A7E2-E2828126962C}" type="pres">
      <dgm:prSet presAssocID="{E7AE943B-4DAD-402D-BE5F-C2F37F7A7BAB}" presName="rootText" presStyleLbl="node2" presStyleIdx="0" presStyleCnt="5">
        <dgm:presLayoutVars>
          <dgm:chPref val="3"/>
        </dgm:presLayoutVars>
      </dgm:prSet>
      <dgm:spPr/>
      <dgm:t>
        <a:bodyPr/>
        <a:p>
          <a:endParaRPr lang="zh-CN" altLang="en-US"/>
        </a:p>
      </dgm:t>
    </dgm:pt>
    <dgm:pt modelId="{D61B5CBE-0F53-411D-9CD8-4B8A0CD5F7BC}" type="pres">
      <dgm:prSet presAssocID="{E7AE943B-4DAD-402D-BE5F-C2F37F7A7BAB}" presName="rootConnector" presStyleLbl="node2" presStyleIdx="0" presStyleCnt="5"/>
      <dgm:spPr/>
      <dgm:t>
        <a:bodyPr/>
        <a:p>
          <a:endParaRPr lang="zh-CN" altLang="en-US"/>
        </a:p>
      </dgm:t>
    </dgm:pt>
    <dgm:pt modelId="{31B9D4F8-5E1A-46D2-85EE-A29356B5BD4C}" type="pres">
      <dgm:prSet presAssocID="{E7AE943B-4DAD-402D-BE5F-C2F37F7A7BAB}" presName="hierChild4" presStyleCnt="0"/>
      <dgm:spPr/>
    </dgm:pt>
    <dgm:pt modelId="{7311CA4B-6C37-4C85-B9F4-5BE3761BD0AF}" type="pres">
      <dgm:prSet presAssocID="{E7AE943B-4DAD-402D-BE5F-C2F37F7A7BAB}" presName="hierChild5" presStyleCnt="0"/>
      <dgm:spPr/>
    </dgm:pt>
    <dgm:pt modelId="{D10FB3FC-2A2B-4714-8B7A-5A344DE7307A}" type="pres">
      <dgm:prSet presAssocID="{E33B247E-FE62-4FA2-B96B-5D2BB65DE4A0}" presName="Name37" presStyleLbl="parChTrans1D2" presStyleIdx="1" presStyleCnt="5"/>
      <dgm:spPr/>
      <dgm:t>
        <a:bodyPr/>
        <a:p>
          <a:endParaRPr lang="zh-CN" altLang="en-US"/>
        </a:p>
      </dgm:t>
    </dgm:pt>
    <dgm:pt modelId="{EBB0A0D8-6BAB-4FEC-90F3-3A371BF0CBDA}" type="pres">
      <dgm:prSet presAssocID="{B3C0AAF4-AF9D-41FB-8DB6-C3C51D1A0A6F}" presName="hierRoot2" presStyleCnt="0">
        <dgm:presLayoutVars>
          <dgm:hierBranch val="init"/>
        </dgm:presLayoutVars>
      </dgm:prSet>
      <dgm:spPr/>
    </dgm:pt>
    <dgm:pt modelId="{577C933B-B91F-4208-A238-8301EC71D812}" type="pres">
      <dgm:prSet presAssocID="{B3C0AAF4-AF9D-41FB-8DB6-C3C51D1A0A6F}" presName="rootComposite" presStyleCnt="0"/>
      <dgm:spPr/>
    </dgm:pt>
    <dgm:pt modelId="{722C61DC-9C57-49BB-BB8E-145AECB35A9A}" type="pres">
      <dgm:prSet presAssocID="{B3C0AAF4-AF9D-41FB-8DB6-C3C51D1A0A6F}" presName="rootText" presStyleLbl="node2" presStyleIdx="1" presStyleCnt="5">
        <dgm:presLayoutVars>
          <dgm:chPref val="3"/>
        </dgm:presLayoutVars>
      </dgm:prSet>
      <dgm:spPr/>
      <dgm:t>
        <a:bodyPr/>
        <a:p>
          <a:endParaRPr lang="zh-CN" altLang="en-US"/>
        </a:p>
      </dgm:t>
    </dgm:pt>
    <dgm:pt modelId="{8C904DCA-F8A2-4721-B4BF-FAC1A1C9BDD9}" type="pres">
      <dgm:prSet presAssocID="{B3C0AAF4-AF9D-41FB-8DB6-C3C51D1A0A6F}" presName="rootConnector" presStyleLbl="node2" presStyleIdx="1" presStyleCnt="5"/>
      <dgm:spPr/>
      <dgm:t>
        <a:bodyPr/>
        <a:p>
          <a:endParaRPr lang="zh-CN" altLang="en-US"/>
        </a:p>
      </dgm:t>
    </dgm:pt>
    <dgm:pt modelId="{19D95B47-4D38-49BB-A7F4-19543D6BCDB2}" type="pres">
      <dgm:prSet presAssocID="{B3C0AAF4-AF9D-41FB-8DB6-C3C51D1A0A6F}" presName="hierChild4" presStyleCnt="0"/>
      <dgm:spPr/>
    </dgm:pt>
    <dgm:pt modelId="{98D4601E-C78F-45EB-8D82-CC7883B3E04E}" type="pres">
      <dgm:prSet presAssocID="{B3C0AAF4-AF9D-41FB-8DB6-C3C51D1A0A6F}" presName="hierChild5" presStyleCnt="0"/>
      <dgm:spPr/>
    </dgm:pt>
    <dgm:pt modelId="{A3B659FF-173F-44DD-A22B-F1EA2BF30242}" type="pres">
      <dgm:prSet presAssocID="{9A1E5009-D024-48BB-B2E3-56DCAFE9D898}" presName="Name37" presStyleLbl="parChTrans1D2" presStyleIdx="2" presStyleCnt="5"/>
      <dgm:spPr/>
      <dgm:t>
        <a:bodyPr/>
        <a:p>
          <a:endParaRPr lang="zh-CN" altLang="en-US"/>
        </a:p>
      </dgm:t>
    </dgm:pt>
    <dgm:pt modelId="{F39204BB-2AB2-4196-9D64-47D5AA20C072}" type="pres">
      <dgm:prSet presAssocID="{AD098786-7889-44F6-ADA0-35004D558A39}" presName="hierRoot2" presStyleCnt="0">
        <dgm:presLayoutVars>
          <dgm:hierBranch val="init"/>
        </dgm:presLayoutVars>
      </dgm:prSet>
      <dgm:spPr/>
    </dgm:pt>
    <dgm:pt modelId="{EDB808B9-7B72-4C30-8DD0-6027070DF41A}" type="pres">
      <dgm:prSet presAssocID="{AD098786-7889-44F6-ADA0-35004D558A39}" presName="rootComposite" presStyleCnt="0"/>
      <dgm:spPr/>
    </dgm:pt>
    <dgm:pt modelId="{4FF47110-EDE8-493A-A9A2-3F47D6225B8B}" type="pres">
      <dgm:prSet presAssocID="{AD098786-7889-44F6-ADA0-35004D558A39}" presName="rootText" presStyleLbl="node2" presStyleIdx="2" presStyleCnt="5">
        <dgm:presLayoutVars>
          <dgm:chPref val="3"/>
        </dgm:presLayoutVars>
      </dgm:prSet>
      <dgm:spPr/>
      <dgm:t>
        <a:bodyPr/>
        <a:p>
          <a:endParaRPr lang="zh-CN" altLang="en-US"/>
        </a:p>
      </dgm:t>
    </dgm:pt>
    <dgm:pt modelId="{CDC874DE-48FD-4F01-B3D6-E14BCE84DDCD}" type="pres">
      <dgm:prSet presAssocID="{AD098786-7889-44F6-ADA0-35004D558A39}" presName="rootConnector" presStyleLbl="node2" presStyleIdx="2" presStyleCnt="5"/>
      <dgm:spPr/>
      <dgm:t>
        <a:bodyPr/>
        <a:p>
          <a:endParaRPr lang="zh-CN" altLang="en-US"/>
        </a:p>
      </dgm:t>
    </dgm:pt>
    <dgm:pt modelId="{BE99B8C2-3CEC-4A93-B791-550AC3FB4338}" type="pres">
      <dgm:prSet presAssocID="{AD098786-7889-44F6-ADA0-35004D558A39}" presName="hierChild4" presStyleCnt="0"/>
      <dgm:spPr/>
    </dgm:pt>
    <dgm:pt modelId="{3DD2C66D-C3F4-4643-B6F5-A75FC5B56307}" type="pres">
      <dgm:prSet presAssocID="{AD098786-7889-44F6-ADA0-35004D558A39}" presName="hierChild5" presStyleCnt="0"/>
      <dgm:spPr/>
    </dgm:pt>
    <dgm:pt modelId="{59FE8C37-A67F-4515-88E6-F9FEE30037FF}" type="pres">
      <dgm:prSet presAssocID="{12AD251C-1B1D-4D95-A251-FAB86E756234}" presName="Name37" presStyleLbl="parChTrans1D2" presStyleIdx="3" presStyleCnt="5"/>
      <dgm:spPr/>
      <dgm:t>
        <a:bodyPr/>
        <a:p>
          <a:endParaRPr lang="zh-CN" altLang="en-US"/>
        </a:p>
      </dgm:t>
    </dgm:pt>
    <dgm:pt modelId="{122D61F7-2AAC-4E80-A854-DB177FD2F08D}" type="pres">
      <dgm:prSet presAssocID="{D2484FF1-8A18-453D-BE42-76D3F629A633}" presName="hierRoot2" presStyleCnt="0">
        <dgm:presLayoutVars>
          <dgm:hierBranch val="init"/>
        </dgm:presLayoutVars>
      </dgm:prSet>
      <dgm:spPr/>
    </dgm:pt>
    <dgm:pt modelId="{993B052B-08A2-4755-9C7E-9A215C4853AE}" type="pres">
      <dgm:prSet presAssocID="{D2484FF1-8A18-453D-BE42-76D3F629A633}" presName="rootComposite" presStyleCnt="0"/>
      <dgm:spPr/>
    </dgm:pt>
    <dgm:pt modelId="{C7464138-C336-4E46-BBBD-3249F169B7AE}" type="pres">
      <dgm:prSet presAssocID="{D2484FF1-8A18-453D-BE42-76D3F629A633}" presName="rootText" presStyleLbl="node2" presStyleIdx="3" presStyleCnt="5">
        <dgm:presLayoutVars>
          <dgm:chPref val="3"/>
        </dgm:presLayoutVars>
      </dgm:prSet>
      <dgm:spPr/>
      <dgm:t>
        <a:bodyPr/>
        <a:p>
          <a:endParaRPr lang="zh-CN" altLang="en-US"/>
        </a:p>
      </dgm:t>
    </dgm:pt>
    <dgm:pt modelId="{05503441-CDF6-4E52-9DEA-6C24BCA59EAA}" type="pres">
      <dgm:prSet presAssocID="{D2484FF1-8A18-453D-BE42-76D3F629A633}" presName="rootConnector" presStyleLbl="node2" presStyleIdx="3" presStyleCnt="5"/>
      <dgm:spPr/>
      <dgm:t>
        <a:bodyPr/>
        <a:p>
          <a:endParaRPr lang="zh-CN" altLang="en-US"/>
        </a:p>
      </dgm:t>
    </dgm:pt>
    <dgm:pt modelId="{5ED9F8CE-475D-47B8-8AC4-27B102FBD1EA}" type="pres">
      <dgm:prSet presAssocID="{D2484FF1-8A18-453D-BE42-76D3F629A633}" presName="hierChild4" presStyleCnt="0"/>
      <dgm:spPr/>
    </dgm:pt>
    <dgm:pt modelId="{556CE560-1A1B-4F68-9BA5-1E698756B821}" type="pres">
      <dgm:prSet presAssocID="{D2484FF1-8A18-453D-BE42-76D3F629A633}" presName="hierChild5" presStyleCnt="0"/>
      <dgm:spPr/>
    </dgm:pt>
    <dgm:pt modelId="{965144A6-4274-4775-BB4F-A949A4C4451D}" type="pres">
      <dgm:prSet presAssocID="{FCD35490-BCF0-4B54-BF31-44F322274A42}" presName="Name37" presStyleLbl="parChTrans1D2" presStyleIdx="4" presStyleCnt="5"/>
      <dgm:spPr/>
      <dgm:t>
        <a:bodyPr/>
        <a:p>
          <a:endParaRPr lang="zh-CN" altLang="en-US"/>
        </a:p>
      </dgm:t>
    </dgm:pt>
    <dgm:pt modelId="{3ECC9372-02E8-4E59-B5D0-0A4B7BB54E8D}" type="pres">
      <dgm:prSet presAssocID="{1908F2E9-D09F-4C26-A608-EE499766C19C}" presName="hierRoot2" presStyleCnt="0">
        <dgm:presLayoutVars>
          <dgm:hierBranch val="init"/>
        </dgm:presLayoutVars>
      </dgm:prSet>
      <dgm:spPr/>
    </dgm:pt>
    <dgm:pt modelId="{2276F6D7-2AC5-4309-8BA0-3582F3CFA2C5}" type="pres">
      <dgm:prSet presAssocID="{1908F2E9-D09F-4C26-A608-EE499766C19C}" presName="rootComposite" presStyleCnt="0"/>
      <dgm:spPr/>
    </dgm:pt>
    <dgm:pt modelId="{D4B23AA2-BE2A-4A5C-86A0-904294B421B6}" type="pres">
      <dgm:prSet presAssocID="{1908F2E9-D09F-4C26-A608-EE499766C19C}" presName="rootText" presStyleLbl="node2" presStyleIdx="4" presStyleCnt="5">
        <dgm:presLayoutVars>
          <dgm:chPref val="3"/>
        </dgm:presLayoutVars>
      </dgm:prSet>
      <dgm:spPr/>
      <dgm:t>
        <a:bodyPr/>
        <a:p>
          <a:endParaRPr lang="zh-CN" altLang="en-US"/>
        </a:p>
      </dgm:t>
    </dgm:pt>
    <dgm:pt modelId="{8BA4C0B8-28E9-4AE4-A70B-C297CF37DD80}" type="pres">
      <dgm:prSet presAssocID="{1908F2E9-D09F-4C26-A608-EE499766C19C}" presName="rootConnector" presStyleLbl="node2" presStyleIdx="4" presStyleCnt="5"/>
      <dgm:spPr/>
      <dgm:t>
        <a:bodyPr/>
        <a:p>
          <a:endParaRPr lang="zh-CN" altLang="en-US"/>
        </a:p>
      </dgm:t>
    </dgm:pt>
    <dgm:pt modelId="{70A48EDF-6D34-4E36-98DD-C1E47C912974}" type="pres">
      <dgm:prSet presAssocID="{1908F2E9-D09F-4C26-A608-EE499766C19C}" presName="hierChild4" presStyleCnt="0"/>
      <dgm:spPr/>
    </dgm:pt>
    <dgm:pt modelId="{B37EB5CD-D8F5-40DF-8F3C-DEDB54BE1516}" type="pres">
      <dgm:prSet presAssocID="{1908F2E9-D09F-4C26-A608-EE499766C19C}" presName="hierChild5" presStyleCnt="0"/>
      <dgm:spPr/>
    </dgm:pt>
    <dgm:pt modelId="{9D2DA1E7-F406-4F91-B4D6-7AF7C6859610}" type="pres">
      <dgm:prSet presAssocID="{C5EBF2DA-4977-4CB2-AEAD-9F0E5AED86F7}" presName="hierChild3" presStyleCnt="0"/>
      <dgm:spPr/>
    </dgm:pt>
  </dgm:ptLst>
  <dgm:cxnLst>
    <dgm:cxn modelId="{221C3B86-169D-414F-9D19-22CC45B8614A}" type="presOf" srcId="{1908F2E9-D09F-4C26-A608-EE499766C19C}" destId="{8BA4C0B8-28E9-4AE4-A70B-C297CF37DD80}" srcOrd="1" destOrd="0" presId="urn:microsoft.com/office/officeart/2005/8/layout/orgChart1"/>
    <dgm:cxn modelId="{4178833A-F8A4-4F20-87B4-EFC70C54B689}" type="presOf" srcId="{D2484FF1-8A18-453D-BE42-76D3F629A633}" destId="{05503441-CDF6-4E52-9DEA-6C24BCA59EAA}" srcOrd="1" destOrd="0" presId="urn:microsoft.com/office/officeart/2005/8/layout/orgChart1"/>
    <dgm:cxn modelId="{77ED3CFC-977A-4739-A14A-25DC4C27035A}" srcId="{CA7FC2B9-3044-48E8-80FF-15278F9F222C}" destId="{C5EBF2DA-4977-4CB2-AEAD-9F0E5AED86F7}" srcOrd="0" destOrd="0" parTransId="{BC19171D-1B74-44CF-9370-F4D4BA0BD73B}" sibTransId="{677F7153-F37B-4A74-B6D1-F00FFA1F89B0}"/>
    <dgm:cxn modelId="{D470EEDB-1598-4B22-BA8C-4BD19C83E958}" type="presOf" srcId="{C5EBF2DA-4977-4CB2-AEAD-9F0E5AED86F7}" destId="{91B82F43-B72B-4A73-925E-A24066E861BB}" srcOrd="1" destOrd="0" presId="urn:microsoft.com/office/officeart/2005/8/layout/orgChart1"/>
    <dgm:cxn modelId="{D51822A5-4035-40BC-B9C5-DDCB5C334399}" type="presOf" srcId="{AD098786-7889-44F6-ADA0-35004D558A39}" destId="{4FF47110-EDE8-493A-A9A2-3F47D6225B8B}" srcOrd="0" destOrd="0" presId="urn:microsoft.com/office/officeart/2005/8/layout/orgChart1"/>
    <dgm:cxn modelId="{4FB1181D-86B0-41B0-A1C8-F078497ADEF0}" type="presOf" srcId="{E7AE943B-4DAD-402D-BE5F-C2F37F7A7BAB}" destId="{785313B9-442E-4425-A7E2-E2828126962C}" srcOrd="0" destOrd="0" presId="urn:microsoft.com/office/officeart/2005/8/layout/orgChart1"/>
    <dgm:cxn modelId="{FF89628D-A9B8-436F-9DBB-78BA48774E4A}" type="presOf" srcId="{B3C0AAF4-AF9D-41FB-8DB6-C3C51D1A0A6F}" destId="{722C61DC-9C57-49BB-BB8E-145AECB35A9A}" srcOrd="0" destOrd="0" presId="urn:microsoft.com/office/officeart/2005/8/layout/orgChart1"/>
    <dgm:cxn modelId="{68F29880-078E-404B-911F-6EE4C74604C7}" srcId="{C5EBF2DA-4977-4CB2-AEAD-9F0E5AED86F7}" destId="{E7AE943B-4DAD-402D-BE5F-C2F37F7A7BAB}" srcOrd="0" destOrd="0" parTransId="{1E6B5BBE-54BE-451D-A9A1-96D712BA40E2}" sibTransId="{BB84DA29-39CF-4F8C-AABD-DA1B87E141D4}"/>
    <dgm:cxn modelId="{3B79F0D5-0C21-4D54-B8EB-F08095184350}" type="presOf" srcId="{D2484FF1-8A18-453D-BE42-76D3F629A633}" destId="{C7464138-C336-4E46-BBBD-3249F169B7AE}" srcOrd="0" destOrd="0" presId="urn:microsoft.com/office/officeart/2005/8/layout/orgChart1"/>
    <dgm:cxn modelId="{452C5FF1-3AA5-4DE6-AEA5-C52E997E0A40}" type="presOf" srcId="{1908F2E9-D09F-4C26-A608-EE499766C19C}" destId="{D4B23AA2-BE2A-4A5C-86A0-904294B421B6}" srcOrd="0" destOrd="0" presId="urn:microsoft.com/office/officeart/2005/8/layout/orgChart1"/>
    <dgm:cxn modelId="{82564E37-1F47-4881-AE3E-FD28803B2158}" srcId="{C5EBF2DA-4977-4CB2-AEAD-9F0E5AED86F7}" destId="{AD098786-7889-44F6-ADA0-35004D558A39}" srcOrd="2" destOrd="0" parTransId="{9A1E5009-D024-48BB-B2E3-56DCAFE9D898}" sibTransId="{3009E459-53A3-46A2-AEA6-0333F235F464}"/>
    <dgm:cxn modelId="{AB1DD886-558F-4196-9F0F-875DBFC91628}" type="presOf" srcId="{AD098786-7889-44F6-ADA0-35004D558A39}" destId="{CDC874DE-48FD-4F01-B3D6-E14BCE84DDCD}" srcOrd="1" destOrd="0" presId="urn:microsoft.com/office/officeart/2005/8/layout/orgChart1"/>
    <dgm:cxn modelId="{2D989550-D562-4C45-99C4-3AF32377DF57}" srcId="{C5EBF2DA-4977-4CB2-AEAD-9F0E5AED86F7}" destId="{1908F2E9-D09F-4C26-A608-EE499766C19C}" srcOrd="4" destOrd="0" parTransId="{FCD35490-BCF0-4B54-BF31-44F322274A42}" sibTransId="{CFE3AE46-939B-4891-AAC8-7EF343F130F6}"/>
    <dgm:cxn modelId="{FED7DEA5-AF03-446C-A366-EDBEE0823483}" srcId="{C5EBF2DA-4977-4CB2-AEAD-9F0E5AED86F7}" destId="{D2484FF1-8A18-453D-BE42-76D3F629A633}" srcOrd="3" destOrd="0" parTransId="{12AD251C-1B1D-4D95-A251-FAB86E756234}" sibTransId="{69750EF3-FA0D-410C-9812-6539111E87F3}"/>
    <dgm:cxn modelId="{8ADAD4B8-53FC-42C4-9689-08FDE1CA89E6}" type="presOf" srcId="{E7AE943B-4DAD-402D-BE5F-C2F37F7A7BAB}" destId="{D61B5CBE-0F53-411D-9CD8-4B8A0CD5F7BC}" srcOrd="1" destOrd="0" presId="urn:microsoft.com/office/officeart/2005/8/layout/orgChart1"/>
    <dgm:cxn modelId="{1986DFB8-B6A0-4193-AD36-6E5718CDD9F6}" type="presOf" srcId="{E33B247E-FE62-4FA2-B96B-5D2BB65DE4A0}" destId="{D10FB3FC-2A2B-4714-8B7A-5A344DE7307A}" srcOrd="0" destOrd="0" presId="urn:microsoft.com/office/officeart/2005/8/layout/orgChart1"/>
    <dgm:cxn modelId="{4BB1958C-B45A-4832-9E7D-4581B5B4A35C}" type="presOf" srcId="{C5EBF2DA-4977-4CB2-AEAD-9F0E5AED86F7}" destId="{595BE243-E147-4D5B-8084-34292B5DA898}" srcOrd="0" destOrd="0" presId="urn:microsoft.com/office/officeart/2005/8/layout/orgChart1"/>
    <dgm:cxn modelId="{596CA9F4-6211-4342-BAF0-205D3C1201EB}" type="presOf" srcId="{9A1E5009-D024-48BB-B2E3-56DCAFE9D898}" destId="{A3B659FF-173F-44DD-A22B-F1EA2BF30242}" srcOrd="0" destOrd="0" presId="urn:microsoft.com/office/officeart/2005/8/layout/orgChart1"/>
    <dgm:cxn modelId="{172B69F2-50DD-45D8-8C8E-A93A7F92C8DA}" srcId="{C5EBF2DA-4977-4CB2-AEAD-9F0E5AED86F7}" destId="{B3C0AAF4-AF9D-41FB-8DB6-C3C51D1A0A6F}" srcOrd="1" destOrd="0" parTransId="{E33B247E-FE62-4FA2-B96B-5D2BB65DE4A0}" sibTransId="{02C15E6A-0BB3-4A79-907E-96CB30270D97}"/>
    <dgm:cxn modelId="{FF6BF703-5C16-47EB-A16E-72AD692C0879}" type="presOf" srcId="{12AD251C-1B1D-4D95-A251-FAB86E756234}" destId="{59FE8C37-A67F-4515-88E6-F9FEE30037FF}" srcOrd="0" destOrd="0" presId="urn:microsoft.com/office/officeart/2005/8/layout/orgChart1"/>
    <dgm:cxn modelId="{B39CAC68-935C-4C5A-B467-2E81239F64D1}" type="presOf" srcId="{CA7FC2B9-3044-48E8-80FF-15278F9F222C}" destId="{16A2622F-A90B-4BF5-A300-00F407D8E385}" srcOrd="0" destOrd="0" presId="urn:microsoft.com/office/officeart/2005/8/layout/orgChart1"/>
    <dgm:cxn modelId="{8B2044A8-6EB5-4496-8237-3B44E94D6E4E}" type="presOf" srcId="{1E6B5BBE-54BE-451D-A9A1-96D712BA40E2}" destId="{AF0D125E-7C21-413F-90B8-FF49CA94BA85}" srcOrd="0" destOrd="0" presId="urn:microsoft.com/office/officeart/2005/8/layout/orgChart1"/>
    <dgm:cxn modelId="{E56747CA-B2DD-49C3-92F7-52547F6649A5}" type="presOf" srcId="{B3C0AAF4-AF9D-41FB-8DB6-C3C51D1A0A6F}" destId="{8C904DCA-F8A2-4721-B4BF-FAC1A1C9BDD9}" srcOrd="1" destOrd="0" presId="urn:microsoft.com/office/officeart/2005/8/layout/orgChart1"/>
    <dgm:cxn modelId="{8AEFA87B-ABF5-4AE8-B2F2-4214804117BC}" type="presOf" srcId="{FCD35490-BCF0-4B54-BF31-44F322274A42}" destId="{965144A6-4274-4775-BB4F-A949A4C4451D}" srcOrd="0" destOrd="0" presId="urn:microsoft.com/office/officeart/2005/8/layout/orgChart1"/>
    <dgm:cxn modelId="{92500DD1-7CDD-46E7-9D36-3AE1638F6AC9}" type="presParOf" srcId="{16A2622F-A90B-4BF5-A300-00F407D8E385}" destId="{2256692C-897C-4503-B80B-1BA25695EDEF}" srcOrd="0" destOrd="0" presId="urn:microsoft.com/office/officeart/2005/8/layout/orgChart1"/>
    <dgm:cxn modelId="{5E0BEEF1-36F1-4087-8150-6B3E32072888}" type="presParOf" srcId="{2256692C-897C-4503-B80B-1BA25695EDEF}" destId="{F2506042-E22F-40C3-859E-0F96B88D8FEE}" srcOrd="0" destOrd="0" presId="urn:microsoft.com/office/officeart/2005/8/layout/orgChart1"/>
    <dgm:cxn modelId="{4B3802C6-DDB3-47DE-903D-D2818004C93D}" type="presParOf" srcId="{F2506042-E22F-40C3-859E-0F96B88D8FEE}" destId="{595BE243-E147-4D5B-8084-34292B5DA898}" srcOrd="0" destOrd="0" presId="urn:microsoft.com/office/officeart/2005/8/layout/orgChart1"/>
    <dgm:cxn modelId="{DF20551E-ED6A-49F3-AFDF-B1224905CBF4}" type="presParOf" srcId="{F2506042-E22F-40C3-859E-0F96B88D8FEE}" destId="{91B82F43-B72B-4A73-925E-A24066E861BB}" srcOrd="1" destOrd="0" presId="urn:microsoft.com/office/officeart/2005/8/layout/orgChart1"/>
    <dgm:cxn modelId="{D3F8D24B-A559-4F15-B64F-8A834FCCF764}" type="presParOf" srcId="{2256692C-897C-4503-B80B-1BA25695EDEF}" destId="{6DC049EE-862B-4261-B074-084EDD026979}" srcOrd="1" destOrd="0" presId="urn:microsoft.com/office/officeart/2005/8/layout/orgChart1"/>
    <dgm:cxn modelId="{65CF2276-C625-47AD-A908-28CF07474E68}" type="presParOf" srcId="{6DC049EE-862B-4261-B074-084EDD026979}" destId="{AF0D125E-7C21-413F-90B8-FF49CA94BA85}" srcOrd="0" destOrd="0" presId="urn:microsoft.com/office/officeart/2005/8/layout/orgChart1"/>
    <dgm:cxn modelId="{BC830702-62D3-4404-A295-50098AB25A4B}" type="presParOf" srcId="{6DC049EE-862B-4261-B074-084EDD026979}" destId="{2DAB3144-D7ED-43CE-AA0A-68DA5DEB4509}" srcOrd="1" destOrd="0" presId="urn:microsoft.com/office/officeart/2005/8/layout/orgChart1"/>
    <dgm:cxn modelId="{83A45CFC-9473-439E-AB14-C19589E27D28}" type="presParOf" srcId="{2DAB3144-D7ED-43CE-AA0A-68DA5DEB4509}" destId="{0A62EEE4-8294-4A8C-8CDA-C2C5F7F4FCB3}" srcOrd="0" destOrd="0" presId="urn:microsoft.com/office/officeart/2005/8/layout/orgChart1"/>
    <dgm:cxn modelId="{CC06EAEF-63C8-4A3F-81DE-FA4F25C41D56}" type="presParOf" srcId="{0A62EEE4-8294-4A8C-8CDA-C2C5F7F4FCB3}" destId="{785313B9-442E-4425-A7E2-E2828126962C}" srcOrd="0" destOrd="0" presId="urn:microsoft.com/office/officeart/2005/8/layout/orgChart1"/>
    <dgm:cxn modelId="{609AA679-10AB-497F-8707-A9EF20F97169}" type="presParOf" srcId="{0A62EEE4-8294-4A8C-8CDA-C2C5F7F4FCB3}" destId="{D61B5CBE-0F53-411D-9CD8-4B8A0CD5F7BC}" srcOrd="1" destOrd="0" presId="urn:microsoft.com/office/officeart/2005/8/layout/orgChart1"/>
    <dgm:cxn modelId="{8D258054-0DD3-4F04-BAB5-E46B915FEB6E}" type="presParOf" srcId="{2DAB3144-D7ED-43CE-AA0A-68DA5DEB4509}" destId="{31B9D4F8-5E1A-46D2-85EE-A29356B5BD4C}" srcOrd="1" destOrd="0" presId="urn:microsoft.com/office/officeart/2005/8/layout/orgChart1"/>
    <dgm:cxn modelId="{7D89E26B-0C14-4B84-9BAE-1AE489985160}" type="presParOf" srcId="{2DAB3144-D7ED-43CE-AA0A-68DA5DEB4509}" destId="{7311CA4B-6C37-4C85-B9F4-5BE3761BD0AF}" srcOrd="2" destOrd="0" presId="urn:microsoft.com/office/officeart/2005/8/layout/orgChart1"/>
    <dgm:cxn modelId="{2ED1FFA3-E013-4099-88A7-A879D9284254}" type="presParOf" srcId="{6DC049EE-862B-4261-B074-084EDD026979}" destId="{D10FB3FC-2A2B-4714-8B7A-5A344DE7307A}" srcOrd="2" destOrd="0" presId="urn:microsoft.com/office/officeart/2005/8/layout/orgChart1"/>
    <dgm:cxn modelId="{27AC44D3-A6DC-4DFD-8161-469CD8D1FDA6}" type="presParOf" srcId="{6DC049EE-862B-4261-B074-084EDD026979}" destId="{EBB0A0D8-6BAB-4FEC-90F3-3A371BF0CBDA}" srcOrd="3" destOrd="0" presId="urn:microsoft.com/office/officeart/2005/8/layout/orgChart1"/>
    <dgm:cxn modelId="{FAD1CCA1-A285-47E4-93F2-7D372A4564B2}" type="presParOf" srcId="{EBB0A0D8-6BAB-4FEC-90F3-3A371BF0CBDA}" destId="{577C933B-B91F-4208-A238-8301EC71D812}" srcOrd="0" destOrd="0" presId="urn:microsoft.com/office/officeart/2005/8/layout/orgChart1"/>
    <dgm:cxn modelId="{FDBD4DE1-2C0E-471B-8EB5-9AAE0B8E8CC2}" type="presParOf" srcId="{577C933B-B91F-4208-A238-8301EC71D812}" destId="{722C61DC-9C57-49BB-BB8E-145AECB35A9A}" srcOrd="0" destOrd="0" presId="urn:microsoft.com/office/officeart/2005/8/layout/orgChart1"/>
    <dgm:cxn modelId="{4F7DC36B-3872-4E34-AAE8-107FDB68B859}" type="presParOf" srcId="{577C933B-B91F-4208-A238-8301EC71D812}" destId="{8C904DCA-F8A2-4721-B4BF-FAC1A1C9BDD9}" srcOrd="1" destOrd="0" presId="urn:microsoft.com/office/officeart/2005/8/layout/orgChart1"/>
    <dgm:cxn modelId="{28210A69-FD59-4E27-AA40-6E0C565CBAB6}" type="presParOf" srcId="{EBB0A0D8-6BAB-4FEC-90F3-3A371BF0CBDA}" destId="{19D95B47-4D38-49BB-A7F4-19543D6BCDB2}" srcOrd="1" destOrd="0" presId="urn:microsoft.com/office/officeart/2005/8/layout/orgChart1"/>
    <dgm:cxn modelId="{60A2A124-F69B-443A-BC14-53236EE804BE}" type="presParOf" srcId="{EBB0A0D8-6BAB-4FEC-90F3-3A371BF0CBDA}" destId="{98D4601E-C78F-45EB-8D82-CC7883B3E04E}" srcOrd="2" destOrd="0" presId="urn:microsoft.com/office/officeart/2005/8/layout/orgChart1"/>
    <dgm:cxn modelId="{2E86E58B-C1BE-4E16-A595-FEE50E986EA8}" type="presParOf" srcId="{6DC049EE-862B-4261-B074-084EDD026979}" destId="{A3B659FF-173F-44DD-A22B-F1EA2BF30242}" srcOrd="4" destOrd="0" presId="urn:microsoft.com/office/officeart/2005/8/layout/orgChart1"/>
    <dgm:cxn modelId="{87373E64-9F38-4C88-B121-C6F262208586}" type="presParOf" srcId="{6DC049EE-862B-4261-B074-084EDD026979}" destId="{F39204BB-2AB2-4196-9D64-47D5AA20C072}" srcOrd="5" destOrd="0" presId="urn:microsoft.com/office/officeart/2005/8/layout/orgChart1"/>
    <dgm:cxn modelId="{A2CD0839-2F25-4A0B-B139-1D179D9A9CE7}" type="presParOf" srcId="{F39204BB-2AB2-4196-9D64-47D5AA20C072}" destId="{EDB808B9-7B72-4C30-8DD0-6027070DF41A}" srcOrd="0" destOrd="0" presId="urn:microsoft.com/office/officeart/2005/8/layout/orgChart1"/>
    <dgm:cxn modelId="{B792AC22-41C9-491D-8904-1D1FAC238D97}" type="presParOf" srcId="{EDB808B9-7B72-4C30-8DD0-6027070DF41A}" destId="{4FF47110-EDE8-493A-A9A2-3F47D6225B8B}" srcOrd="0" destOrd="0" presId="urn:microsoft.com/office/officeart/2005/8/layout/orgChart1"/>
    <dgm:cxn modelId="{A116422A-5939-4C27-8FDE-939F85FD8C84}" type="presParOf" srcId="{EDB808B9-7B72-4C30-8DD0-6027070DF41A}" destId="{CDC874DE-48FD-4F01-B3D6-E14BCE84DDCD}" srcOrd="1" destOrd="0" presId="urn:microsoft.com/office/officeart/2005/8/layout/orgChart1"/>
    <dgm:cxn modelId="{5D6A3D98-1061-4398-BCF1-AF0F220DDCAA}" type="presParOf" srcId="{F39204BB-2AB2-4196-9D64-47D5AA20C072}" destId="{BE99B8C2-3CEC-4A93-B791-550AC3FB4338}" srcOrd="1" destOrd="0" presId="urn:microsoft.com/office/officeart/2005/8/layout/orgChart1"/>
    <dgm:cxn modelId="{7AFDB624-347B-4459-8AE0-911AEB0C5B42}" type="presParOf" srcId="{F39204BB-2AB2-4196-9D64-47D5AA20C072}" destId="{3DD2C66D-C3F4-4643-B6F5-A75FC5B56307}" srcOrd="2" destOrd="0" presId="urn:microsoft.com/office/officeart/2005/8/layout/orgChart1"/>
    <dgm:cxn modelId="{B1169C89-7C5A-4416-A377-B8E01B913572}" type="presParOf" srcId="{6DC049EE-862B-4261-B074-084EDD026979}" destId="{59FE8C37-A67F-4515-88E6-F9FEE30037FF}" srcOrd="6" destOrd="0" presId="urn:microsoft.com/office/officeart/2005/8/layout/orgChart1"/>
    <dgm:cxn modelId="{6BFC1A15-B8CE-4157-A204-D7265DB1842A}" type="presParOf" srcId="{6DC049EE-862B-4261-B074-084EDD026979}" destId="{122D61F7-2AAC-4E80-A854-DB177FD2F08D}" srcOrd="7" destOrd="0" presId="urn:microsoft.com/office/officeart/2005/8/layout/orgChart1"/>
    <dgm:cxn modelId="{998C61F4-C586-44D4-83A5-38FF4F420AC5}" type="presParOf" srcId="{122D61F7-2AAC-4E80-A854-DB177FD2F08D}" destId="{993B052B-08A2-4755-9C7E-9A215C4853AE}" srcOrd="0" destOrd="0" presId="urn:microsoft.com/office/officeart/2005/8/layout/orgChart1"/>
    <dgm:cxn modelId="{D742A955-24A0-4521-8B37-5D3F3C94C578}" type="presParOf" srcId="{993B052B-08A2-4755-9C7E-9A215C4853AE}" destId="{C7464138-C336-4E46-BBBD-3249F169B7AE}" srcOrd="0" destOrd="0" presId="urn:microsoft.com/office/officeart/2005/8/layout/orgChart1"/>
    <dgm:cxn modelId="{31893481-2C0B-4A6C-9BAE-88D069D47DD3}" type="presParOf" srcId="{993B052B-08A2-4755-9C7E-9A215C4853AE}" destId="{05503441-CDF6-4E52-9DEA-6C24BCA59EAA}" srcOrd="1" destOrd="0" presId="urn:microsoft.com/office/officeart/2005/8/layout/orgChart1"/>
    <dgm:cxn modelId="{3C4C8716-3257-4CCD-BD72-7E9344F6B754}" type="presParOf" srcId="{122D61F7-2AAC-4E80-A854-DB177FD2F08D}" destId="{5ED9F8CE-475D-47B8-8AC4-27B102FBD1EA}" srcOrd="1" destOrd="0" presId="urn:microsoft.com/office/officeart/2005/8/layout/orgChart1"/>
    <dgm:cxn modelId="{B1231E03-E8BA-4A76-8D38-4779F057ACB7}" type="presParOf" srcId="{122D61F7-2AAC-4E80-A854-DB177FD2F08D}" destId="{556CE560-1A1B-4F68-9BA5-1E698756B821}" srcOrd="2" destOrd="0" presId="urn:microsoft.com/office/officeart/2005/8/layout/orgChart1"/>
    <dgm:cxn modelId="{1618F6A5-E554-4545-8C40-D35DE6306937}" type="presParOf" srcId="{6DC049EE-862B-4261-B074-084EDD026979}" destId="{965144A6-4274-4775-BB4F-A949A4C4451D}" srcOrd="8" destOrd="0" presId="urn:microsoft.com/office/officeart/2005/8/layout/orgChart1"/>
    <dgm:cxn modelId="{C03C0243-6D9F-4625-BF71-777991D96147}" type="presParOf" srcId="{6DC049EE-862B-4261-B074-084EDD026979}" destId="{3ECC9372-02E8-4E59-B5D0-0A4B7BB54E8D}" srcOrd="9" destOrd="0" presId="urn:microsoft.com/office/officeart/2005/8/layout/orgChart1"/>
    <dgm:cxn modelId="{B81BA8D2-03D1-4839-8E7D-170223D6E28E}" type="presParOf" srcId="{3ECC9372-02E8-4E59-B5D0-0A4B7BB54E8D}" destId="{2276F6D7-2AC5-4309-8BA0-3582F3CFA2C5}" srcOrd="0" destOrd="0" presId="urn:microsoft.com/office/officeart/2005/8/layout/orgChart1"/>
    <dgm:cxn modelId="{95BBEE2A-13E1-47D5-988A-7E6C927517B9}" type="presParOf" srcId="{2276F6D7-2AC5-4309-8BA0-3582F3CFA2C5}" destId="{D4B23AA2-BE2A-4A5C-86A0-904294B421B6}" srcOrd="0" destOrd="0" presId="urn:microsoft.com/office/officeart/2005/8/layout/orgChart1"/>
    <dgm:cxn modelId="{0B7CB3F6-0969-49B8-B14C-CCA782294D85}" type="presParOf" srcId="{2276F6D7-2AC5-4309-8BA0-3582F3CFA2C5}" destId="{8BA4C0B8-28E9-4AE4-A70B-C297CF37DD80}" srcOrd="1" destOrd="0" presId="urn:microsoft.com/office/officeart/2005/8/layout/orgChart1"/>
    <dgm:cxn modelId="{7483F65E-3BE8-4763-87E7-081063F3D344}" type="presParOf" srcId="{3ECC9372-02E8-4E59-B5D0-0A4B7BB54E8D}" destId="{70A48EDF-6D34-4E36-98DD-C1E47C912974}" srcOrd="1" destOrd="0" presId="urn:microsoft.com/office/officeart/2005/8/layout/orgChart1"/>
    <dgm:cxn modelId="{96CB83EA-D706-4F2C-B8DC-4D1CC450DE0A}" type="presParOf" srcId="{3ECC9372-02E8-4E59-B5D0-0A4B7BB54E8D}" destId="{B37EB5CD-D8F5-40DF-8F3C-DEDB54BE1516}" srcOrd="2" destOrd="0" presId="urn:microsoft.com/office/officeart/2005/8/layout/orgChart1"/>
    <dgm:cxn modelId="{5E686486-3E86-48FD-8AD6-9C5EE6BB6F01}" type="presParOf" srcId="{2256692C-897C-4503-B80B-1BA25695EDEF}" destId="{9D2DA1E7-F406-4F91-B4D6-7AF7C6859610}"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31CB85D-65EE-4A78-BDF7-1A35E6B97BB3}" type="doc">
      <dgm:prSet loTypeId="urn:microsoft.com/office/officeart/2005/8/layout/hierarchy1" loCatId="hierarchy" qsTypeId="urn:microsoft.com/office/officeart/2005/8/quickstyle/simple5#1" qsCatId="simple" csTypeId="urn:microsoft.com/office/officeart/2005/8/colors/colorful4#1" csCatId="colorful" phldr="1"/>
      <dgm:spPr/>
      <dgm:t>
        <a:bodyPr/>
        <a:p>
          <a:endParaRPr lang="zh-CN" altLang="en-US"/>
        </a:p>
      </dgm:t>
    </dgm:pt>
    <dgm:pt modelId="{23BF293F-69F2-4A66-B299-1987B44E0B76}">
      <dgm:prSet phldrT="[文本]" custT="1"/>
      <dgm:spPr>
        <a:xfrm>
          <a:off x="2978950" y="591973"/>
          <a:ext cx="940459" cy="597191"/>
        </a:xfrm>
        <a:solidFill>
          <a:sysClr val="window" lastClr="FFFFFF">
            <a:alpha val="90000"/>
            <a:hueOff val="0"/>
            <a:satOff val="0"/>
            <a:lumOff val="0"/>
            <a:alphaOff val="0"/>
          </a:sysClr>
        </a:solidFill>
        <a:ln w="9525" cap="flat" cmpd="sng" algn="ctr">
          <a:solidFill>
            <a:srgbClr val="9BBB59">
              <a:hueOff val="0"/>
              <a:satOff val="0"/>
              <a:lumOff val="0"/>
              <a:alphaOff val="0"/>
            </a:srgbClr>
          </a:solidFill>
          <a:prstDash val="solid"/>
        </a:ln>
        <a:effectLst>
          <a:outerShdw blurRad="40000" dist="23000" dir="5400000" rotWithShape="0">
            <a:srgbClr val="000000">
              <a:alpha val="35000"/>
            </a:srgbClr>
          </a:outerShdw>
        </a:effectLst>
      </dgm:spPr>
      <dgm:t>
        <a:bodyPr/>
        <a:p>
          <a:r>
            <a:rPr lang="zh-CN" altLang="en-US" sz="1000">
              <a:solidFill>
                <a:sysClr val="windowText" lastClr="000000">
                  <a:hueOff val="0"/>
                  <a:satOff val="0"/>
                  <a:lumOff val="0"/>
                  <a:alphaOff val="0"/>
                </a:sysClr>
              </a:solidFill>
              <a:latin typeface="宋体" panose="02010600030101010101" charset="-122"/>
              <a:ea typeface="宋体" panose="02010600030101010101" charset="-122"/>
              <a:cs typeface="+mn-cs"/>
            </a:rPr>
            <a:t>主要风险</a:t>
          </a:r>
        </a:p>
      </dgm:t>
    </dgm:pt>
    <dgm:pt modelId="{EAB3AABE-905B-490B-8B36-A8CD673A7163}" cxnId="{352E5A53-95E8-46B5-ABE3-0E9DA2D5F7B3}" type="parTrans">
      <dgm:prSet/>
      <dgm:spPr/>
      <dgm:t>
        <a:bodyPr/>
        <a:p>
          <a:endParaRPr lang="zh-CN" altLang="en-US" sz="1000">
            <a:latin typeface="宋体" panose="02010600030101010101" charset="-122"/>
            <a:ea typeface="宋体" panose="02010600030101010101" charset="-122"/>
          </a:endParaRPr>
        </a:p>
      </dgm:t>
    </dgm:pt>
    <dgm:pt modelId="{F0E2BE00-4CD7-4F2C-85B1-7C033265B524}" cxnId="{352E5A53-95E8-46B5-ABE3-0E9DA2D5F7B3}" type="sibTrans">
      <dgm:prSet/>
      <dgm:spPr/>
      <dgm:t>
        <a:bodyPr/>
        <a:p>
          <a:endParaRPr lang="zh-CN" altLang="en-US" sz="1000">
            <a:latin typeface="宋体" panose="02010600030101010101" charset="-122"/>
            <a:ea typeface="宋体" panose="02010600030101010101" charset="-122"/>
          </a:endParaRPr>
        </a:p>
      </dgm:t>
    </dgm:pt>
    <dgm:pt modelId="{80CC065D-ABED-4B0F-AE88-483E3A0F0CB5}">
      <dgm:prSet phldrT="[文本]" custT="1"/>
      <dgm:spPr>
        <a:xfrm>
          <a:off x="680049" y="1462682"/>
          <a:ext cx="940459" cy="597191"/>
        </a:xfrm>
        <a:solidFill>
          <a:sysClr val="window" lastClr="FFFFFF">
            <a:alpha val="90000"/>
            <a:hueOff val="0"/>
            <a:satOff val="0"/>
            <a:lumOff val="0"/>
            <a:alphaOff val="0"/>
          </a:sysClr>
        </a:solidFill>
        <a:ln w="9525" cap="flat" cmpd="sng" algn="ctr">
          <a:solidFill>
            <a:srgbClr val="4BACC6">
              <a:hueOff val="0"/>
              <a:satOff val="0"/>
              <a:lumOff val="0"/>
              <a:alphaOff val="0"/>
            </a:srgbClr>
          </a:solidFill>
          <a:prstDash val="solid"/>
        </a:ln>
        <a:effectLst>
          <a:outerShdw blurRad="40000" dist="23000" dir="5400000" rotWithShape="0">
            <a:srgbClr val="000000">
              <a:alpha val="35000"/>
            </a:srgbClr>
          </a:outerShdw>
        </a:effectLst>
      </dgm:spPr>
      <dgm:t>
        <a:bodyPr/>
        <a:p>
          <a:r>
            <a:rPr lang="zh-CN" altLang="en-US" sz="1000">
              <a:solidFill>
                <a:sysClr val="windowText" lastClr="000000">
                  <a:hueOff val="0"/>
                  <a:satOff val="0"/>
                  <a:lumOff val="0"/>
                  <a:alphaOff val="0"/>
                </a:sysClr>
              </a:solidFill>
              <a:latin typeface="宋体" panose="02010600030101010101" charset="-122"/>
              <a:ea typeface="宋体" panose="02010600030101010101" charset="-122"/>
              <a:cs typeface="+mn-cs"/>
            </a:rPr>
            <a:t>国家政策风险</a:t>
          </a:r>
        </a:p>
      </dgm:t>
    </dgm:pt>
    <dgm:pt modelId="{9F467152-81FF-4E4D-A027-B1DA045AF6EF}" cxnId="{48B13086-DE11-426C-A4DF-CDE4F2323F89}" type="parTrans">
      <dgm:prSet/>
      <dgm:spPr>
        <a:xfrm>
          <a:off x="1045784" y="1089894"/>
          <a:ext cx="2298900" cy="273516"/>
        </a:xfrm>
        <a:noFill/>
        <a:ln w="25400" cap="flat" cmpd="sng" algn="ctr">
          <a:solidFill>
            <a:srgbClr val="4BACC6">
              <a:hueOff val="0"/>
              <a:satOff val="0"/>
              <a:lumOff val="0"/>
              <a:alphaOff val="0"/>
            </a:srgbClr>
          </a:solidFill>
          <a:prstDash val="solid"/>
        </a:ln>
        <a:effectLst/>
      </dgm:spPr>
      <dgm:t>
        <a:bodyPr/>
        <a:p>
          <a:endParaRPr lang="zh-CN" altLang="en-US" sz="1000">
            <a:latin typeface="宋体" panose="02010600030101010101" charset="-122"/>
            <a:ea typeface="宋体" panose="02010600030101010101" charset="-122"/>
          </a:endParaRPr>
        </a:p>
      </dgm:t>
    </dgm:pt>
    <dgm:pt modelId="{931DB435-E23F-4A5A-8637-19F102E1F2DB}" cxnId="{48B13086-DE11-426C-A4DF-CDE4F2323F89}" type="sibTrans">
      <dgm:prSet/>
      <dgm:spPr/>
      <dgm:t>
        <a:bodyPr/>
        <a:p>
          <a:endParaRPr lang="zh-CN" altLang="en-US" sz="1000">
            <a:latin typeface="宋体" panose="02010600030101010101" charset="-122"/>
            <a:ea typeface="宋体" panose="02010600030101010101" charset="-122"/>
          </a:endParaRPr>
        </a:p>
      </dgm:t>
    </dgm:pt>
    <dgm:pt modelId="{2F2357FC-4CA5-450D-9DE3-74124546635D}">
      <dgm:prSet phldrT="[文本]" custT="1"/>
      <dgm:spPr>
        <a:xfrm>
          <a:off x="2978950" y="1462682"/>
          <a:ext cx="940459" cy="597191"/>
        </a:xfrm>
        <a:solidFill>
          <a:sysClr val="window" lastClr="FFFFFF">
            <a:alpha val="90000"/>
            <a:hueOff val="0"/>
            <a:satOff val="0"/>
            <a:lumOff val="0"/>
            <a:alphaOff val="0"/>
          </a:sysClr>
        </a:solidFill>
        <a:ln w="9525" cap="flat" cmpd="sng" algn="ctr">
          <a:solidFill>
            <a:srgbClr val="4BACC6">
              <a:hueOff val="0"/>
              <a:satOff val="0"/>
              <a:lumOff val="0"/>
              <a:alphaOff val="0"/>
            </a:srgbClr>
          </a:solidFill>
          <a:prstDash val="solid"/>
        </a:ln>
        <a:effectLst>
          <a:outerShdw blurRad="40000" dist="23000" dir="5400000" rotWithShape="0">
            <a:srgbClr val="000000">
              <a:alpha val="35000"/>
            </a:srgbClr>
          </a:outerShdw>
        </a:effectLst>
      </dgm:spPr>
      <dgm:t>
        <a:bodyPr/>
        <a:p>
          <a:r>
            <a:rPr lang="zh-CN" altLang="en-US" sz="1000">
              <a:solidFill>
                <a:sysClr val="windowText" lastClr="000000">
                  <a:hueOff val="0"/>
                  <a:satOff val="0"/>
                  <a:lumOff val="0"/>
                  <a:alphaOff val="0"/>
                </a:sysClr>
              </a:solidFill>
              <a:latin typeface="宋体" panose="02010600030101010101" charset="-122"/>
              <a:ea typeface="宋体" panose="02010600030101010101" charset="-122"/>
              <a:cs typeface="+mn-cs"/>
            </a:rPr>
            <a:t>医疗安全风险</a:t>
          </a:r>
        </a:p>
      </dgm:t>
    </dgm:pt>
    <dgm:pt modelId="{150D073C-199E-4804-B349-F26A252D7663}" cxnId="{31E7713A-A4FD-4319-9362-A25FABFC3160}" type="parTrans">
      <dgm:prSet/>
      <dgm:spPr>
        <a:xfrm>
          <a:off x="3298964" y="1089894"/>
          <a:ext cx="91440" cy="273516"/>
        </a:xfrm>
        <a:noFill/>
        <a:ln w="25400" cap="flat" cmpd="sng" algn="ctr">
          <a:solidFill>
            <a:srgbClr val="4BACC6">
              <a:hueOff val="0"/>
              <a:satOff val="0"/>
              <a:lumOff val="0"/>
              <a:alphaOff val="0"/>
            </a:srgbClr>
          </a:solidFill>
          <a:prstDash val="solid"/>
        </a:ln>
        <a:effectLst/>
      </dgm:spPr>
      <dgm:t>
        <a:bodyPr/>
        <a:p>
          <a:endParaRPr lang="zh-CN" altLang="en-US" sz="1000">
            <a:latin typeface="宋体" panose="02010600030101010101" charset="-122"/>
            <a:ea typeface="宋体" panose="02010600030101010101" charset="-122"/>
          </a:endParaRPr>
        </a:p>
      </dgm:t>
    </dgm:pt>
    <dgm:pt modelId="{755B17E5-7340-4619-B46E-2EEBA689B48B}" cxnId="{31E7713A-A4FD-4319-9362-A25FABFC3160}" type="sibTrans">
      <dgm:prSet/>
      <dgm:spPr/>
      <dgm:t>
        <a:bodyPr/>
        <a:p>
          <a:endParaRPr lang="zh-CN" altLang="en-US" sz="1000">
            <a:latin typeface="宋体" panose="02010600030101010101" charset="-122"/>
            <a:ea typeface="宋体" panose="02010600030101010101" charset="-122"/>
          </a:endParaRPr>
        </a:p>
      </dgm:t>
    </dgm:pt>
    <dgm:pt modelId="{8784394A-36B1-4BFC-BB25-4BFEB3F99D73}">
      <dgm:prSet phldrT="[文本]" custT="1"/>
      <dgm:spPr>
        <a:xfrm>
          <a:off x="5277851" y="1462682"/>
          <a:ext cx="940459" cy="597191"/>
        </a:xfrm>
        <a:solidFill>
          <a:sysClr val="window" lastClr="FFFFFF">
            <a:alpha val="90000"/>
            <a:hueOff val="0"/>
            <a:satOff val="0"/>
            <a:lumOff val="0"/>
            <a:alphaOff val="0"/>
          </a:sysClr>
        </a:solidFill>
        <a:ln w="9525" cap="flat" cmpd="sng" algn="ctr">
          <a:solidFill>
            <a:srgbClr val="4BACC6">
              <a:hueOff val="0"/>
              <a:satOff val="0"/>
              <a:lumOff val="0"/>
              <a:alphaOff val="0"/>
            </a:srgbClr>
          </a:solidFill>
          <a:prstDash val="solid"/>
        </a:ln>
        <a:effectLst>
          <a:outerShdw blurRad="40000" dist="23000" dir="5400000" rotWithShape="0">
            <a:srgbClr val="000000">
              <a:alpha val="35000"/>
            </a:srgbClr>
          </a:outerShdw>
        </a:effectLst>
      </dgm:spPr>
      <dgm:t>
        <a:bodyPr/>
        <a:p>
          <a:r>
            <a:rPr lang="zh-CN" altLang="en-US" sz="1000">
              <a:solidFill>
                <a:sysClr val="windowText" lastClr="000000">
                  <a:hueOff val="0"/>
                  <a:satOff val="0"/>
                  <a:lumOff val="0"/>
                  <a:alphaOff val="0"/>
                </a:sysClr>
              </a:solidFill>
              <a:latin typeface="宋体" panose="02010600030101010101" charset="-122"/>
              <a:ea typeface="宋体" panose="02010600030101010101" charset="-122"/>
              <a:cs typeface="+mn-cs"/>
            </a:rPr>
            <a:t>道德与信用欺骗风险</a:t>
          </a:r>
        </a:p>
      </dgm:t>
    </dgm:pt>
    <dgm:pt modelId="{27F26D6A-673B-4021-84DE-5B165621BDD1}" cxnId="{DB02BB46-870C-4460-8F3D-C0E40ED1CBB1}" type="parTrans">
      <dgm:prSet/>
      <dgm:spPr>
        <a:xfrm>
          <a:off x="3344684" y="1089894"/>
          <a:ext cx="2298900" cy="273516"/>
        </a:xfrm>
        <a:noFill/>
        <a:ln w="25400" cap="flat" cmpd="sng" algn="ctr">
          <a:solidFill>
            <a:srgbClr val="4BACC6">
              <a:hueOff val="0"/>
              <a:satOff val="0"/>
              <a:lumOff val="0"/>
              <a:alphaOff val="0"/>
            </a:srgbClr>
          </a:solidFill>
          <a:prstDash val="solid"/>
        </a:ln>
        <a:effectLst/>
      </dgm:spPr>
      <dgm:t>
        <a:bodyPr/>
        <a:p>
          <a:endParaRPr lang="zh-CN" altLang="en-US" sz="1000">
            <a:latin typeface="宋体" panose="02010600030101010101" charset="-122"/>
            <a:ea typeface="宋体" panose="02010600030101010101" charset="-122"/>
          </a:endParaRPr>
        </a:p>
      </dgm:t>
    </dgm:pt>
    <dgm:pt modelId="{3EE429E9-2DE8-476C-B960-6EB801BEB2E6}" cxnId="{DB02BB46-870C-4460-8F3D-C0E40ED1CBB1}" type="sibTrans">
      <dgm:prSet/>
      <dgm:spPr/>
      <dgm:t>
        <a:bodyPr/>
        <a:p>
          <a:endParaRPr lang="zh-CN" altLang="en-US" sz="1000">
            <a:latin typeface="宋体" panose="02010600030101010101" charset="-122"/>
            <a:ea typeface="宋体" panose="02010600030101010101" charset="-122"/>
          </a:endParaRPr>
        </a:p>
      </dgm:t>
    </dgm:pt>
    <dgm:pt modelId="{061C05CD-ECA6-444C-AF1D-743C33DFF14B}">
      <dgm:prSet custT="1"/>
      <dgm:spPr/>
      <dgm:t>
        <a:bodyPr/>
        <a:p>
          <a:r>
            <a:rPr lang="zh-CN" altLang="en-US" sz="1000">
              <a:latin typeface="宋体" panose="02010600030101010101" charset="-122"/>
              <a:ea typeface="宋体" panose="02010600030101010101" charset="-122"/>
            </a:rPr>
            <a:t>其他风险</a:t>
          </a:r>
        </a:p>
      </dgm:t>
    </dgm:pt>
    <dgm:pt modelId="{FB41586A-52FA-4812-8392-F0D52B26E0B5}" cxnId="{B1FAAC2D-3DB2-4284-8F3A-D2C8A4FF5A8E}" type="parTrans">
      <dgm:prSet/>
      <dgm:spPr/>
      <dgm:t>
        <a:bodyPr/>
        <a:p>
          <a:endParaRPr lang="zh-CN" altLang="en-US" sz="1000">
            <a:latin typeface="宋体" panose="02010600030101010101" charset="-122"/>
            <a:ea typeface="宋体" panose="02010600030101010101" charset="-122"/>
          </a:endParaRPr>
        </a:p>
      </dgm:t>
    </dgm:pt>
    <dgm:pt modelId="{05031FBC-A547-422B-A6CF-73FC1550FBF7}" cxnId="{B1FAAC2D-3DB2-4284-8F3A-D2C8A4FF5A8E}" type="sibTrans">
      <dgm:prSet/>
      <dgm:spPr/>
      <dgm:t>
        <a:bodyPr/>
        <a:p>
          <a:endParaRPr lang="zh-CN" altLang="en-US" sz="1000">
            <a:latin typeface="宋体" panose="02010600030101010101" charset="-122"/>
            <a:ea typeface="宋体" panose="02010600030101010101" charset="-122"/>
          </a:endParaRPr>
        </a:p>
      </dgm:t>
    </dgm:pt>
    <dgm:pt modelId="{9253608A-2776-4D13-923B-57DEB15355A5}">
      <dgm:prSet/>
      <dgm:spPr/>
      <dgm:t>
        <a:bodyPr/>
        <a:p>
          <a:r>
            <a:rPr lang="zh-CN" altLang="en-US"/>
            <a:t>竞争风险</a:t>
          </a:r>
        </a:p>
      </dgm:t>
    </dgm:pt>
    <dgm:pt modelId="{60ADB2B5-011F-4B50-BAA7-9AC7E55FD40E}" cxnId="{83541E26-2A93-4192-870D-98822AC2E93D}" type="parTrans">
      <dgm:prSet/>
      <dgm:spPr/>
      <dgm:t>
        <a:bodyPr/>
        <a:p>
          <a:endParaRPr lang="zh-CN" altLang="en-US"/>
        </a:p>
      </dgm:t>
    </dgm:pt>
    <dgm:pt modelId="{A5194138-1B5C-4C93-AE34-EE973B6C5BDC}" cxnId="{83541E26-2A93-4192-870D-98822AC2E93D}" type="sibTrans">
      <dgm:prSet/>
      <dgm:spPr/>
      <dgm:t>
        <a:bodyPr/>
        <a:p>
          <a:endParaRPr lang="zh-CN" altLang="en-US"/>
        </a:p>
      </dgm:t>
    </dgm:pt>
    <dgm:pt modelId="{71BFF5C7-E229-41BB-B6FB-18BB1CAC69D2}">
      <dgm:prSet/>
      <dgm:spPr/>
      <dgm:t>
        <a:bodyPr/>
        <a:p>
          <a:r>
            <a:rPr lang="zh-CN" altLang="en-US"/>
            <a:t>市场风险</a:t>
          </a:r>
        </a:p>
      </dgm:t>
    </dgm:pt>
    <dgm:pt modelId="{A9ED49E4-66D7-4420-9B98-8FB72B7883C3}" cxnId="{E792E63A-6BB5-4E7F-AA0A-9D1690FD354D}" type="parTrans">
      <dgm:prSet/>
      <dgm:spPr/>
      <dgm:t>
        <a:bodyPr/>
        <a:p>
          <a:endParaRPr lang="zh-CN" altLang="en-US"/>
        </a:p>
      </dgm:t>
    </dgm:pt>
    <dgm:pt modelId="{7029D14B-A219-48C2-AE2D-58C46583FC22}" cxnId="{E792E63A-6BB5-4E7F-AA0A-9D1690FD354D}" type="sibTrans">
      <dgm:prSet/>
      <dgm:spPr/>
      <dgm:t>
        <a:bodyPr/>
        <a:p>
          <a:endParaRPr lang="zh-CN" altLang="en-US"/>
        </a:p>
      </dgm:t>
    </dgm:pt>
    <dgm:pt modelId="{7EDBBABF-2936-4FA6-B3C8-999FCC044730}">
      <dgm:prSet/>
      <dgm:spPr/>
      <dgm:t>
        <a:bodyPr/>
        <a:p>
          <a:r>
            <a:rPr lang="zh-CN" altLang="en-US"/>
            <a:t>技术风险</a:t>
          </a:r>
        </a:p>
      </dgm:t>
    </dgm:pt>
    <dgm:pt modelId="{D4B6D6F1-6EB2-4900-8204-0D2AD9DE4C72}" cxnId="{C91BFA97-D8AD-46EE-91FE-942435A5B1DD}" type="parTrans">
      <dgm:prSet/>
      <dgm:spPr/>
      <dgm:t>
        <a:bodyPr/>
        <a:p>
          <a:endParaRPr lang="zh-CN" altLang="en-US"/>
        </a:p>
      </dgm:t>
    </dgm:pt>
    <dgm:pt modelId="{7B8FB808-AEA9-40F5-A4ED-7ADEDCE83EBC}" cxnId="{C91BFA97-D8AD-46EE-91FE-942435A5B1DD}" type="sibTrans">
      <dgm:prSet/>
      <dgm:spPr/>
      <dgm:t>
        <a:bodyPr/>
        <a:p>
          <a:endParaRPr lang="zh-CN" altLang="en-US"/>
        </a:p>
      </dgm:t>
    </dgm:pt>
    <dgm:pt modelId="{5672DBBC-0026-47E8-9C1A-64931CF1EF4C}">
      <dgm:prSet/>
      <dgm:spPr/>
      <dgm:t>
        <a:bodyPr/>
        <a:p>
          <a:r>
            <a:rPr lang="zh-CN" altLang="en-US"/>
            <a:t>管理风险</a:t>
          </a:r>
        </a:p>
      </dgm:t>
    </dgm:pt>
    <dgm:pt modelId="{F366AFEB-7FFE-41EE-89C0-5A744F93C8AF}" cxnId="{D08F39EF-B2BE-427C-B43F-95BD070E2B40}" type="parTrans">
      <dgm:prSet/>
      <dgm:spPr/>
      <dgm:t>
        <a:bodyPr/>
        <a:p>
          <a:endParaRPr lang="zh-CN" altLang="en-US"/>
        </a:p>
      </dgm:t>
    </dgm:pt>
    <dgm:pt modelId="{9F43CF19-6E9E-4012-8CF7-88C4D8325645}" cxnId="{D08F39EF-B2BE-427C-B43F-95BD070E2B40}" type="sibTrans">
      <dgm:prSet/>
      <dgm:spPr/>
      <dgm:t>
        <a:bodyPr/>
        <a:p>
          <a:endParaRPr lang="zh-CN" altLang="en-US"/>
        </a:p>
      </dgm:t>
    </dgm:pt>
    <dgm:pt modelId="{53918C93-E7DA-4CD0-B01D-FBD784CB4862}" type="pres">
      <dgm:prSet presAssocID="{031CB85D-65EE-4A78-BDF7-1A35E6B97BB3}" presName="hierChild1" presStyleCnt="0">
        <dgm:presLayoutVars>
          <dgm:chPref val="1"/>
          <dgm:dir/>
          <dgm:animOne val="branch"/>
          <dgm:animLvl val="lvl"/>
          <dgm:resizeHandles/>
        </dgm:presLayoutVars>
      </dgm:prSet>
      <dgm:spPr/>
      <dgm:t>
        <a:bodyPr/>
        <a:p>
          <a:endParaRPr lang="zh-CN" altLang="en-US"/>
        </a:p>
      </dgm:t>
    </dgm:pt>
    <dgm:pt modelId="{6B8EE161-BE53-4E15-83E9-48CEEFC61081}" type="pres">
      <dgm:prSet presAssocID="{23BF293F-69F2-4A66-B299-1987B44E0B76}" presName="hierRoot1" presStyleCnt="0"/>
      <dgm:spPr/>
    </dgm:pt>
    <dgm:pt modelId="{EA9F593F-C8E4-41BC-A198-F07AC0BB652A}" type="pres">
      <dgm:prSet presAssocID="{23BF293F-69F2-4A66-B299-1987B44E0B76}" presName="composite" presStyleCnt="0"/>
      <dgm:spPr/>
    </dgm:pt>
    <dgm:pt modelId="{C53BEA95-8FF5-4DE3-99E9-C7A27B16552B}" type="pres">
      <dgm:prSet presAssocID="{23BF293F-69F2-4A66-B299-1987B44E0B76}" presName="background" presStyleLbl="node0" presStyleIdx="0" presStyleCnt="1"/>
      <dgm:spPr/>
    </dgm:pt>
    <dgm:pt modelId="{7EA8AA90-675D-4E82-AD14-D2DB397CC9F7}" type="pres">
      <dgm:prSet presAssocID="{23BF293F-69F2-4A66-B299-1987B44E0B76}" presName="text" presStyleLbl="fgAcc0" presStyleIdx="0" presStyleCnt="1" custScaleX="104512" custScaleY="98731">
        <dgm:presLayoutVars>
          <dgm:chPref val="3"/>
        </dgm:presLayoutVars>
      </dgm:prSet>
      <dgm:spPr/>
      <dgm:t>
        <a:bodyPr/>
        <a:p>
          <a:endParaRPr lang="zh-CN" altLang="en-US"/>
        </a:p>
      </dgm:t>
    </dgm:pt>
    <dgm:pt modelId="{BCCD3A64-F3FF-4D24-8F7D-20F28F102849}" type="pres">
      <dgm:prSet presAssocID="{23BF293F-69F2-4A66-B299-1987B44E0B76}" presName="hierChild2" presStyleCnt="0"/>
      <dgm:spPr/>
    </dgm:pt>
    <dgm:pt modelId="{E434BA33-E6A3-4DF4-9213-20F7C779A64F}" type="pres">
      <dgm:prSet presAssocID="{9F467152-81FF-4E4D-A027-B1DA045AF6EF}" presName="Name10" presStyleLbl="parChTrans1D2" presStyleIdx="0" presStyleCnt="4"/>
      <dgm:spPr/>
      <dgm:t>
        <a:bodyPr/>
        <a:p>
          <a:endParaRPr lang="zh-CN" altLang="en-US"/>
        </a:p>
      </dgm:t>
    </dgm:pt>
    <dgm:pt modelId="{1C6E3F53-B735-4614-A6FB-D929961E93F2}" type="pres">
      <dgm:prSet presAssocID="{80CC065D-ABED-4B0F-AE88-483E3A0F0CB5}" presName="hierRoot2" presStyleCnt="0"/>
      <dgm:spPr/>
    </dgm:pt>
    <dgm:pt modelId="{81937C51-9B71-437B-B037-BC21688AB05C}" type="pres">
      <dgm:prSet presAssocID="{80CC065D-ABED-4B0F-AE88-483E3A0F0CB5}" presName="composite2" presStyleCnt="0"/>
      <dgm:spPr/>
    </dgm:pt>
    <dgm:pt modelId="{7AB27D88-DCFA-454A-8A76-44B6C088FE93}" type="pres">
      <dgm:prSet presAssocID="{80CC065D-ABED-4B0F-AE88-483E3A0F0CB5}" presName="background2" presStyleLbl="node2" presStyleIdx="0" presStyleCnt="4"/>
      <dgm:spPr/>
    </dgm:pt>
    <dgm:pt modelId="{590390E3-3CF6-4E1C-A68F-0BDD179626C7}" type="pres">
      <dgm:prSet presAssocID="{80CC065D-ABED-4B0F-AE88-483E3A0F0CB5}" presName="text2" presStyleLbl="fgAcc2" presStyleIdx="0" presStyleCnt="4" custScaleX="131081" custScaleY="106497">
        <dgm:presLayoutVars>
          <dgm:chPref val="3"/>
        </dgm:presLayoutVars>
      </dgm:prSet>
      <dgm:spPr/>
      <dgm:t>
        <a:bodyPr/>
        <a:p>
          <a:endParaRPr lang="zh-CN" altLang="en-US"/>
        </a:p>
      </dgm:t>
    </dgm:pt>
    <dgm:pt modelId="{9DCB6E3A-08EF-403F-B782-6E7107AF23A6}" type="pres">
      <dgm:prSet presAssocID="{80CC065D-ABED-4B0F-AE88-483E3A0F0CB5}" presName="hierChild3" presStyleCnt="0"/>
      <dgm:spPr/>
    </dgm:pt>
    <dgm:pt modelId="{A44F41A5-B2DA-44AB-ABA0-B42C4DAB7833}" type="pres">
      <dgm:prSet presAssocID="{150D073C-199E-4804-B349-F26A252D7663}" presName="Name10" presStyleLbl="parChTrans1D2" presStyleIdx="1" presStyleCnt="4"/>
      <dgm:spPr/>
      <dgm:t>
        <a:bodyPr/>
        <a:p>
          <a:endParaRPr lang="zh-CN" altLang="en-US"/>
        </a:p>
      </dgm:t>
    </dgm:pt>
    <dgm:pt modelId="{C3CD606E-093D-4BC6-85BB-CAA03C8700A2}" type="pres">
      <dgm:prSet presAssocID="{2F2357FC-4CA5-450D-9DE3-74124546635D}" presName="hierRoot2" presStyleCnt="0"/>
      <dgm:spPr/>
    </dgm:pt>
    <dgm:pt modelId="{4E682848-4FB7-4981-B73C-881404EA6776}" type="pres">
      <dgm:prSet presAssocID="{2F2357FC-4CA5-450D-9DE3-74124546635D}" presName="composite2" presStyleCnt="0"/>
      <dgm:spPr/>
    </dgm:pt>
    <dgm:pt modelId="{1B43A730-922D-4698-B274-1D8128ACDB75}" type="pres">
      <dgm:prSet presAssocID="{2F2357FC-4CA5-450D-9DE3-74124546635D}" presName="background2" presStyleLbl="node2" presStyleIdx="1" presStyleCnt="4"/>
      <dgm:spPr/>
    </dgm:pt>
    <dgm:pt modelId="{BBFDE73F-C155-4292-A9D2-B065E1DDF624}" type="pres">
      <dgm:prSet presAssocID="{2F2357FC-4CA5-450D-9DE3-74124546635D}" presName="text2" presStyleLbl="fgAcc2" presStyleIdx="1" presStyleCnt="4" custScaleX="131081" custScaleY="106497">
        <dgm:presLayoutVars>
          <dgm:chPref val="3"/>
        </dgm:presLayoutVars>
      </dgm:prSet>
      <dgm:spPr/>
      <dgm:t>
        <a:bodyPr/>
        <a:p>
          <a:endParaRPr lang="zh-CN" altLang="en-US"/>
        </a:p>
      </dgm:t>
    </dgm:pt>
    <dgm:pt modelId="{0DCEF9CE-4A49-48F5-85A7-43806CE5F5BB}" type="pres">
      <dgm:prSet presAssocID="{2F2357FC-4CA5-450D-9DE3-74124546635D}" presName="hierChild3" presStyleCnt="0"/>
      <dgm:spPr/>
    </dgm:pt>
    <dgm:pt modelId="{4559478F-9282-4B6F-B1FA-4DE5FAFF997B}" type="pres">
      <dgm:prSet presAssocID="{27F26D6A-673B-4021-84DE-5B165621BDD1}" presName="Name10" presStyleLbl="parChTrans1D2" presStyleIdx="2" presStyleCnt="4"/>
      <dgm:spPr/>
      <dgm:t>
        <a:bodyPr/>
        <a:p>
          <a:endParaRPr lang="zh-CN" altLang="en-US"/>
        </a:p>
      </dgm:t>
    </dgm:pt>
    <dgm:pt modelId="{5AF7B67B-34CE-44F8-9583-88554A2CF7C3}" type="pres">
      <dgm:prSet presAssocID="{8784394A-36B1-4BFC-BB25-4BFEB3F99D73}" presName="hierRoot2" presStyleCnt="0"/>
      <dgm:spPr/>
    </dgm:pt>
    <dgm:pt modelId="{3EE48C84-97CD-408F-B017-367664208B32}" type="pres">
      <dgm:prSet presAssocID="{8784394A-36B1-4BFC-BB25-4BFEB3F99D73}" presName="composite2" presStyleCnt="0"/>
      <dgm:spPr/>
    </dgm:pt>
    <dgm:pt modelId="{C5C7FE21-2C97-4BCC-A16F-7198FF6A7B37}" type="pres">
      <dgm:prSet presAssocID="{8784394A-36B1-4BFC-BB25-4BFEB3F99D73}" presName="background2" presStyleLbl="node2" presStyleIdx="2" presStyleCnt="4"/>
      <dgm:spPr/>
    </dgm:pt>
    <dgm:pt modelId="{37B00811-74D9-4764-ADDC-0079AB5548E9}" type="pres">
      <dgm:prSet presAssocID="{8784394A-36B1-4BFC-BB25-4BFEB3F99D73}" presName="text2" presStyleLbl="fgAcc2" presStyleIdx="2" presStyleCnt="4" custScaleX="131081" custScaleY="117958">
        <dgm:presLayoutVars>
          <dgm:chPref val="3"/>
        </dgm:presLayoutVars>
      </dgm:prSet>
      <dgm:spPr/>
      <dgm:t>
        <a:bodyPr/>
        <a:p>
          <a:endParaRPr lang="zh-CN" altLang="en-US"/>
        </a:p>
      </dgm:t>
    </dgm:pt>
    <dgm:pt modelId="{256630F7-0209-4B4F-920C-1AED40BF092E}" type="pres">
      <dgm:prSet presAssocID="{8784394A-36B1-4BFC-BB25-4BFEB3F99D73}" presName="hierChild3" presStyleCnt="0"/>
      <dgm:spPr/>
    </dgm:pt>
    <dgm:pt modelId="{7660E112-3D92-4B0F-B432-6385659C6282}" type="pres">
      <dgm:prSet presAssocID="{FB41586A-52FA-4812-8392-F0D52B26E0B5}" presName="Name10" presStyleLbl="parChTrans1D2" presStyleIdx="3" presStyleCnt="4"/>
      <dgm:spPr/>
    </dgm:pt>
    <dgm:pt modelId="{E81BD5D1-F8CF-41A0-8A19-2CD294AF5CFC}" type="pres">
      <dgm:prSet presAssocID="{061C05CD-ECA6-444C-AF1D-743C33DFF14B}" presName="hierRoot2" presStyleCnt="0"/>
      <dgm:spPr/>
    </dgm:pt>
    <dgm:pt modelId="{8F60975F-5A7A-4FA5-AE80-D7663ABB9067}" type="pres">
      <dgm:prSet presAssocID="{061C05CD-ECA6-444C-AF1D-743C33DFF14B}" presName="composite2" presStyleCnt="0"/>
      <dgm:spPr/>
    </dgm:pt>
    <dgm:pt modelId="{EAEA7145-92A0-4400-871B-82909910D439}" type="pres">
      <dgm:prSet presAssocID="{061C05CD-ECA6-444C-AF1D-743C33DFF14B}" presName="background2" presStyleLbl="node2" presStyleIdx="3" presStyleCnt="4"/>
      <dgm:spPr/>
    </dgm:pt>
    <dgm:pt modelId="{2C7F2C12-B88E-4935-A8FC-0C55886D3BD7}" type="pres">
      <dgm:prSet presAssocID="{061C05CD-ECA6-444C-AF1D-743C33DFF14B}" presName="text2" presStyleLbl="fgAcc2" presStyleIdx="3" presStyleCnt="4" custScaleX="131081" custScaleY="106497">
        <dgm:presLayoutVars>
          <dgm:chPref val="3"/>
        </dgm:presLayoutVars>
      </dgm:prSet>
      <dgm:spPr/>
    </dgm:pt>
    <dgm:pt modelId="{CFD9F716-C6C2-4AD5-9467-7330D4D300D2}" type="pres">
      <dgm:prSet presAssocID="{061C05CD-ECA6-444C-AF1D-743C33DFF14B}" presName="hierChild3" presStyleCnt="0"/>
      <dgm:spPr/>
    </dgm:pt>
    <dgm:pt modelId="{1D65A9FE-DCAC-4F16-9EB8-E3F1588083D9}" type="pres">
      <dgm:prSet presAssocID="{60ADB2B5-011F-4B50-BAA7-9AC7E55FD40E}" presName="Name17" presStyleLbl="parChTrans1D3" presStyleIdx="0" presStyleCnt="4"/>
      <dgm:spPr/>
    </dgm:pt>
    <dgm:pt modelId="{1669BD57-133F-4355-BF0E-0ED7192A0F50}" type="pres">
      <dgm:prSet presAssocID="{9253608A-2776-4D13-923B-57DEB15355A5}" presName="hierRoot3" presStyleCnt="0"/>
      <dgm:spPr/>
    </dgm:pt>
    <dgm:pt modelId="{C6F4C35C-383C-4D57-9D20-8CC655BDA38D}" type="pres">
      <dgm:prSet presAssocID="{9253608A-2776-4D13-923B-57DEB15355A5}" presName="composite3" presStyleCnt="0"/>
      <dgm:spPr/>
    </dgm:pt>
    <dgm:pt modelId="{1BDCD062-3D81-4262-8FD9-4CCD93FD4A00}" type="pres">
      <dgm:prSet presAssocID="{9253608A-2776-4D13-923B-57DEB15355A5}" presName="background3" presStyleLbl="node3" presStyleIdx="0" presStyleCnt="4"/>
      <dgm:spPr/>
    </dgm:pt>
    <dgm:pt modelId="{31779FBC-4EEB-41E7-AD32-FCB167C3A97D}" type="pres">
      <dgm:prSet presAssocID="{9253608A-2776-4D13-923B-57DEB15355A5}" presName="text3" presStyleLbl="fgAcc3" presStyleIdx="0" presStyleCnt="4">
        <dgm:presLayoutVars>
          <dgm:chPref val="3"/>
        </dgm:presLayoutVars>
      </dgm:prSet>
      <dgm:spPr/>
    </dgm:pt>
    <dgm:pt modelId="{6F1A6F64-CFF6-4D29-9D85-CD71594358C7}" type="pres">
      <dgm:prSet presAssocID="{9253608A-2776-4D13-923B-57DEB15355A5}" presName="hierChild4" presStyleCnt="0"/>
      <dgm:spPr/>
    </dgm:pt>
    <dgm:pt modelId="{782BFDFA-D72A-4695-9DF7-8F0313C71F5D}" type="pres">
      <dgm:prSet presAssocID="{A9ED49E4-66D7-4420-9B98-8FB72B7883C3}" presName="Name17" presStyleLbl="parChTrans1D3" presStyleIdx="1" presStyleCnt="4"/>
      <dgm:spPr/>
    </dgm:pt>
    <dgm:pt modelId="{D6D49EC7-CBBD-405D-824C-B07FE1C84D05}" type="pres">
      <dgm:prSet presAssocID="{71BFF5C7-E229-41BB-B6FB-18BB1CAC69D2}" presName="hierRoot3" presStyleCnt="0"/>
      <dgm:spPr/>
    </dgm:pt>
    <dgm:pt modelId="{DD1526DF-DF24-4007-8E7F-5958B7A4D3D9}" type="pres">
      <dgm:prSet presAssocID="{71BFF5C7-E229-41BB-B6FB-18BB1CAC69D2}" presName="composite3" presStyleCnt="0"/>
      <dgm:spPr/>
    </dgm:pt>
    <dgm:pt modelId="{71FD0C06-DC75-42FF-B9F3-BD9056775C23}" type="pres">
      <dgm:prSet presAssocID="{71BFF5C7-E229-41BB-B6FB-18BB1CAC69D2}" presName="background3" presStyleLbl="node3" presStyleIdx="1" presStyleCnt="4"/>
      <dgm:spPr/>
    </dgm:pt>
    <dgm:pt modelId="{29F47140-FCE6-4146-A2F6-E7B44C314C58}" type="pres">
      <dgm:prSet presAssocID="{71BFF5C7-E229-41BB-B6FB-18BB1CAC69D2}" presName="text3" presStyleLbl="fgAcc3" presStyleIdx="1" presStyleCnt="4">
        <dgm:presLayoutVars>
          <dgm:chPref val="3"/>
        </dgm:presLayoutVars>
      </dgm:prSet>
      <dgm:spPr/>
    </dgm:pt>
    <dgm:pt modelId="{BD23CAB1-AAE1-4BCC-A298-8DA9387BC915}" type="pres">
      <dgm:prSet presAssocID="{71BFF5C7-E229-41BB-B6FB-18BB1CAC69D2}" presName="hierChild4" presStyleCnt="0"/>
      <dgm:spPr/>
    </dgm:pt>
    <dgm:pt modelId="{88A4FC13-95A5-4274-A6CC-50B0E1E42362}" type="pres">
      <dgm:prSet presAssocID="{D4B6D6F1-6EB2-4900-8204-0D2AD9DE4C72}" presName="Name17" presStyleLbl="parChTrans1D3" presStyleIdx="2" presStyleCnt="4"/>
      <dgm:spPr/>
    </dgm:pt>
    <dgm:pt modelId="{5007E7E2-AA39-499F-A78F-0A2E684A28EE}" type="pres">
      <dgm:prSet presAssocID="{7EDBBABF-2936-4FA6-B3C8-999FCC044730}" presName="hierRoot3" presStyleCnt="0"/>
      <dgm:spPr/>
    </dgm:pt>
    <dgm:pt modelId="{BF020625-5BC3-4417-8323-C0C459A95DA9}" type="pres">
      <dgm:prSet presAssocID="{7EDBBABF-2936-4FA6-B3C8-999FCC044730}" presName="composite3" presStyleCnt="0"/>
      <dgm:spPr/>
    </dgm:pt>
    <dgm:pt modelId="{FB478D98-EA1A-4571-B241-115FBCABEFB3}" type="pres">
      <dgm:prSet presAssocID="{7EDBBABF-2936-4FA6-B3C8-999FCC044730}" presName="background3" presStyleLbl="node3" presStyleIdx="2" presStyleCnt="4"/>
      <dgm:spPr/>
    </dgm:pt>
    <dgm:pt modelId="{807AD46D-B43F-4BC0-A709-E60B83C29D86}" type="pres">
      <dgm:prSet presAssocID="{7EDBBABF-2936-4FA6-B3C8-999FCC044730}" presName="text3" presStyleLbl="fgAcc3" presStyleIdx="2" presStyleCnt="4">
        <dgm:presLayoutVars>
          <dgm:chPref val="3"/>
        </dgm:presLayoutVars>
      </dgm:prSet>
      <dgm:spPr/>
    </dgm:pt>
    <dgm:pt modelId="{DFE9F506-88F3-4099-B14E-C2DE9677212A}" type="pres">
      <dgm:prSet presAssocID="{7EDBBABF-2936-4FA6-B3C8-999FCC044730}" presName="hierChild4" presStyleCnt="0"/>
      <dgm:spPr/>
    </dgm:pt>
    <dgm:pt modelId="{620A850D-EF6D-4FDB-8B76-CBC0B522BC18}" type="pres">
      <dgm:prSet presAssocID="{F366AFEB-7FFE-41EE-89C0-5A744F93C8AF}" presName="Name17" presStyleLbl="parChTrans1D3" presStyleIdx="3" presStyleCnt="4"/>
      <dgm:spPr/>
    </dgm:pt>
    <dgm:pt modelId="{30ED8741-BE25-4E60-B843-14D127759D8C}" type="pres">
      <dgm:prSet presAssocID="{5672DBBC-0026-47E8-9C1A-64931CF1EF4C}" presName="hierRoot3" presStyleCnt="0"/>
      <dgm:spPr/>
    </dgm:pt>
    <dgm:pt modelId="{7BA3E046-3DC0-4677-90FE-B97EE991C575}" type="pres">
      <dgm:prSet presAssocID="{5672DBBC-0026-47E8-9C1A-64931CF1EF4C}" presName="composite3" presStyleCnt="0"/>
      <dgm:spPr/>
    </dgm:pt>
    <dgm:pt modelId="{7976B24C-3095-4396-B2FB-626C81477E71}" type="pres">
      <dgm:prSet presAssocID="{5672DBBC-0026-47E8-9C1A-64931CF1EF4C}" presName="background3" presStyleLbl="node3" presStyleIdx="3" presStyleCnt="4"/>
      <dgm:spPr/>
    </dgm:pt>
    <dgm:pt modelId="{36AFA65E-FE93-4B59-8DDF-BF4F0B7BD16B}" type="pres">
      <dgm:prSet presAssocID="{5672DBBC-0026-47E8-9C1A-64931CF1EF4C}" presName="text3" presStyleLbl="fgAcc3" presStyleIdx="3" presStyleCnt="4">
        <dgm:presLayoutVars>
          <dgm:chPref val="3"/>
        </dgm:presLayoutVars>
      </dgm:prSet>
      <dgm:spPr/>
    </dgm:pt>
    <dgm:pt modelId="{1EB2697E-4EF3-4D9B-81D7-716B91F94619}" type="pres">
      <dgm:prSet presAssocID="{5672DBBC-0026-47E8-9C1A-64931CF1EF4C}" presName="hierChild4" presStyleCnt="0"/>
      <dgm:spPr/>
    </dgm:pt>
  </dgm:ptLst>
  <dgm:cxnLst>
    <dgm:cxn modelId="{8855F9DC-90E1-49D1-8E6A-28B7EC2191AB}" type="presOf" srcId="{9F467152-81FF-4E4D-A027-B1DA045AF6EF}" destId="{E434BA33-E6A3-4DF4-9213-20F7C779A64F}" srcOrd="0" destOrd="0" presId="urn:microsoft.com/office/officeart/2005/8/layout/hierarchy1"/>
    <dgm:cxn modelId="{C1329133-23AA-4D60-9787-D0E6E905AC2E}" type="presOf" srcId="{A9ED49E4-66D7-4420-9B98-8FB72B7883C3}" destId="{782BFDFA-D72A-4695-9DF7-8F0313C71F5D}" srcOrd="0" destOrd="0" presId="urn:microsoft.com/office/officeart/2005/8/layout/hierarchy1"/>
    <dgm:cxn modelId="{DB02BB46-870C-4460-8F3D-C0E40ED1CBB1}" srcId="{23BF293F-69F2-4A66-B299-1987B44E0B76}" destId="{8784394A-36B1-4BFC-BB25-4BFEB3F99D73}" srcOrd="2" destOrd="0" parTransId="{27F26D6A-673B-4021-84DE-5B165621BDD1}" sibTransId="{3EE429E9-2DE8-476C-B960-6EB801BEB2E6}"/>
    <dgm:cxn modelId="{6BE0FAE8-D944-4FE4-973D-DA39C4D887F3}" type="presOf" srcId="{80CC065D-ABED-4B0F-AE88-483E3A0F0CB5}" destId="{590390E3-3CF6-4E1C-A68F-0BDD179626C7}" srcOrd="0" destOrd="0" presId="urn:microsoft.com/office/officeart/2005/8/layout/hierarchy1"/>
    <dgm:cxn modelId="{054D888C-7B20-452E-8622-9374BA6E4F38}" type="presOf" srcId="{7EDBBABF-2936-4FA6-B3C8-999FCC044730}" destId="{807AD46D-B43F-4BC0-A709-E60B83C29D86}" srcOrd="0" destOrd="0" presId="urn:microsoft.com/office/officeart/2005/8/layout/hierarchy1"/>
    <dgm:cxn modelId="{B1FAAC2D-3DB2-4284-8F3A-D2C8A4FF5A8E}" srcId="{23BF293F-69F2-4A66-B299-1987B44E0B76}" destId="{061C05CD-ECA6-444C-AF1D-743C33DFF14B}" srcOrd="3" destOrd="0" parTransId="{FB41586A-52FA-4812-8392-F0D52B26E0B5}" sibTransId="{05031FBC-A547-422B-A6CF-73FC1550FBF7}"/>
    <dgm:cxn modelId="{0958FE72-CE86-4625-A66D-80E1FA35F505}" type="presOf" srcId="{F366AFEB-7FFE-41EE-89C0-5A744F93C8AF}" destId="{620A850D-EF6D-4FDB-8B76-CBC0B522BC18}" srcOrd="0" destOrd="0" presId="urn:microsoft.com/office/officeart/2005/8/layout/hierarchy1"/>
    <dgm:cxn modelId="{352E5A53-95E8-46B5-ABE3-0E9DA2D5F7B3}" srcId="{031CB85D-65EE-4A78-BDF7-1A35E6B97BB3}" destId="{23BF293F-69F2-4A66-B299-1987B44E0B76}" srcOrd="0" destOrd="0" parTransId="{EAB3AABE-905B-490B-8B36-A8CD673A7163}" sibTransId="{F0E2BE00-4CD7-4F2C-85B1-7C033265B524}"/>
    <dgm:cxn modelId="{31E7713A-A4FD-4319-9362-A25FABFC3160}" srcId="{23BF293F-69F2-4A66-B299-1987B44E0B76}" destId="{2F2357FC-4CA5-450D-9DE3-74124546635D}" srcOrd="1" destOrd="0" parTransId="{150D073C-199E-4804-B349-F26A252D7663}" sibTransId="{755B17E5-7340-4619-B46E-2EEBA689B48B}"/>
    <dgm:cxn modelId="{C91BFA97-D8AD-46EE-91FE-942435A5B1DD}" srcId="{061C05CD-ECA6-444C-AF1D-743C33DFF14B}" destId="{7EDBBABF-2936-4FA6-B3C8-999FCC044730}" srcOrd="2" destOrd="0" parTransId="{D4B6D6F1-6EB2-4900-8204-0D2AD9DE4C72}" sibTransId="{7B8FB808-AEA9-40F5-A4ED-7ADEDCE83EBC}"/>
    <dgm:cxn modelId="{EA8296DD-1C90-4189-9D49-6F32867E74AD}" type="presOf" srcId="{D4B6D6F1-6EB2-4900-8204-0D2AD9DE4C72}" destId="{88A4FC13-95A5-4274-A6CC-50B0E1E42362}" srcOrd="0" destOrd="0" presId="urn:microsoft.com/office/officeart/2005/8/layout/hierarchy1"/>
    <dgm:cxn modelId="{5F7B4171-1EC9-49B2-8C60-AF9778A10981}" type="presOf" srcId="{061C05CD-ECA6-444C-AF1D-743C33DFF14B}" destId="{2C7F2C12-B88E-4935-A8FC-0C55886D3BD7}" srcOrd="0" destOrd="0" presId="urn:microsoft.com/office/officeart/2005/8/layout/hierarchy1"/>
    <dgm:cxn modelId="{8C7934AF-4CE7-4EC0-833A-C621FDBF7A57}" type="presOf" srcId="{031CB85D-65EE-4A78-BDF7-1A35E6B97BB3}" destId="{53918C93-E7DA-4CD0-B01D-FBD784CB4862}" srcOrd="0" destOrd="0" presId="urn:microsoft.com/office/officeart/2005/8/layout/hierarchy1"/>
    <dgm:cxn modelId="{B8A03D72-4247-4DD3-9255-D113F119B06E}" type="presOf" srcId="{23BF293F-69F2-4A66-B299-1987B44E0B76}" destId="{7EA8AA90-675D-4E82-AD14-D2DB397CC9F7}" srcOrd="0" destOrd="0" presId="urn:microsoft.com/office/officeart/2005/8/layout/hierarchy1"/>
    <dgm:cxn modelId="{7FF2CFFF-1B90-4BC3-860D-05190FEF2BE7}" type="presOf" srcId="{5672DBBC-0026-47E8-9C1A-64931CF1EF4C}" destId="{36AFA65E-FE93-4B59-8DDF-BF4F0B7BD16B}" srcOrd="0" destOrd="0" presId="urn:microsoft.com/office/officeart/2005/8/layout/hierarchy1"/>
    <dgm:cxn modelId="{C91BA63D-6F94-4F30-8377-C3D684D8B516}" type="presOf" srcId="{27F26D6A-673B-4021-84DE-5B165621BDD1}" destId="{4559478F-9282-4B6F-B1FA-4DE5FAFF997B}" srcOrd="0" destOrd="0" presId="urn:microsoft.com/office/officeart/2005/8/layout/hierarchy1"/>
    <dgm:cxn modelId="{84843F93-C213-4DB6-A8C6-61A26E1C3405}" type="presOf" srcId="{2F2357FC-4CA5-450D-9DE3-74124546635D}" destId="{BBFDE73F-C155-4292-A9D2-B065E1DDF624}" srcOrd="0" destOrd="0" presId="urn:microsoft.com/office/officeart/2005/8/layout/hierarchy1"/>
    <dgm:cxn modelId="{D08F39EF-B2BE-427C-B43F-95BD070E2B40}" srcId="{061C05CD-ECA6-444C-AF1D-743C33DFF14B}" destId="{5672DBBC-0026-47E8-9C1A-64931CF1EF4C}" srcOrd="3" destOrd="0" parTransId="{F366AFEB-7FFE-41EE-89C0-5A744F93C8AF}" sibTransId="{9F43CF19-6E9E-4012-8CF7-88C4D8325645}"/>
    <dgm:cxn modelId="{48B13086-DE11-426C-A4DF-CDE4F2323F89}" srcId="{23BF293F-69F2-4A66-B299-1987B44E0B76}" destId="{80CC065D-ABED-4B0F-AE88-483E3A0F0CB5}" srcOrd="0" destOrd="0" parTransId="{9F467152-81FF-4E4D-A027-B1DA045AF6EF}" sibTransId="{931DB435-E23F-4A5A-8637-19F102E1F2DB}"/>
    <dgm:cxn modelId="{7719DDCE-EA87-4002-A378-2CAD8486C34B}" type="presOf" srcId="{8784394A-36B1-4BFC-BB25-4BFEB3F99D73}" destId="{37B00811-74D9-4764-ADDC-0079AB5548E9}" srcOrd="0" destOrd="0" presId="urn:microsoft.com/office/officeart/2005/8/layout/hierarchy1"/>
    <dgm:cxn modelId="{E792E63A-6BB5-4E7F-AA0A-9D1690FD354D}" srcId="{061C05CD-ECA6-444C-AF1D-743C33DFF14B}" destId="{71BFF5C7-E229-41BB-B6FB-18BB1CAC69D2}" srcOrd="1" destOrd="0" parTransId="{A9ED49E4-66D7-4420-9B98-8FB72B7883C3}" sibTransId="{7029D14B-A219-48C2-AE2D-58C46583FC22}"/>
    <dgm:cxn modelId="{83541E26-2A93-4192-870D-98822AC2E93D}" srcId="{061C05CD-ECA6-444C-AF1D-743C33DFF14B}" destId="{9253608A-2776-4D13-923B-57DEB15355A5}" srcOrd="0" destOrd="0" parTransId="{60ADB2B5-011F-4B50-BAA7-9AC7E55FD40E}" sibTransId="{A5194138-1B5C-4C93-AE34-EE973B6C5BDC}"/>
    <dgm:cxn modelId="{05C7BF0A-45A8-4DF9-8DFE-3E8EBA14D6FA}" type="presOf" srcId="{71BFF5C7-E229-41BB-B6FB-18BB1CAC69D2}" destId="{29F47140-FCE6-4146-A2F6-E7B44C314C58}" srcOrd="0" destOrd="0" presId="urn:microsoft.com/office/officeart/2005/8/layout/hierarchy1"/>
    <dgm:cxn modelId="{52D49AB1-6CBB-417B-9BA4-58414A371934}" type="presOf" srcId="{FB41586A-52FA-4812-8392-F0D52B26E0B5}" destId="{7660E112-3D92-4B0F-B432-6385659C6282}" srcOrd="0" destOrd="0" presId="urn:microsoft.com/office/officeart/2005/8/layout/hierarchy1"/>
    <dgm:cxn modelId="{9B689575-3EDF-49ED-AD12-9D4DDBDEEC0F}" type="presOf" srcId="{9253608A-2776-4D13-923B-57DEB15355A5}" destId="{31779FBC-4EEB-41E7-AD32-FCB167C3A97D}" srcOrd="0" destOrd="0" presId="urn:microsoft.com/office/officeart/2005/8/layout/hierarchy1"/>
    <dgm:cxn modelId="{2507C5CF-D6FC-48C1-9C6F-961FB23A6D00}" type="presOf" srcId="{150D073C-199E-4804-B349-F26A252D7663}" destId="{A44F41A5-B2DA-44AB-ABA0-B42C4DAB7833}" srcOrd="0" destOrd="0" presId="urn:microsoft.com/office/officeart/2005/8/layout/hierarchy1"/>
    <dgm:cxn modelId="{F94A0899-0D31-4097-B0DC-F386EBB17D87}" type="presOf" srcId="{60ADB2B5-011F-4B50-BAA7-9AC7E55FD40E}" destId="{1D65A9FE-DCAC-4F16-9EB8-E3F1588083D9}" srcOrd="0" destOrd="0" presId="urn:microsoft.com/office/officeart/2005/8/layout/hierarchy1"/>
    <dgm:cxn modelId="{1A6E2212-0FB4-4379-ACEF-3FB03C6A7636}" type="presParOf" srcId="{53918C93-E7DA-4CD0-B01D-FBD784CB4862}" destId="{6B8EE161-BE53-4E15-83E9-48CEEFC61081}" srcOrd="0" destOrd="0" presId="urn:microsoft.com/office/officeart/2005/8/layout/hierarchy1"/>
    <dgm:cxn modelId="{E4D07F3C-A8CC-4D88-8757-13C70B73F155}" type="presParOf" srcId="{6B8EE161-BE53-4E15-83E9-48CEEFC61081}" destId="{EA9F593F-C8E4-41BC-A198-F07AC0BB652A}" srcOrd="0" destOrd="0" presId="urn:microsoft.com/office/officeart/2005/8/layout/hierarchy1"/>
    <dgm:cxn modelId="{3FA63721-7319-4FD5-B5BF-7E596739AB60}" type="presParOf" srcId="{EA9F593F-C8E4-41BC-A198-F07AC0BB652A}" destId="{C53BEA95-8FF5-4DE3-99E9-C7A27B16552B}" srcOrd="0" destOrd="0" presId="urn:microsoft.com/office/officeart/2005/8/layout/hierarchy1"/>
    <dgm:cxn modelId="{8EBCD84B-E76F-4825-AADA-83811BAD7EAE}" type="presParOf" srcId="{EA9F593F-C8E4-41BC-A198-F07AC0BB652A}" destId="{7EA8AA90-675D-4E82-AD14-D2DB397CC9F7}" srcOrd="1" destOrd="0" presId="urn:microsoft.com/office/officeart/2005/8/layout/hierarchy1"/>
    <dgm:cxn modelId="{4999247F-270B-4C21-AF20-493768F0936E}" type="presParOf" srcId="{6B8EE161-BE53-4E15-83E9-48CEEFC61081}" destId="{BCCD3A64-F3FF-4D24-8F7D-20F28F102849}" srcOrd="1" destOrd="0" presId="urn:microsoft.com/office/officeart/2005/8/layout/hierarchy1"/>
    <dgm:cxn modelId="{4B61FD6B-CA59-4F20-A262-C1BE516FEFE2}" type="presParOf" srcId="{BCCD3A64-F3FF-4D24-8F7D-20F28F102849}" destId="{E434BA33-E6A3-4DF4-9213-20F7C779A64F}" srcOrd="0" destOrd="0" presId="urn:microsoft.com/office/officeart/2005/8/layout/hierarchy1"/>
    <dgm:cxn modelId="{4B6EF7D4-4B00-4684-98E8-D9FB5EFDFFF0}" type="presParOf" srcId="{BCCD3A64-F3FF-4D24-8F7D-20F28F102849}" destId="{1C6E3F53-B735-4614-A6FB-D929961E93F2}" srcOrd="1" destOrd="0" presId="urn:microsoft.com/office/officeart/2005/8/layout/hierarchy1"/>
    <dgm:cxn modelId="{451CA751-2CEA-48E7-925A-69EF1DF6AB69}" type="presParOf" srcId="{1C6E3F53-B735-4614-A6FB-D929961E93F2}" destId="{81937C51-9B71-437B-B037-BC21688AB05C}" srcOrd="0" destOrd="0" presId="urn:microsoft.com/office/officeart/2005/8/layout/hierarchy1"/>
    <dgm:cxn modelId="{153A268A-FAFE-493D-B0AE-FA7AC5840114}" type="presParOf" srcId="{81937C51-9B71-437B-B037-BC21688AB05C}" destId="{7AB27D88-DCFA-454A-8A76-44B6C088FE93}" srcOrd="0" destOrd="0" presId="urn:microsoft.com/office/officeart/2005/8/layout/hierarchy1"/>
    <dgm:cxn modelId="{D60BC343-83FD-4411-87D3-29C3581D5333}" type="presParOf" srcId="{81937C51-9B71-437B-B037-BC21688AB05C}" destId="{590390E3-3CF6-4E1C-A68F-0BDD179626C7}" srcOrd="1" destOrd="0" presId="urn:microsoft.com/office/officeart/2005/8/layout/hierarchy1"/>
    <dgm:cxn modelId="{E3BC6468-0950-42B1-9BFF-6E9E61CB5695}" type="presParOf" srcId="{1C6E3F53-B735-4614-A6FB-D929961E93F2}" destId="{9DCB6E3A-08EF-403F-B782-6E7107AF23A6}" srcOrd="1" destOrd="0" presId="urn:microsoft.com/office/officeart/2005/8/layout/hierarchy1"/>
    <dgm:cxn modelId="{5DBD4836-9A06-4C75-B428-773654E576D8}" type="presParOf" srcId="{BCCD3A64-F3FF-4D24-8F7D-20F28F102849}" destId="{A44F41A5-B2DA-44AB-ABA0-B42C4DAB7833}" srcOrd="2" destOrd="0" presId="urn:microsoft.com/office/officeart/2005/8/layout/hierarchy1"/>
    <dgm:cxn modelId="{C6260E4E-EE56-4BA0-94FD-A835EAF80FB2}" type="presParOf" srcId="{BCCD3A64-F3FF-4D24-8F7D-20F28F102849}" destId="{C3CD606E-093D-4BC6-85BB-CAA03C8700A2}" srcOrd="3" destOrd="0" presId="urn:microsoft.com/office/officeart/2005/8/layout/hierarchy1"/>
    <dgm:cxn modelId="{EA1DF67B-D582-403A-863B-CA7B87BE5BA0}" type="presParOf" srcId="{C3CD606E-093D-4BC6-85BB-CAA03C8700A2}" destId="{4E682848-4FB7-4981-B73C-881404EA6776}" srcOrd="0" destOrd="0" presId="urn:microsoft.com/office/officeart/2005/8/layout/hierarchy1"/>
    <dgm:cxn modelId="{94D02DEA-C1BF-48F8-8516-DA1F63685F98}" type="presParOf" srcId="{4E682848-4FB7-4981-B73C-881404EA6776}" destId="{1B43A730-922D-4698-B274-1D8128ACDB75}" srcOrd="0" destOrd="0" presId="urn:microsoft.com/office/officeart/2005/8/layout/hierarchy1"/>
    <dgm:cxn modelId="{525C99BE-8D1E-4875-9A49-B39144783D59}" type="presParOf" srcId="{4E682848-4FB7-4981-B73C-881404EA6776}" destId="{BBFDE73F-C155-4292-A9D2-B065E1DDF624}" srcOrd="1" destOrd="0" presId="urn:microsoft.com/office/officeart/2005/8/layout/hierarchy1"/>
    <dgm:cxn modelId="{48A02FDF-F160-4C9C-A840-37E4500E8279}" type="presParOf" srcId="{C3CD606E-093D-4BC6-85BB-CAA03C8700A2}" destId="{0DCEF9CE-4A49-48F5-85A7-43806CE5F5BB}" srcOrd="1" destOrd="0" presId="urn:microsoft.com/office/officeart/2005/8/layout/hierarchy1"/>
    <dgm:cxn modelId="{DFEA6624-FE0F-49D0-B392-AE8C7EC89A8C}" type="presParOf" srcId="{BCCD3A64-F3FF-4D24-8F7D-20F28F102849}" destId="{4559478F-9282-4B6F-B1FA-4DE5FAFF997B}" srcOrd="4" destOrd="0" presId="urn:microsoft.com/office/officeart/2005/8/layout/hierarchy1"/>
    <dgm:cxn modelId="{5F697F32-D697-4A9C-91BF-9C5B8E8796E1}" type="presParOf" srcId="{BCCD3A64-F3FF-4D24-8F7D-20F28F102849}" destId="{5AF7B67B-34CE-44F8-9583-88554A2CF7C3}" srcOrd="5" destOrd="0" presId="urn:microsoft.com/office/officeart/2005/8/layout/hierarchy1"/>
    <dgm:cxn modelId="{49286D6A-D694-459A-A49C-B5D10F0C596A}" type="presParOf" srcId="{5AF7B67B-34CE-44F8-9583-88554A2CF7C3}" destId="{3EE48C84-97CD-408F-B017-367664208B32}" srcOrd="0" destOrd="0" presId="urn:microsoft.com/office/officeart/2005/8/layout/hierarchy1"/>
    <dgm:cxn modelId="{3AFE9A46-129C-4E24-8DE7-38E7CBD6F6C0}" type="presParOf" srcId="{3EE48C84-97CD-408F-B017-367664208B32}" destId="{C5C7FE21-2C97-4BCC-A16F-7198FF6A7B37}" srcOrd="0" destOrd="0" presId="urn:microsoft.com/office/officeart/2005/8/layout/hierarchy1"/>
    <dgm:cxn modelId="{612FB01F-F508-49F6-8C96-D216732CC64F}" type="presParOf" srcId="{3EE48C84-97CD-408F-B017-367664208B32}" destId="{37B00811-74D9-4764-ADDC-0079AB5548E9}" srcOrd="1" destOrd="0" presId="urn:microsoft.com/office/officeart/2005/8/layout/hierarchy1"/>
    <dgm:cxn modelId="{F15BDCCE-1196-41AD-9A3F-43C72E38D99A}" type="presParOf" srcId="{5AF7B67B-34CE-44F8-9583-88554A2CF7C3}" destId="{256630F7-0209-4B4F-920C-1AED40BF092E}" srcOrd="1" destOrd="0" presId="urn:microsoft.com/office/officeart/2005/8/layout/hierarchy1"/>
    <dgm:cxn modelId="{3A32F911-4B51-4053-A028-8F86FFA6F620}" type="presParOf" srcId="{BCCD3A64-F3FF-4D24-8F7D-20F28F102849}" destId="{7660E112-3D92-4B0F-B432-6385659C6282}" srcOrd="6" destOrd="0" presId="urn:microsoft.com/office/officeart/2005/8/layout/hierarchy1"/>
    <dgm:cxn modelId="{3788508F-2055-4266-8347-7ABDBB5382BF}" type="presParOf" srcId="{BCCD3A64-F3FF-4D24-8F7D-20F28F102849}" destId="{E81BD5D1-F8CF-41A0-8A19-2CD294AF5CFC}" srcOrd="7" destOrd="0" presId="urn:microsoft.com/office/officeart/2005/8/layout/hierarchy1"/>
    <dgm:cxn modelId="{6C9F3FDC-F9AD-484B-AB75-CBD043A9598A}" type="presParOf" srcId="{E81BD5D1-F8CF-41A0-8A19-2CD294AF5CFC}" destId="{8F60975F-5A7A-4FA5-AE80-D7663ABB9067}" srcOrd="0" destOrd="0" presId="urn:microsoft.com/office/officeart/2005/8/layout/hierarchy1"/>
    <dgm:cxn modelId="{C1493488-C299-40D4-A785-27E74EF69173}" type="presParOf" srcId="{8F60975F-5A7A-4FA5-AE80-D7663ABB9067}" destId="{EAEA7145-92A0-4400-871B-82909910D439}" srcOrd="0" destOrd="0" presId="urn:microsoft.com/office/officeart/2005/8/layout/hierarchy1"/>
    <dgm:cxn modelId="{0611DEA9-EF30-479F-A4FD-9F09F1702A6B}" type="presParOf" srcId="{8F60975F-5A7A-4FA5-AE80-D7663ABB9067}" destId="{2C7F2C12-B88E-4935-A8FC-0C55886D3BD7}" srcOrd="1" destOrd="0" presId="urn:microsoft.com/office/officeart/2005/8/layout/hierarchy1"/>
    <dgm:cxn modelId="{4D1C1D1F-F5D4-422A-9BB8-48D0CC6169A9}" type="presParOf" srcId="{E81BD5D1-F8CF-41A0-8A19-2CD294AF5CFC}" destId="{CFD9F716-C6C2-4AD5-9467-7330D4D300D2}" srcOrd="1" destOrd="0" presId="urn:microsoft.com/office/officeart/2005/8/layout/hierarchy1"/>
    <dgm:cxn modelId="{DDC9A339-0989-421B-9F4B-5A8699071D93}" type="presParOf" srcId="{CFD9F716-C6C2-4AD5-9467-7330D4D300D2}" destId="{1D65A9FE-DCAC-4F16-9EB8-E3F1588083D9}" srcOrd="0" destOrd="0" presId="urn:microsoft.com/office/officeart/2005/8/layout/hierarchy1"/>
    <dgm:cxn modelId="{399E41F8-0E92-4E29-ABB2-0C7B305F25B6}" type="presParOf" srcId="{CFD9F716-C6C2-4AD5-9467-7330D4D300D2}" destId="{1669BD57-133F-4355-BF0E-0ED7192A0F50}" srcOrd="1" destOrd="0" presId="urn:microsoft.com/office/officeart/2005/8/layout/hierarchy1"/>
    <dgm:cxn modelId="{DA26E4D4-C769-4A10-B9B6-E5C084F2671E}" type="presParOf" srcId="{1669BD57-133F-4355-BF0E-0ED7192A0F50}" destId="{C6F4C35C-383C-4D57-9D20-8CC655BDA38D}" srcOrd="0" destOrd="0" presId="urn:microsoft.com/office/officeart/2005/8/layout/hierarchy1"/>
    <dgm:cxn modelId="{0C2F2266-A2FA-49E3-AE61-28E26F34729E}" type="presParOf" srcId="{C6F4C35C-383C-4D57-9D20-8CC655BDA38D}" destId="{1BDCD062-3D81-4262-8FD9-4CCD93FD4A00}" srcOrd="0" destOrd="0" presId="urn:microsoft.com/office/officeart/2005/8/layout/hierarchy1"/>
    <dgm:cxn modelId="{153DC457-0AFD-408B-9DFE-CA8CDA898A91}" type="presParOf" srcId="{C6F4C35C-383C-4D57-9D20-8CC655BDA38D}" destId="{31779FBC-4EEB-41E7-AD32-FCB167C3A97D}" srcOrd="1" destOrd="0" presId="urn:microsoft.com/office/officeart/2005/8/layout/hierarchy1"/>
    <dgm:cxn modelId="{E76EB24E-8E15-478C-B5DF-F10AA875FFBC}" type="presParOf" srcId="{1669BD57-133F-4355-BF0E-0ED7192A0F50}" destId="{6F1A6F64-CFF6-4D29-9D85-CD71594358C7}" srcOrd="1" destOrd="0" presId="urn:microsoft.com/office/officeart/2005/8/layout/hierarchy1"/>
    <dgm:cxn modelId="{CEA5D415-0E64-4AC3-BD0D-D760134ED662}" type="presParOf" srcId="{CFD9F716-C6C2-4AD5-9467-7330D4D300D2}" destId="{782BFDFA-D72A-4695-9DF7-8F0313C71F5D}" srcOrd="2" destOrd="0" presId="urn:microsoft.com/office/officeart/2005/8/layout/hierarchy1"/>
    <dgm:cxn modelId="{C8B636E5-0860-482C-9654-BD2980E9A61C}" type="presParOf" srcId="{CFD9F716-C6C2-4AD5-9467-7330D4D300D2}" destId="{D6D49EC7-CBBD-405D-824C-B07FE1C84D05}" srcOrd="3" destOrd="0" presId="urn:microsoft.com/office/officeart/2005/8/layout/hierarchy1"/>
    <dgm:cxn modelId="{D639BB16-61E6-4989-B213-E18B45C35E5D}" type="presParOf" srcId="{D6D49EC7-CBBD-405D-824C-B07FE1C84D05}" destId="{DD1526DF-DF24-4007-8E7F-5958B7A4D3D9}" srcOrd="0" destOrd="0" presId="urn:microsoft.com/office/officeart/2005/8/layout/hierarchy1"/>
    <dgm:cxn modelId="{2F05A888-53D3-4A01-AE26-5D0C99902AA2}" type="presParOf" srcId="{DD1526DF-DF24-4007-8E7F-5958B7A4D3D9}" destId="{71FD0C06-DC75-42FF-B9F3-BD9056775C23}" srcOrd="0" destOrd="0" presId="urn:microsoft.com/office/officeart/2005/8/layout/hierarchy1"/>
    <dgm:cxn modelId="{2A8C953B-4581-4FDE-8D19-8242E15CC97C}" type="presParOf" srcId="{DD1526DF-DF24-4007-8E7F-5958B7A4D3D9}" destId="{29F47140-FCE6-4146-A2F6-E7B44C314C58}" srcOrd="1" destOrd="0" presId="urn:microsoft.com/office/officeart/2005/8/layout/hierarchy1"/>
    <dgm:cxn modelId="{46D63293-F04A-4784-8359-8C92690C4125}" type="presParOf" srcId="{D6D49EC7-CBBD-405D-824C-B07FE1C84D05}" destId="{BD23CAB1-AAE1-4BCC-A298-8DA9387BC915}" srcOrd="1" destOrd="0" presId="urn:microsoft.com/office/officeart/2005/8/layout/hierarchy1"/>
    <dgm:cxn modelId="{25F156B1-4905-4019-AD70-57E279080237}" type="presParOf" srcId="{CFD9F716-C6C2-4AD5-9467-7330D4D300D2}" destId="{88A4FC13-95A5-4274-A6CC-50B0E1E42362}" srcOrd="4" destOrd="0" presId="urn:microsoft.com/office/officeart/2005/8/layout/hierarchy1"/>
    <dgm:cxn modelId="{E4D96080-6B95-4929-9531-B89885926289}" type="presParOf" srcId="{CFD9F716-C6C2-4AD5-9467-7330D4D300D2}" destId="{5007E7E2-AA39-499F-A78F-0A2E684A28EE}" srcOrd="5" destOrd="0" presId="urn:microsoft.com/office/officeart/2005/8/layout/hierarchy1"/>
    <dgm:cxn modelId="{9177AC90-95DD-4906-96D0-B88A846525F2}" type="presParOf" srcId="{5007E7E2-AA39-499F-A78F-0A2E684A28EE}" destId="{BF020625-5BC3-4417-8323-C0C459A95DA9}" srcOrd="0" destOrd="0" presId="urn:microsoft.com/office/officeart/2005/8/layout/hierarchy1"/>
    <dgm:cxn modelId="{1B91483E-B5D8-4AC2-A67A-3BB21C794C1B}" type="presParOf" srcId="{BF020625-5BC3-4417-8323-C0C459A95DA9}" destId="{FB478D98-EA1A-4571-B241-115FBCABEFB3}" srcOrd="0" destOrd="0" presId="urn:microsoft.com/office/officeart/2005/8/layout/hierarchy1"/>
    <dgm:cxn modelId="{6D1C1B23-ADA4-4A4E-BB0F-C03F84A300D0}" type="presParOf" srcId="{BF020625-5BC3-4417-8323-C0C459A95DA9}" destId="{807AD46D-B43F-4BC0-A709-E60B83C29D86}" srcOrd="1" destOrd="0" presId="urn:microsoft.com/office/officeart/2005/8/layout/hierarchy1"/>
    <dgm:cxn modelId="{D8B0F5B6-6EC6-4E06-B190-CC854B9B9F4A}" type="presParOf" srcId="{5007E7E2-AA39-499F-A78F-0A2E684A28EE}" destId="{DFE9F506-88F3-4099-B14E-C2DE9677212A}" srcOrd="1" destOrd="0" presId="urn:microsoft.com/office/officeart/2005/8/layout/hierarchy1"/>
    <dgm:cxn modelId="{E4DF09FF-C613-4D82-9B55-D288C90A553A}" type="presParOf" srcId="{CFD9F716-C6C2-4AD5-9467-7330D4D300D2}" destId="{620A850D-EF6D-4FDB-8B76-CBC0B522BC18}" srcOrd="6" destOrd="0" presId="urn:microsoft.com/office/officeart/2005/8/layout/hierarchy1"/>
    <dgm:cxn modelId="{DA17C49C-E5F2-4324-A2C7-AACBFD4DEBB7}" type="presParOf" srcId="{CFD9F716-C6C2-4AD5-9467-7330D4D300D2}" destId="{30ED8741-BE25-4E60-B843-14D127759D8C}" srcOrd="7" destOrd="0" presId="urn:microsoft.com/office/officeart/2005/8/layout/hierarchy1"/>
    <dgm:cxn modelId="{21A160ED-1604-4820-B4E1-65D2ADED1B9D}" type="presParOf" srcId="{30ED8741-BE25-4E60-B843-14D127759D8C}" destId="{7BA3E046-3DC0-4677-90FE-B97EE991C575}" srcOrd="0" destOrd="0" presId="urn:microsoft.com/office/officeart/2005/8/layout/hierarchy1"/>
    <dgm:cxn modelId="{72C4E74A-0FDF-4909-8DA1-B3C15E97DCE1}" type="presParOf" srcId="{7BA3E046-3DC0-4677-90FE-B97EE991C575}" destId="{7976B24C-3095-4396-B2FB-626C81477E71}" srcOrd="0" destOrd="0" presId="urn:microsoft.com/office/officeart/2005/8/layout/hierarchy1"/>
    <dgm:cxn modelId="{40B15149-AD0D-4F6B-9186-6E638A24D9AC}" type="presParOf" srcId="{7BA3E046-3DC0-4677-90FE-B97EE991C575}" destId="{36AFA65E-FE93-4B59-8DDF-BF4F0B7BD16B}" srcOrd="1" destOrd="0" presId="urn:microsoft.com/office/officeart/2005/8/layout/hierarchy1"/>
    <dgm:cxn modelId="{358D0F0B-0B46-4721-93AE-911DE48E9111}" type="presParOf" srcId="{30ED8741-BE25-4E60-B843-14D127759D8C}" destId="{1EB2697E-4EF3-4D9B-81D7-716B91F94619}" srcOrd="1" destOrd="0" presId="urn:microsoft.com/office/officeart/2005/8/layout/hierarchy1"/>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327E46-58B2-44E5-9467-A0B9F4A8D773}">
      <dsp:nvSpPr>
        <dsp:cNvPr id="0" name=""/>
        <dsp:cNvSpPr/>
      </dsp:nvSpPr>
      <dsp:spPr>
        <a:xfrm rot="5400000">
          <a:off x="3650421" y="-1445814"/>
          <a:ext cx="976762" cy="3895344"/>
        </a:xfrm>
        <a:prstGeom prst="rect">
          <a:avLst/>
        </a:prstGeom>
        <a:solidFill>
          <a:schemeClr val="accent2">
            <a:tint val="40000"/>
            <a:alpha val="90000"/>
            <a:hueOff val="0"/>
            <a:satOff val="0"/>
            <a:lumOff val="0"/>
            <a:alphaOff val="0"/>
          </a:schemeClr>
        </a:solidFill>
        <a:ln w="12700" cap="flat" cmpd="sng" algn="ctr">
          <a:solidFill>
            <a:schemeClr val="accent2">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0" lvl="1" indent="0" algn="l" defTabSz="466725">
            <a:lnSpc>
              <a:spcPct val="100000"/>
            </a:lnSpc>
            <a:spcBef>
              <a:spcPct val="0"/>
            </a:spcBef>
            <a:spcAft>
              <a:spcPts val="0"/>
            </a:spcAft>
            <a:buChar char="••"/>
          </a:pPr>
          <a:r>
            <a:rPr lang="zh-CN" altLang="en-US" sz="1050" kern="1200">
              <a:latin typeface="宋体" panose="02010600030101010101" pitchFamily="2" charset="-122"/>
              <a:ea typeface="宋体" panose="02010600030101010101" pitchFamily="2" charset="-122"/>
              <a:cs typeface="+mn-cs"/>
            </a:rPr>
            <a:t>扩大医生入住量和用户下载量。充分利用医生竞争性分级体系和刺激机制，提高医生服务质量。通过竞争性分级免费体系，刺激用户以“病毒营销方式推广</a:t>
          </a:r>
          <a:r>
            <a:rPr lang="en-US" altLang="en-US" sz="1050" kern="1200">
              <a:latin typeface="宋体" panose="02010600030101010101" pitchFamily="2" charset="-122"/>
              <a:ea typeface="宋体" panose="02010600030101010101" pitchFamily="2" charset="-122"/>
              <a:cs typeface="+mn-cs"/>
            </a:rPr>
            <a:t>APP</a:t>
          </a:r>
          <a:r>
            <a:rPr lang="zh-CN" altLang="en-US" sz="1050" kern="1200">
              <a:latin typeface="宋体" panose="02010600030101010101" pitchFamily="2" charset="-122"/>
              <a:ea typeface="宋体" panose="02010600030101010101" pitchFamily="2" charset="-122"/>
              <a:cs typeface="+mn-cs"/>
            </a:rPr>
            <a:t>，增加用户注册量，激励用户分享治疗故事。将平台打造成知识共享、医疗服务优化、医疗资源良性循环的生态圈。</a:t>
          </a:r>
          <a:endParaRPr lang="zh-CN" altLang="en-US" sz="1050" b="1" kern="1200">
            <a:latin typeface="宋体" panose="02010600030101010101" pitchFamily="2" charset="-122"/>
            <a:ea typeface="宋体" panose="02010600030101010101" pitchFamily="2" charset="-122"/>
            <a:cs typeface="+mn-cs"/>
          </a:endParaRPr>
        </a:p>
        <a:p>
          <a:pPr marL="57150" lvl="1" indent="-57150" algn="l" defTabSz="444500">
            <a:lnSpc>
              <a:spcPct val="90000"/>
            </a:lnSpc>
            <a:spcBef>
              <a:spcPct val="0"/>
            </a:spcBef>
            <a:spcAft>
              <a:spcPct val="15000"/>
            </a:spcAft>
            <a:buChar char="••"/>
          </a:pPr>
          <a:endParaRPr lang="zh-CN" altLang="en-US" sz="1000" kern="1200">
            <a:latin typeface="等线" panose="02010600030101010101" charset="-122"/>
            <a:ea typeface="等线" panose="02010600030101010101" charset="-122"/>
            <a:cs typeface="+mn-cs"/>
          </a:endParaRPr>
        </a:p>
      </dsp:txBody>
      <dsp:txXfrm rot="-5400000">
        <a:off x="2191130" y="13477"/>
        <a:ext cx="3895344" cy="976762"/>
      </dsp:txXfrm>
    </dsp:sp>
    <dsp:sp modelId="{379E9105-2C17-40E6-83C8-740816937EA1}">
      <dsp:nvSpPr>
        <dsp:cNvPr id="0" name=""/>
        <dsp:cNvSpPr/>
      </dsp:nvSpPr>
      <dsp:spPr>
        <a:xfrm>
          <a:off x="0" y="0"/>
          <a:ext cx="2191131" cy="100068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buNone/>
          </a:pPr>
          <a:r>
            <a:rPr lang="zh-CN" altLang="en-US" sz="1400" b="1" kern="1200">
              <a:latin typeface="宋体" panose="02010600030101010101" pitchFamily="2" charset="-122"/>
              <a:ea typeface="宋体" panose="02010600030101010101" pitchFamily="2" charset="-122"/>
              <a:cs typeface="+mn-cs"/>
            </a:rPr>
            <a:t>前期战略</a:t>
          </a:r>
        </a:p>
      </dsp:txBody>
      <dsp:txXfrm>
        <a:off x="0" y="0"/>
        <a:ext cx="2191131" cy="1000683"/>
      </dsp:txXfrm>
    </dsp:sp>
    <dsp:sp modelId="{59ACC0E1-110D-464A-A010-740B304EB6D2}">
      <dsp:nvSpPr>
        <dsp:cNvPr id="0" name=""/>
        <dsp:cNvSpPr/>
      </dsp:nvSpPr>
      <dsp:spPr>
        <a:xfrm rot="5400000">
          <a:off x="3659996" y="-497671"/>
          <a:ext cx="957613" cy="3895344"/>
        </a:xfrm>
        <a:prstGeom prst="rect">
          <a:avLst/>
        </a:prstGeom>
        <a:solidFill>
          <a:schemeClr val="accent3">
            <a:tint val="40000"/>
            <a:alpha val="90000"/>
            <a:hueOff val="0"/>
            <a:satOff val="0"/>
            <a:lumOff val="0"/>
            <a:alphaOff val="0"/>
          </a:schemeClr>
        </a:solidFill>
        <a:ln w="12700" cap="flat" cmpd="sng" algn="ctr">
          <a:solidFill>
            <a:schemeClr val="accent3">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0" lvl="1" indent="0" algn="l" defTabSz="444500">
            <a:lnSpc>
              <a:spcPts val="1700"/>
            </a:lnSpc>
            <a:spcBef>
              <a:spcPct val="0"/>
            </a:spcBef>
            <a:spcAft>
              <a:spcPts val="0"/>
            </a:spcAft>
            <a:buChar char="••"/>
          </a:pPr>
          <a:r>
            <a:rPr lang="zh-CN" altLang="en-US" sz="1000" b="1" kern="1200">
              <a:latin typeface="华文宋体" panose="02010600040101010101" pitchFamily="2" charset="-122"/>
              <a:ea typeface="华文宋体" panose="02010600040101010101" pitchFamily="2" charset="-122"/>
              <a:cs typeface="+mn-cs"/>
            </a:rPr>
            <a:t> </a:t>
          </a:r>
          <a:r>
            <a:rPr lang="zh-CN" altLang="en-US" sz="1050" b="0" kern="1200">
              <a:latin typeface="宋体" panose="02010600030101010101" pitchFamily="2" charset="-122"/>
              <a:ea typeface="宋体" panose="02010600030101010101" pitchFamily="2" charset="-122"/>
              <a:cs typeface="+mn-cs"/>
            </a:rPr>
            <a:t>完善服务模式，扩展辅助功能。服务功能趋于多样化和个性化。逐步退出会诊室、治疗处方、医疗方案和在线药房等一系列盈利项目，提升公司的盈利点，使公司逐步进入盈利阶段。</a:t>
          </a:r>
        </a:p>
      </dsp:txBody>
      <dsp:txXfrm rot="-5400000">
        <a:off x="2191131" y="971194"/>
        <a:ext cx="3895344" cy="957613"/>
      </dsp:txXfrm>
    </dsp:sp>
    <dsp:sp modelId="{FAD3700F-30A0-4471-A38B-08065E3EE521}">
      <dsp:nvSpPr>
        <dsp:cNvPr id="0" name=""/>
        <dsp:cNvSpPr/>
      </dsp:nvSpPr>
      <dsp:spPr>
        <a:xfrm>
          <a:off x="0" y="958989"/>
          <a:ext cx="2191131" cy="10006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buNone/>
          </a:pPr>
          <a:r>
            <a:rPr lang="zh-CN" altLang="en-US" sz="1400" b="1" kern="1200">
              <a:latin typeface="宋体" panose="02010600030101010101" pitchFamily="2" charset="-122"/>
              <a:ea typeface="宋体" panose="02010600030101010101" pitchFamily="2" charset="-122"/>
              <a:cs typeface="+mn-cs"/>
            </a:rPr>
            <a:t>中期战略</a:t>
          </a:r>
        </a:p>
      </dsp:txBody>
      <dsp:txXfrm>
        <a:off x="0" y="958989"/>
        <a:ext cx="2191131" cy="1000683"/>
      </dsp:txXfrm>
    </dsp:sp>
    <dsp:sp modelId="{AB08E129-313D-412C-BE69-E6D8073B12FC}">
      <dsp:nvSpPr>
        <dsp:cNvPr id="0" name=""/>
        <dsp:cNvSpPr/>
      </dsp:nvSpPr>
      <dsp:spPr>
        <a:xfrm rot="5400000">
          <a:off x="3645434" y="534377"/>
          <a:ext cx="986737" cy="3895344"/>
        </a:xfrm>
        <a:prstGeom prst="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0" lvl="1" indent="0" algn="l" defTabSz="444500">
            <a:lnSpc>
              <a:spcPts val="1700"/>
            </a:lnSpc>
            <a:spcBef>
              <a:spcPct val="0"/>
            </a:spcBef>
            <a:spcAft>
              <a:spcPts val="0"/>
            </a:spcAft>
            <a:buChar char="••"/>
          </a:pPr>
          <a:r>
            <a:rPr lang="zh-CN" altLang="en-US" sz="1000" kern="1200">
              <a:latin typeface="等线" panose="02010600030101010101" charset="-122"/>
              <a:ea typeface="等线" panose="02010600030101010101" charset="-122"/>
              <a:cs typeface="+mn-cs"/>
            </a:rPr>
            <a:t> </a:t>
          </a:r>
          <a:r>
            <a:rPr lang="zh-CN" altLang="en-US" sz="1050" kern="1200">
              <a:latin typeface="宋体" panose="02010600030101010101" pitchFamily="2" charset="-122"/>
              <a:ea typeface="宋体" panose="02010600030101010101" pitchFamily="2" charset="-122"/>
              <a:cs typeface="+mn-cs"/>
            </a:rPr>
            <a:t>扩大服务群体和品牌效应，完善移动医疗资源产业体系，坚持服务领先战略和个性化战略。通过开发利用中老年慢性病患者各项身体指标数据，打造成病情分析、健康预测的精准医疗平台。</a:t>
          </a:r>
          <a:endParaRPr lang="zh-CN" altLang="en-US" sz="1000" kern="1200">
            <a:latin typeface="宋体" panose="02010600030101010101" pitchFamily="2" charset="-122"/>
            <a:ea typeface="宋体" panose="02010600030101010101" pitchFamily="2" charset="-122"/>
            <a:cs typeface="+mn-cs"/>
          </a:endParaRPr>
        </a:p>
      </dsp:txBody>
      <dsp:txXfrm rot="-5400000">
        <a:off x="2191131" y="1988680"/>
        <a:ext cx="3895344" cy="986737"/>
      </dsp:txXfrm>
    </dsp:sp>
    <dsp:sp modelId="{48517F4C-CD15-4FD4-A30A-4BEBA9881DD5}">
      <dsp:nvSpPr>
        <dsp:cNvPr id="0" name=""/>
        <dsp:cNvSpPr/>
      </dsp:nvSpPr>
      <dsp:spPr>
        <a:xfrm>
          <a:off x="0" y="1972411"/>
          <a:ext cx="2191131" cy="1000683"/>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buNone/>
          </a:pPr>
          <a:r>
            <a:rPr lang="zh-CN" altLang="en-US" sz="1400" b="1" kern="1200">
              <a:latin typeface="宋体" panose="02010600030101010101" pitchFamily="2" charset="-122"/>
              <a:ea typeface="宋体" panose="02010600030101010101" pitchFamily="2" charset="-122"/>
              <a:cs typeface="+mn-cs"/>
            </a:rPr>
            <a:t>长期战略</a:t>
          </a:r>
        </a:p>
      </dsp:txBody>
      <dsp:txXfrm>
        <a:off x="0" y="1972411"/>
        <a:ext cx="2191131" cy="100068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DD56EB-E20A-468A-9BA1-576F707C9281}">
      <dsp:nvSpPr>
        <dsp:cNvPr id="0" name=""/>
        <dsp:cNvSpPr/>
      </dsp:nvSpPr>
      <dsp:spPr>
        <a:xfrm>
          <a:off x="755565" y="840406"/>
          <a:ext cx="174996" cy="101163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zh-CN" altLang="en-US" sz="1000" kern="1200">
              <a:latin typeface="宋体" panose="02010600030101010101" pitchFamily="2" charset="-122"/>
              <a:ea typeface="宋体" panose="02010600030101010101" pitchFamily="2" charset="-122"/>
            </a:rPr>
            <a:t>营销策略</a:t>
          </a:r>
        </a:p>
      </dsp:txBody>
      <dsp:txXfrm>
        <a:off x="760690" y="845531"/>
        <a:ext cx="164746" cy="1001386"/>
      </dsp:txXfrm>
    </dsp:sp>
    <dsp:sp modelId="{32DDE53C-E164-47AA-BFBD-CBD951A86C36}">
      <dsp:nvSpPr>
        <dsp:cNvPr id="0" name=""/>
        <dsp:cNvSpPr/>
      </dsp:nvSpPr>
      <dsp:spPr>
        <a:xfrm rot="17838072">
          <a:off x="741859" y="1025643"/>
          <a:ext cx="697179" cy="21643"/>
        </a:xfrm>
        <a:custGeom>
          <a:avLst/>
          <a:gdLst/>
          <a:ahLst/>
          <a:cxnLst/>
          <a:rect l="0" t="0" r="0" b="0"/>
          <a:pathLst>
            <a:path>
              <a:moveTo>
                <a:pt x="0" y="10821"/>
              </a:moveTo>
              <a:lnTo>
                <a:pt x="697179" y="108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zh-CN" altLang="en-US" sz="1000" kern="1200">
            <a:latin typeface="宋体" panose="02010600030101010101" pitchFamily="2" charset="-122"/>
            <a:ea typeface="宋体" panose="02010600030101010101" pitchFamily="2" charset="-122"/>
          </a:endParaRPr>
        </a:p>
      </dsp:txBody>
      <dsp:txXfrm>
        <a:off x="1073019" y="1019035"/>
        <a:ext cx="34858" cy="34858"/>
      </dsp:txXfrm>
    </dsp:sp>
    <dsp:sp modelId="{1B89293F-58BE-4A95-AC49-F727414AA241}">
      <dsp:nvSpPr>
        <dsp:cNvPr id="0" name=""/>
        <dsp:cNvSpPr/>
      </dsp:nvSpPr>
      <dsp:spPr>
        <a:xfrm>
          <a:off x="1250335" y="526847"/>
          <a:ext cx="431686" cy="3997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zh-CN" altLang="en-US" sz="1000" kern="1200">
              <a:latin typeface="宋体" panose="02010600030101010101" pitchFamily="2" charset="-122"/>
              <a:ea typeface="宋体" panose="02010600030101010101" pitchFamily="2" charset="-122"/>
            </a:rPr>
            <a:t>前期</a:t>
          </a:r>
        </a:p>
      </dsp:txBody>
      <dsp:txXfrm>
        <a:off x="1262042" y="538554"/>
        <a:ext cx="408272" cy="376303"/>
      </dsp:txXfrm>
    </dsp:sp>
    <dsp:sp modelId="{70E020C5-1AC5-44CA-B652-E99F8B6CE434}">
      <dsp:nvSpPr>
        <dsp:cNvPr id="0" name=""/>
        <dsp:cNvSpPr/>
      </dsp:nvSpPr>
      <dsp:spPr>
        <a:xfrm rot="19025328">
          <a:off x="1623606" y="567249"/>
          <a:ext cx="436605" cy="21643"/>
        </a:xfrm>
        <a:custGeom>
          <a:avLst/>
          <a:gdLst/>
          <a:ahLst/>
          <a:cxnLst/>
          <a:rect l="0" t="0" r="0" b="0"/>
          <a:pathLst>
            <a:path>
              <a:moveTo>
                <a:pt x="0" y="10821"/>
              </a:moveTo>
              <a:lnTo>
                <a:pt x="436605" y="108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zh-CN" altLang="en-US" sz="1000" kern="1200">
            <a:latin typeface="宋体" panose="02010600030101010101" pitchFamily="2" charset="-122"/>
            <a:ea typeface="宋体" panose="02010600030101010101" pitchFamily="2" charset="-122"/>
          </a:endParaRPr>
        </a:p>
      </dsp:txBody>
      <dsp:txXfrm>
        <a:off x="1830994" y="567156"/>
        <a:ext cx="21830" cy="21830"/>
      </dsp:txXfrm>
    </dsp:sp>
    <dsp:sp modelId="{6EA6DD4B-AAF9-4E70-B5D4-60BE35034482}">
      <dsp:nvSpPr>
        <dsp:cNvPr id="0" name=""/>
        <dsp:cNvSpPr/>
      </dsp:nvSpPr>
      <dsp:spPr>
        <a:xfrm>
          <a:off x="2001796" y="229578"/>
          <a:ext cx="576000" cy="3997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zh-CN" altLang="en-US" sz="1000" kern="1200">
              <a:latin typeface="宋体" panose="02010600030101010101" pitchFamily="2" charset="-122"/>
              <a:ea typeface="宋体" panose="02010600030101010101" pitchFamily="2" charset="-122"/>
            </a:rPr>
            <a:t>线上推广</a:t>
          </a:r>
        </a:p>
      </dsp:txBody>
      <dsp:txXfrm>
        <a:off x="2013503" y="241285"/>
        <a:ext cx="552586" cy="376303"/>
      </dsp:txXfrm>
    </dsp:sp>
    <dsp:sp modelId="{491D626F-49B0-48F0-8337-A89B71C2BB21}">
      <dsp:nvSpPr>
        <dsp:cNvPr id="0" name=""/>
        <dsp:cNvSpPr/>
      </dsp:nvSpPr>
      <dsp:spPr>
        <a:xfrm>
          <a:off x="2577797" y="418615"/>
          <a:ext cx="319773" cy="21643"/>
        </a:xfrm>
        <a:custGeom>
          <a:avLst/>
          <a:gdLst/>
          <a:ahLst/>
          <a:cxnLst/>
          <a:rect l="0" t="0" r="0" b="0"/>
          <a:pathLst>
            <a:path>
              <a:moveTo>
                <a:pt x="0" y="10821"/>
              </a:moveTo>
              <a:lnTo>
                <a:pt x="319773" y="108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zh-CN" altLang="en-US" sz="1000" kern="1200">
            <a:latin typeface="宋体" panose="02010600030101010101" pitchFamily="2" charset="-122"/>
            <a:ea typeface="宋体" panose="02010600030101010101" pitchFamily="2" charset="-122"/>
          </a:endParaRPr>
        </a:p>
      </dsp:txBody>
      <dsp:txXfrm>
        <a:off x="2729689" y="421442"/>
        <a:ext cx="15988" cy="15988"/>
      </dsp:txXfrm>
    </dsp:sp>
    <dsp:sp modelId="{4D2E31D1-D2B1-4E66-9EDC-A5FEF0276FC7}">
      <dsp:nvSpPr>
        <dsp:cNvPr id="0" name=""/>
        <dsp:cNvSpPr/>
      </dsp:nvSpPr>
      <dsp:spPr>
        <a:xfrm>
          <a:off x="2897571" y="2203"/>
          <a:ext cx="2382235" cy="8544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1.</a:t>
          </a:r>
          <a:r>
            <a:rPr lang="zh-CN" altLang="en-US" sz="900" b="1" kern="1200">
              <a:latin typeface="宋体" panose="02010600030101010101" pitchFamily="2" charset="-122"/>
              <a:ea typeface="宋体" panose="02010600030101010101" pitchFamily="2" charset="-122"/>
            </a:rPr>
            <a:t>手机应用市场推广</a:t>
          </a:r>
          <a:endParaRPr lang="en-US" altLang="zh-CN" sz="900" b="1" kern="1200">
            <a:latin typeface="宋体" panose="02010600030101010101" pitchFamily="2" charset="-122"/>
            <a:ea typeface="宋体" panose="02010600030101010101" pitchFamily="2" charset="-122"/>
          </a:endParaRPr>
        </a:p>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2.</a:t>
          </a:r>
          <a:r>
            <a:rPr lang="zh-CN" altLang="en-US" sz="900" b="1" kern="1200">
              <a:latin typeface="宋体" panose="02010600030101010101" pitchFamily="2" charset="-122"/>
              <a:ea typeface="宋体" panose="02010600030101010101" pitchFamily="2" charset="-122"/>
            </a:rPr>
            <a:t>病毒式营销推广</a:t>
          </a:r>
          <a:endParaRPr lang="en-US" altLang="zh-CN" sz="900" b="1" kern="1200">
            <a:latin typeface="宋体" panose="02010600030101010101" pitchFamily="2" charset="-122"/>
            <a:ea typeface="宋体" panose="02010600030101010101" pitchFamily="2" charset="-122"/>
          </a:endParaRPr>
        </a:p>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3.</a:t>
          </a:r>
          <a:r>
            <a:rPr lang="zh-CN" altLang="en-US" sz="900" b="1" kern="1200">
              <a:latin typeface="宋体" panose="02010600030101010101" pitchFamily="2" charset="-122"/>
              <a:ea typeface="宋体" panose="02010600030101010101" pitchFamily="2" charset="-122"/>
            </a:rPr>
            <a:t>微信朋友圈推广</a:t>
          </a:r>
          <a:endParaRPr lang="en-US" altLang="zh-CN" sz="900" b="1" kern="1200">
            <a:latin typeface="宋体" panose="02010600030101010101" pitchFamily="2" charset="-122"/>
            <a:ea typeface="宋体" panose="02010600030101010101" pitchFamily="2" charset="-122"/>
          </a:endParaRPr>
        </a:p>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4.</a:t>
          </a:r>
          <a:r>
            <a:rPr lang="zh-CN" altLang="en-US" sz="900" b="1" kern="1200">
              <a:latin typeface="宋体" panose="02010600030101010101" pitchFamily="2" charset="-122"/>
              <a:ea typeface="宋体" panose="02010600030101010101" pitchFamily="2" charset="-122"/>
            </a:rPr>
            <a:t>利用搜索引擎进行关键词推广</a:t>
          </a:r>
          <a:endParaRPr lang="en-US" altLang="zh-CN" sz="900" b="1" kern="1200">
            <a:latin typeface="宋体" panose="02010600030101010101" pitchFamily="2" charset="-122"/>
            <a:ea typeface="宋体" panose="02010600030101010101" pitchFamily="2" charset="-122"/>
          </a:endParaRPr>
        </a:p>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5.</a:t>
          </a:r>
          <a:r>
            <a:rPr lang="zh-CN" altLang="en-US" sz="900" b="1" kern="1200">
              <a:latin typeface="宋体" panose="02010600030101010101" pitchFamily="2" charset="-122"/>
              <a:ea typeface="宋体" panose="02010600030101010101" pitchFamily="2" charset="-122"/>
            </a:rPr>
            <a:t>与微信公众号合作推广（软文和硬性广告）</a:t>
          </a:r>
        </a:p>
      </dsp:txBody>
      <dsp:txXfrm>
        <a:off x="2922597" y="27229"/>
        <a:ext cx="2332183" cy="804415"/>
      </dsp:txXfrm>
    </dsp:sp>
    <dsp:sp modelId="{40C9EFC2-A1EA-4473-BE5B-68205C551B36}">
      <dsp:nvSpPr>
        <dsp:cNvPr id="0" name=""/>
        <dsp:cNvSpPr/>
      </dsp:nvSpPr>
      <dsp:spPr>
        <a:xfrm rot="2574672">
          <a:off x="1623606" y="864518"/>
          <a:ext cx="436605" cy="21643"/>
        </a:xfrm>
        <a:custGeom>
          <a:avLst/>
          <a:gdLst/>
          <a:ahLst/>
          <a:cxnLst/>
          <a:rect l="0" t="0" r="0" b="0"/>
          <a:pathLst>
            <a:path>
              <a:moveTo>
                <a:pt x="0" y="10821"/>
              </a:moveTo>
              <a:lnTo>
                <a:pt x="436605" y="108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zh-CN" altLang="en-US" sz="1000" kern="1200">
            <a:latin typeface="宋体" panose="02010600030101010101" pitchFamily="2" charset="-122"/>
            <a:ea typeface="宋体" panose="02010600030101010101" pitchFamily="2" charset="-122"/>
          </a:endParaRPr>
        </a:p>
      </dsp:txBody>
      <dsp:txXfrm>
        <a:off x="1830994" y="864425"/>
        <a:ext cx="21830" cy="21830"/>
      </dsp:txXfrm>
    </dsp:sp>
    <dsp:sp modelId="{C902FC92-3E19-49EF-A3EE-7A418C2E248B}">
      <dsp:nvSpPr>
        <dsp:cNvPr id="0" name=""/>
        <dsp:cNvSpPr/>
      </dsp:nvSpPr>
      <dsp:spPr>
        <a:xfrm>
          <a:off x="2001796" y="824115"/>
          <a:ext cx="576000" cy="3997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zh-CN" altLang="en-US" sz="1000" kern="1200">
              <a:latin typeface="宋体" panose="02010600030101010101" pitchFamily="2" charset="-122"/>
              <a:ea typeface="宋体" panose="02010600030101010101" pitchFamily="2" charset="-122"/>
            </a:rPr>
            <a:t>线上推广</a:t>
          </a:r>
        </a:p>
      </dsp:txBody>
      <dsp:txXfrm>
        <a:off x="2013503" y="835822"/>
        <a:ext cx="552586" cy="376303"/>
      </dsp:txXfrm>
    </dsp:sp>
    <dsp:sp modelId="{3D38FFBA-8455-4A72-BE90-D21E43BDFC7C}">
      <dsp:nvSpPr>
        <dsp:cNvPr id="0" name=""/>
        <dsp:cNvSpPr/>
      </dsp:nvSpPr>
      <dsp:spPr>
        <a:xfrm>
          <a:off x="2577797" y="1013152"/>
          <a:ext cx="319773" cy="21643"/>
        </a:xfrm>
        <a:custGeom>
          <a:avLst/>
          <a:gdLst/>
          <a:ahLst/>
          <a:cxnLst/>
          <a:rect l="0" t="0" r="0" b="0"/>
          <a:pathLst>
            <a:path>
              <a:moveTo>
                <a:pt x="0" y="10821"/>
              </a:moveTo>
              <a:lnTo>
                <a:pt x="319773" y="108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latin typeface="宋体" panose="02010600030101010101" pitchFamily="2" charset="-122"/>
            <a:ea typeface="宋体" panose="02010600030101010101" pitchFamily="2" charset="-122"/>
          </a:endParaRPr>
        </a:p>
      </dsp:txBody>
      <dsp:txXfrm>
        <a:off x="2729689" y="1015980"/>
        <a:ext cx="15988" cy="15988"/>
      </dsp:txXfrm>
    </dsp:sp>
    <dsp:sp modelId="{BF389E9F-FF52-41EA-B2B5-2129D5A70B9D}">
      <dsp:nvSpPr>
        <dsp:cNvPr id="0" name=""/>
        <dsp:cNvSpPr/>
      </dsp:nvSpPr>
      <dsp:spPr>
        <a:xfrm>
          <a:off x="2897571" y="916628"/>
          <a:ext cx="1216595" cy="21469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zh-CN" altLang="en-US" sz="1000" b="1" kern="1200">
              <a:latin typeface="宋体" panose="02010600030101010101" pitchFamily="2" charset="-122"/>
              <a:ea typeface="宋体" panose="02010600030101010101" pitchFamily="2" charset="-122"/>
            </a:rPr>
            <a:t>与医生面对面推广</a:t>
          </a:r>
        </a:p>
      </dsp:txBody>
      <dsp:txXfrm>
        <a:off x="2903859" y="922916"/>
        <a:ext cx="1204019" cy="202116"/>
      </dsp:txXfrm>
    </dsp:sp>
    <dsp:sp modelId="{92FC51F5-BEC1-407F-A600-F83ADAF08CB7}">
      <dsp:nvSpPr>
        <dsp:cNvPr id="0" name=""/>
        <dsp:cNvSpPr/>
      </dsp:nvSpPr>
      <dsp:spPr>
        <a:xfrm rot="3761928">
          <a:off x="741859" y="1645162"/>
          <a:ext cx="697179" cy="21643"/>
        </a:xfrm>
        <a:custGeom>
          <a:avLst/>
          <a:gdLst/>
          <a:ahLst/>
          <a:cxnLst/>
          <a:rect l="0" t="0" r="0" b="0"/>
          <a:pathLst>
            <a:path>
              <a:moveTo>
                <a:pt x="0" y="10821"/>
              </a:moveTo>
              <a:lnTo>
                <a:pt x="697179" y="108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zh-CN" altLang="en-US" sz="1000" kern="1200">
            <a:latin typeface="宋体" panose="02010600030101010101" pitchFamily="2" charset="-122"/>
            <a:ea typeface="宋体" panose="02010600030101010101" pitchFamily="2" charset="-122"/>
          </a:endParaRPr>
        </a:p>
      </dsp:txBody>
      <dsp:txXfrm>
        <a:off x="1073019" y="1638554"/>
        <a:ext cx="34858" cy="34858"/>
      </dsp:txXfrm>
    </dsp:sp>
    <dsp:sp modelId="{27747F15-2593-4FF7-A5B4-335D18DD5D14}">
      <dsp:nvSpPr>
        <dsp:cNvPr id="0" name=""/>
        <dsp:cNvSpPr/>
      </dsp:nvSpPr>
      <dsp:spPr>
        <a:xfrm>
          <a:off x="1250335" y="1765885"/>
          <a:ext cx="431686" cy="3997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zh-CN" altLang="en-US" sz="1000" kern="1200">
              <a:latin typeface="宋体" panose="02010600030101010101" pitchFamily="2" charset="-122"/>
              <a:ea typeface="宋体" panose="02010600030101010101" pitchFamily="2" charset="-122"/>
            </a:rPr>
            <a:t>中后期</a:t>
          </a:r>
        </a:p>
      </dsp:txBody>
      <dsp:txXfrm>
        <a:off x="1262042" y="1777592"/>
        <a:ext cx="408272" cy="376303"/>
      </dsp:txXfrm>
    </dsp:sp>
    <dsp:sp modelId="{C02A8DC4-982A-46B2-AA85-41366264134B}">
      <dsp:nvSpPr>
        <dsp:cNvPr id="0" name=""/>
        <dsp:cNvSpPr/>
      </dsp:nvSpPr>
      <dsp:spPr>
        <a:xfrm rot="18213383">
          <a:off x="1552656" y="1713874"/>
          <a:ext cx="578506" cy="21643"/>
        </a:xfrm>
        <a:custGeom>
          <a:avLst/>
          <a:gdLst/>
          <a:ahLst/>
          <a:cxnLst/>
          <a:rect l="0" t="0" r="0" b="0"/>
          <a:pathLst>
            <a:path>
              <a:moveTo>
                <a:pt x="0" y="10821"/>
              </a:moveTo>
              <a:lnTo>
                <a:pt x="578506" y="108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zh-CN" altLang="en-US" sz="1000" kern="1200">
            <a:latin typeface="宋体" panose="02010600030101010101" pitchFamily="2" charset="-122"/>
            <a:ea typeface="宋体" panose="02010600030101010101" pitchFamily="2" charset="-122"/>
          </a:endParaRPr>
        </a:p>
      </dsp:txBody>
      <dsp:txXfrm>
        <a:off x="1827446" y="1710234"/>
        <a:ext cx="28925" cy="28925"/>
      </dsp:txXfrm>
    </dsp:sp>
    <dsp:sp modelId="{55979FEA-81AF-4D14-A653-05FC1FA89507}">
      <dsp:nvSpPr>
        <dsp:cNvPr id="0" name=""/>
        <dsp:cNvSpPr/>
      </dsp:nvSpPr>
      <dsp:spPr>
        <a:xfrm>
          <a:off x="2001796" y="1283790"/>
          <a:ext cx="576000" cy="3997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zh-CN" altLang="en-US" sz="1000" kern="1200">
              <a:latin typeface="宋体" panose="02010600030101010101" pitchFamily="2" charset="-122"/>
              <a:ea typeface="宋体" panose="02010600030101010101" pitchFamily="2" charset="-122"/>
            </a:rPr>
            <a:t>线上推广</a:t>
          </a:r>
        </a:p>
      </dsp:txBody>
      <dsp:txXfrm>
        <a:off x="2013503" y="1295497"/>
        <a:ext cx="552586" cy="376303"/>
      </dsp:txXfrm>
    </dsp:sp>
    <dsp:sp modelId="{BA6E2B5E-3296-4194-98A5-75D4B00A4233}">
      <dsp:nvSpPr>
        <dsp:cNvPr id="0" name=""/>
        <dsp:cNvSpPr/>
      </dsp:nvSpPr>
      <dsp:spPr>
        <a:xfrm>
          <a:off x="2577797" y="1472827"/>
          <a:ext cx="319773" cy="21643"/>
        </a:xfrm>
        <a:custGeom>
          <a:avLst/>
          <a:gdLst/>
          <a:ahLst/>
          <a:cxnLst/>
          <a:rect l="0" t="0" r="0" b="0"/>
          <a:pathLst>
            <a:path>
              <a:moveTo>
                <a:pt x="0" y="10821"/>
              </a:moveTo>
              <a:lnTo>
                <a:pt x="319773" y="108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729689" y="1475655"/>
        <a:ext cx="15988" cy="15988"/>
      </dsp:txXfrm>
    </dsp:sp>
    <dsp:sp modelId="{CF50AEB9-56A3-4ECD-A82D-8EF10309D870}">
      <dsp:nvSpPr>
        <dsp:cNvPr id="0" name=""/>
        <dsp:cNvSpPr/>
      </dsp:nvSpPr>
      <dsp:spPr>
        <a:xfrm>
          <a:off x="2897571" y="1303648"/>
          <a:ext cx="1467074" cy="3600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ts val="0"/>
            </a:spcAft>
          </a:pPr>
          <a:r>
            <a:rPr lang="en-US" altLang="zh-CN" sz="900" b="1" kern="1200">
              <a:latin typeface="宋体" panose="02010600030101010101" pitchFamily="2" charset="-122"/>
              <a:ea typeface="宋体" panose="02010600030101010101" pitchFamily="2" charset="-122"/>
            </a:rPr>
            <a:t>1.</a:t>
          </a:r>
          <a:r>
            <a:rPr lang="zh-CN" altLang="en-US" sz="900" b="1" kern="1200">
              <a:latin typeface="宋体" panose="02010600030101010101" pitchFamily="2" charset="-122"/>
              <a:ea typeface="宋体" panose="02010600030101010101" pitchFamily="2" charset="-122"/>
            </a:rPr>
            <a:t>加大病毒式营销的力度</a:t>
          </a:r>
          <a:endParaRPr lang="en-US" altLang="zh-CN" sz="900" b="1" kern="1200">
            <a:latin typeface="宋体" panose="02010600030101010101" pitchFamily="2" charset="-122"/>
            <a:ea typeface="宋体" panose="02010600030101010101" pitchFamily="2" charset="-122"/>
          </a:endParaRPr>
        </a:p>
        <a:p>
          <a:pPr lvl="0" algn="ctr" defTabSz="400050">
            <a:lnSpc>
              <a:spcPct val="90000"/>
            </a:lnSpc>
            <a:spcBef>
              <a:spcPct val="0"/>
            </a:spcBef>
            <a:spcAft>
              <a:spcPts val="0"/>
            </a:spcAft>
          </a:pPr>
          <a:r>
            <a:rPr lang="en-US" altLang="zh-CN" sz="900" b="1" kern="1200">
              <a:latin typeface="宋体" panose="02010600030101010101" pitchFamily="2" charset="-122"/>
              <a:ea typeface="宋体" panose="02010600030101010101" pitchFamily="2" charset="-122"/>
            </a:rPr>
            <a:t>2.</a:t>
          </a:r>
          <a:r>
            <a:rPr lang="zh-CN" altLang="en-US" sz="900" b="1" kern="1200">
              <a:latin typeface="宋体" panose="02010600030101010101" pitchFamily="2" charset="-122"/>
              <a:ea typeface="宋体" panose="02010600030101010101" pitchFamily="2" charset="-122"/>
            </a:rPr>
            <a:t>继续沿用前期营销方式</a:t>
          </a:r>
        </a:p>
      </dsp:txBody>
      <dsp:txXfrm>
        <a:off x="2908115" y="1314192"/>
        <a:ext cx="1445986" cy="338913"/>
      </dsp:txXfrm>
    </dsp:sp>
    <dsp:sp modelId="{A3A8CEED-2261-427D-9F1F-6A5BAF7D1F15}">
      <dsp:nvSpPr>
        <dsp:cNvPr id="0" name=""/>
        <dsp:cNvSpPr/>
      </dsp:nvSpPr>
      <dsp:spPr>
        <a:xfrm rot="3386617">
          <a:off x="1552656" y="2195968"/>
          <a:ext cx="578506" cy="21643"/>
        </a:xfrm>
        <a:custGeom>
          <a:avLst/>
          <a:gdLst/>
          <a:ahLst/>
          <a:cxnLst/>
          <a:rect l="0" t="0" r="0" b="0"/>
          <a:pathLst>
            <a:path>
              <a:moveTo>
                <a:pt x="0" y="10821"/>
              </a:moveTo>
              <a:lnTo>
                <a:pt x="578506" y="108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zh-CN" altLang="en-US" sz="1000" kern="1200">
            <a:latin typeface="宋体" panose="02010600030101010101" pitchFamily="2" charset="-122"/>
            <a:ea typeface="宋体" panose="02010600030101010101" pitchFamily="2" charset="-122"/>
          </a:endParaRPr>
        </a:p>
      </dsp:txBody>
      <dsp:txXfrm>
        <a:off x="1827446" y="2192328"/>
        <a:ext cx="28925" cy="28925"/>
      </dsp:txXfrm>
    </dsp:sp>
    <dsp:sp modelId="{DE8FAE07-661A-4E67-8410-46AC8D8B9C8F}">
      <dsp:nvSpPr>
        <dsp:cNvPr id="0" name=""/>
        <dsp:cNvSpPr/>
      </dsp:nvSpPr>
      <dsp:spPr>
        <a:xfrm>
          <a:off x="2001796" y="2247979"/>
          <a:ext cx="576000" cy="3997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zh-CN" altLang="en-US" sz="1000" kern="1200">
              <a:latin typeface="宋体" panose="02010600030101010101" pitchFamily="2" charset="-122"/>
              <a:ea typeface="宋体" panose="02010600030101010101" pitchFamily="2" charset="-122"/>
            </a:rPr>
            <a:t>线下推广</a:t>
          </a:r>
        </a:p>
      </dsp:txBody>
      <dsp:txXfrm>
        <a:off x="2013503" y="2259686"/>
        <a:ext cx="552586" cy="376303"/>
      </dsp:txXfrm>
    </dsp:sp>
    <dsp:sp modelId="{983D21DF-D9F2-4C9A-9BF1-7F5D0A5D7DCB}">
      <dsp:nvSpPr>
        <dsp:cNvPr id="0" name=""/>
        <dsp:cNvSpPr/>
      </dsp:nvSpPr>
      <dsp:spPr>
        <a:xfrm rot="18458572">
          <a:off x="2475891" y="2229719"/>
          <a:ext cx="523586" cy="21643"/>
        </a:xfrm>
        <a:custGeom>
          <a:avLst/>
          <a:gdLst/>
          <a:ahLst/>
          <a:cxnLst/>
          <a:rect l="0" t="0" r="0" b="0"/>
          <a:pathLst>
            <a:path>
              <a:moveTo>
                <a:pt x="0" y="10821"/>
              </a:moveTo>
              <a:lnTo>
                <a:pt x="523586" y="108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724594" y="2227451"/>
        <a:ext cx="26179" cy="26179"/>
      </dsp:txXfrm>
    </dsp:sp>
    <dsp:sp modelId="{F889461B-1190-48FC-8BD5-59C7F1C9F2A8}">
      <dsp:nvSpPr>
        <dsp:cNvPr id="0" name=""/>
        <dsp:cNvSpPr/>
      </dsp:nvSpPr>
      <dsp:spPr>
        <a:xfrm>
          <a:off x="2897571" y="1833386"/>
          <a:ext cx="508632" cy="3997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zh-CN" altLang="en-US" sz="1000" kern="1200">
              <a:latin typeface="宋体" panose="02010600030101010101" pitchFamily="2" charset="-122"/>
              <a:ea typeface="宋体" panose="02010600030101010101" pitchFamily="2" charset="-122"/>
            </a:rPr>
            <a:t>医生</a:t>
          </a:r>
        </a:p>
      </dsp:txBody>
      <dsp:txXfrm>
        <a:off x="2909278" y="1845093"/>
        <a:ext cx="485218" cy="376303"/>
      </dsp:txXfrm>
    </dsp:sp>
    <dsp:sp modelId="{49A128FF-F5B2-43F6-8FD6-F95D26AEF7A7}">
      <dsp:nvSpPr>
        <dsp:cNvPr id="0" name=""/>
        <dsp:cNvSpPr/>
      </dsp:nvSpPr>
      <dsp:spPr>
        <a:xfrm>
          <a:off x="3406203" y="2022423"/>
          <a:ext cx="319773" cy="21643"/>
        </a:xfrm>
        <a:custGeom>
          <a:avLst/>
          <a:gdLst/>
          <a:ahLst/>
          <a:cxnLst/>
          <a:rect l="0" t="0" r="0" b="0"/>
          <a:pathLst>
            <a:path>
              <a:moveTo>
                <a:pt x="0" y="10821"/>
              </a:moveTo>
              <a:lnTo>
                <a:pt x="319773" y="108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558096" y="2025250"/>
        <a:ext cx="15988" cy="15988"/>
      </dsp:txXfrm>
    </dsp:sp>
    <dsp:sp modelId="{8DE86537-2596-41FF-96C2-3AD6A54C7DCF}">
      <dsp:nvSpPr>
        <dsp:cNvPr id="0" name=""/>
        <dsp:cNvSpPr/>
      </dsp:nvSpPr>
      <dsp:spPr>
        <a:xfrm>
          <a:off x="3725977" y="1723608"/>
          <a:ext cx="1980000" cy="61927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1.</a:t>
          </a:r>
          <a:r>
            <a:rPr lang="zh-CN" altLang="en-US" sz="900" b="1" kern="1200">
              <a:latin typeface="宋体" panose="02010600030101010101" pitchFamily="2" charset="-122"/>
              <a:ea typeface="宋体" panose="02010600030101010101" pitchFamily="2" charset="-122"/>
            </a:rPr>
            <a:t>线下评选活动</a:t>
          </a:r>
          <a:endParaRPr lang="en-US" altLang="zh-CN" sz="900" b="1" kern="1200">
            <a:latin typeface="宋体" panose="02010600030101010101" pitchFamily="2" charset="-122"/>
            <a:ea typeface="宋体" panose="02010600030101010101" pitchFamily="2" charset="-122"/>
          </a:endParaRPr>
        </a:p>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2.</a:t>
          </a:r>
          <a:r>
            <a:rPr lang="zh-CN" altLang="en-US" sz="900" b="1" kern="1200">
              <a:latin typeface="宋体" panose="02010600030101010101" pitchFamily="2" charset="-122"/>
              <a:ea typeface="宋体" panose="02010600030101010101" pitchFamily="2" charset="-122"/>
            </a:rPr>
            <a:t>专家座谈会推广</a:t>
          </a:r>
          <a:endParaRPr lang="en-US" altLang="zh-CN" sz="900" b="1" kern="1200">
            <a:latin typeface="宋体" panose="02010600030101010101" pitchFamily="2" charset="-122"/>
            <a:ea typeface="宋体" panose="02010600030101010101" pitchFamily="2" charset="-122"/>
          </a:endParaRPr>
        </a:p>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3.</a:t>
          </a:r>
          <a:r>
            <a:rPr lang="zh-CN" altLang="en-US" sz="900" b="1" kern="1200">
              <a:latin typeface="宋体" panose="02010600030101010101" pitchFamily="2" charset="-122"/>
              <a:ea typeface="宋体" panose="02010600030101010101" pitchFamily="2" charset="-122"/>
            </a:rPr>
            <a:t>学术会议或行业主题会议推广</a:t>
          </a:r>
        </a:p>
      </dsp:txBody>
      <dsp:txXfrm>
        <a:off x="3744115" y="1741746"/>
        <a:ext cx="1943724" cy="582998"/>
      </dsp:txXfrm>
    </dsp:sp>
    <dsp:sp modelId="{3BAECF5D-754B-46D2-AF8B-EA7E321AACAD}">
      <dsp:nvSpPr>
        <dsp:cNvPr id="0" name=""/>
        <dsp:cNvSpPr/>
      </dsp:nvSpPr>
      <dsp:spPr>
        <a:xfrm rot="3141428">
          <a:off x="2475891" y="2644312"/>
          <a:ext cx="523586" cy="21643"/>
        </a:xfrm>
        <a:custGeom>
          <a:avLst/>
          <a:gdLst/>
          <a:ahLst/>
          <a:cxnLst/>
          <a:rect l="0" t="0" r="0" b="0"/>
          <a:pathLst>
            <a:path>
              <a:moveTo>
                <a:pt x="0" y="10821"/>
              </a:moveTo>
              <a:lnTo>
                <a:pt x="523586" y="108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724594" y="2642044"/>
        <a:ext cx="26179" cy="26179"/>
      </dsp:txXfrm>
    </dsp:sp>
    <dsp:sp modelId="{D62B6528-CC2D-494E-B51C-B56C96748136}">
      <dsp:nvSpPr>
        <dsp:cNvPr id="0" name=""/>
        <dsp:cNvSpPr/>
      </dsp:nvSpPr>
      <dsp:spPr>
        <a:xfrm>
          <a:off x="2897571" y="2662572"/>
          <a:ext cx="508632" cy="3997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zh-CN" altLang="en-US" sz="1000" kern="1200">
              <a:latin typeface="宋体" panose="02010600030101010101" pitchFamily="2" charset="-122"/>
              <a:ea typeface="宋体" panose="02010600030101010101" pitchFamily="2" charset="-122"/>
            </a:rPr>
            <a:t>用户</a:t>
          </a:r>
        </a:p>
      </dsp:txBody>
      <dsp:txXfrm>
        <a:off x="2909278" y="2674279"/>
        <a:ext cx="485218" cy="376303"/>
      </dsp:txXfrm>
    </dsp:sp>
    <dsp:sp modelId="{E7F5E43D-8C91-40D7-BA4A-7D271D456759}">
      <dsp:nvSpPr>
        <dsp:cNvPr id="0" name=""/>
        <dsp:cNvSpPr/>
      </dsp:nvSpPr>
      <dsp:spPr>
        <a:xfrm>
          <a:off x="3406203" y="2851608"/>
          <a:ext cx="319773" cy="21643"/>
        </a:xfrm>
        <a:custGeom>
          <a:avLst/>
          <a:gdLst/>
          <a:ahLst/>
          <a:cxnLst/>
          <a:rect l="0" t="0" r="0" b="0"/>
          <a:pathLst>
            <a:path>
              <a:moveTo>
                <a:pt x="0" y="10821"/>
              </a:moveTo>
              <a:lnTo>
                <a:pt x="319773" y="108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558096" y="2854436"/>
        <a:ext cx="15988" cy="15988"/>
      </dsp:txXfrm>
    </dsp:sp>
    <dsp:sp modelId="{742EEACC-763D-43A9-809C-7C74192F25E0}">
      <dsp:nvSpPr>
        <dsp:cNvPr id="0" name=""/>
        <dsp:cNvSpPr/>
      </dsp:nvSpPr>
      <dsp:spPr>
        <a:xfrm>
          <a:off x="3725977" y="2402839"/>
          <a:ext cx="1985931" cy="9191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1.</a:t>
          </a:r>
          <a:r>
            <a:rPr lang="zh-CN" altLang="en-US" sz="900" b="1" kern="1200">
              <a:latin typeface="宋体" panose="02010600030101010101" pitchFamily="2" charset="-122"/>
              <a:ea typeface="宋体" panose="02010600030101010101" pitchFamily="2" charset="-122"/>
            </a:rPr>
            <a:t>纸媒宣传</a:t>
          </a:r>
          <a:endParaRPr lang="en-US" altLang="zh-CN" sz="900" b="1" kern="1200">
            <a:latin typeface="宋体" panose="02010600030101010101" pitchFamily="2" charset="-122"/>
            <a:ea typeface="宋体" panose="02010600030101010101" pitchFamily="2" charset="-122"/>
          </a:endParaRPr>
        </a:p>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2.</a:t>
          </a:r>
          <a:r>
            <a:rPr lang="zh-CN" altLang="en-US" sz="900" b="1" kern="1200">
              <a:latin typeface="宋体" panose="02010600030101010101" pitchFamily="2" charset="-122"/>
              <a:ea typeface="宋体" panose="02010600030101010101" pitchFamily="2" charset="-122"/>
            </a:rPr>
            <a:t>广告牌宣传</a:t>
          </a:r>
          <a:endParaRPr lang="en-US" altLang="zh-CN" sz="900" b="1" kern="1200">
            <a:latin typeface="宋体" panose="02010600030101010101" pitchFamily="2" charset="-122"/>
            <a:ea typeface="宋体" panose="02010600030101010101" pitchFamily="2" charset="-122"/>
          </a:endParaRPr>
        </a:p>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3.</a:t>
          </a:r>
          <a:r>
            <a:rPr lang="zh-CN" altLang="en-US" sz="900" b="1" kern="1200">
              <a:latin typeface="宋体" panose="02010600030101010101" pitchFamily="2" charset="-122"/>
              <a:ea typeface="宋体" panose="02010600030101010101" pitchFamily="2" charset="-122"/>
            </a:rPr>
            <a:t>新闻发布会推广</a:t>
          </a:r>
          <a:endParaRPr lang="en-US" altLang="zh-CN" sz="900" b="1" kern="1200">
            <a:latin typeface="宋体" panose="02010600030101010101" pitchFamily="2" charset="-122"/>
            <a:ea typeface="宋体" panose="02010600030101010101" pitchFamily="2" charset="-122"/>
          </a:endParaRPr>
        </a:p>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4.</a:t>
          </a:r>
          <a:r>
            <a:rPr lang="zh-CN" altLang="en-US" sz="900" b="1" kern="1200">
              <a:latin typeface="宋体" panose="02010600030101010101" pitchFamily="2" charset="-122"/>
              <a:ea typeface="宋体" panose="02010600030101010101" pitchFamily="2" charset="-122"/>
            </a:rPr>
            <a:t>在老年大学内推广</a:t>
          </a:r>
          <a:endParaRPr lang="en-US" altLang="zh-CN" sz="900" b="1" kern="1200">
            <a:latin typeface="宋体" panose="02010600030101010101" pitchFamily="2" charset="-122"/>
            <a:ea typeface="宋体" panose="02010600030101010101" pitchFamily="2" charset="-122"/>
          </a:endParaRPr>
        </a:p>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5.</a:t>
          </a:r>
          <a:r>
            <a:rPr lang="zh-CN" altLang="en-US" sz="900" b="1" kern="1200">
              <a:latin typeface="宋体" panose="02010600030101010101" pitchFamily="2" charset="-122"/>
              <a:ea typeface="宋体" panose="02010600030101010101" pitchFamily="2" charset="-122"/>
            </a:rPr>
            <a:t>官方媒体或机构宣传</a:t>
          </a:r>
          <a:endParaRPr lang="en-US" altLang="zh-CN" sz="900" b="1" kern="1200">
            <a:latin typeface="宋体" panose="02010600030101010101" pitchFamily="2" charset="-122"/>
            <a:ea typeface="宋体" panose="02010600030101010101" pitchFamily="2" charset="-122"/>
          </a:endParaRPr>
        </a:p>
        <a:p>
          <a:pPr lvl="0" algn="l" defTabSz="400050">
            <a:lnSpc>
              <a:spcPct val="100000"/>
            </a:lnSpc>
            <a:spcBef>
              <a:spcPct val="0"/>
            </a:spcBef>
            <a:spcAft>
              <a:spcPts val="0"/>
            </a:spcAft>
          </a:pPr>
          <a:r>
            <a:rPr lang="en-US" altLang="zh-CN" sz="900" b="1" kern="1200">
              <a:latin typeface="宋体" panose="02010600030101010101" pitchFamily="2" charset="-122"/>
              <a:ea typeface="宋体" panose="02010600030101010101" pitchFamily="2" charset="-122"/>
            </a:rPr>
            <a:t>6.</a:t>
          </a:r>
          <a:r>
            <a:rPr lang="zh-CN" altLang="en-US" sz="900" b="1" kern="1200">
              <a:latin typeface="宋体" panose="02010600030101010101" pitchFamily="2" charset="-122"/>
              <a:ea typeface="宋体" panose="02010600030101010101" pitchFamily="2" charset="-122"/>
            </a:rPr>
            <a:t>在社区开展健康讲座、义诊活动</a:t>
          </a:r>
        </a:p>
      </dsp:txBody>
      <dsp:txXfrm>
        <a:off x="3752899" y="2429761"/>
        <a:ext cx="1932087" cy="86533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5144A6-4274-4775-BB4F-A949A4C4451D}">
      <dsp:nvSpPr>
        <dsp:cNvPr id="0" name=""/>
        <dsp:cNvSpPr/>
      </dsp:nvSpPr>
      <dsp:spPr>
        <a:xfrm>
          <a:off x="2638425" y="385731"/>
          <a:ext cx="1866705" cy="161986"/>
        </a:xfrm>
        <a:custGeom>
          <a:avLst/>
          <a:gdLst/>
          <a:ahLst/>
          <a:cxnLst/>
          <a:rect l="0" t="0" r="0" b="0"/>
          <a:pathLst>
            <a:path>
              <a:moveTo>
                <a:pt x="0" y="0"/>
              </a:moveTo>
              <a:lnTo>
                <a:pt x="0" y="80993"/>
              </a:lnTo>
              <a:lnTo>
                <a:pt x="1866705" y="80993"/>
              </a:lnTo>
              <a:lnTo>
                <a:pt x="1866705" y="16198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FE8C37-A67F-4515-88E6-F9FEE30037FF}">
      <dsp:nvSpPr>
        <dsp:cNvPr id="0" name=""/>
        <dsp:cNvSpPr/>
      </dsp:nvSpPr>
      <dsp:spPr>
        <a:xfrm>
          <a:off x="2638425" y="385731"/>
          <a:ext cx="933352" cy="161986"/>
        </a:xfrm>
        <a:custGeom>
          <a:avLst/>
          <a:gdLst/>
          <a:ahLst/>
          <a:cxnLst/>
          <a:rect l="0" t="0" r="0" b="0"/>
          <a:pathLst>
            <a:path>
              <a:moveTo>
                <a:pt x="0" y="0"/>
              </a:moveTo>
              <a:lnTo>
                <a:pt x="0" y="80993"/>
              </a:lnTo>
              <a:lnTo>
                <a:pt x="933352" y="80993"/>
              </a:lnTo>
              <a:lnTo>
                <a:pt x="933352" y="16198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B659FF-173F-44DD-A22B-F1EA2BF30242}">
      <dsp:nvSpPr>
        <dsp:cNvPr id="0" name=""/>
        <dsp:cNvSpPr/>
      </dsp:nvSpPr>
      <dsp:spPr>
        <a:xfrm>
          <a:off x="2592705" y="385731"/>
          <a:ext cx="91440" cy="161986"/>
        </a:xfrm>
        <a:custGeom>
          <a:avLst/>
          <a:gdLst/>
          <a:ahLst/>
          <a:cxnLst/>
          <a:rect l="0" t="0" r="0" b="0"/>
          <a:pathLst>
            <a:path>
              <a:moveTo>
                <a:pt x="45720" y="0"/>
              </a:moveTo>
              <a:lnTo>
                <a:pt x="45720" y="16198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0FB3FC-2A2B-4714-8B7A-5A344DE7307A}">
      <dsp:nvSpPr>
        <dsp:cNvPr id="0" name=""/>
        <dsp:cNvSpPr/>
      </dsp:nvSpPr>
      <dsp:spPr>
        <a:xfrm>
          <a:off x="1705072" y="385731"/>
          <a:ext cx="933352" cy="161986"/>
        </a:xfrm>
        <a:custGeom>
          <a:avLst/>
          <a:gdLst/>
          <a:ahLst/>
          <a:cxnLst/>
          <a:rect l="0" t="0" r="0" b="0"/>
          <a:pathLst>
            <a:path>
              <a:moveTo>
                <a:pt x="933352" y="0"/>
              </a:moveTo>
              <a:lnTo>
                <a:pt x="933352" y="80993"/>
              </a:lnTo>
              <a:lnTo>
                <a:pt x="0" y="80993"/>
              </a:lnTo>
              <a:lnTo>
                <a:pt x="0" y="16198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0D125E-7C21-413F-90B8-FF49CA94BA85}">
      <dsp:nvSpPr>
        <dsp:cNvPr id="0" name=""/>
        <dsp:cNvSpPr/>
      </dsp:nvSpPr>
      <dsp:spPr>
        <a:xfrm>
          <a:off x="771719" y="385731"/>
          <a:ext cx="1866705" cy="161986"/>
        </a:xfrm>
        <a:custGeom>
          <a:avLst/>
          <a:gdLst/>
          <a:ahLst/>
          <a:cxnLst/>
          <a:rect l="0" t="0" r="0" b="0"/>
          <a:pathLst>
            <a:path>
              <a:moveTo>
                <a:pt x="1866705" y="0"/>
              </a:moveTo>
              <a:lnTo>
                <a:pt x="1866705" y="80993"/>
              </a:lnTo>
              <a:lnTo>
                <a:pt x="0" y="80993"/>
              </a:lnTo>
              <a:lnTo>
                <a:pt x="0" y="16198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5BE243-E147-4D5B-8084-34292B5DA898}">
      <dsp:nvSpPr>
        <dsp:cNvPr id="0" name=""/>
        <dsp:cNvSpPr/>
      </dsp:nvSpPr>
      <dsp:spPr>
        <a:xfrm>
          <a:off x="2252742" y="48"/>
          <a:ext cx="771365" cy="3856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zh-CN" altLang="en-US" sz="1400" kern="1200">
              <a:latin typeface="宋体" panose="02010600030101010101" pitchFamily="2" charset="-122"/>
              <a:ea typeface="宋体" panose="02010600030101010101" pitchFamily="2" charset="-122"/>
            </a:rPr>
            <a:t>总经理</a:t>
          </a:r>
        </a:p>
      </dsp:txBody>
      <dsp:txXfrm>
        <a:off x="2252742" y="48"/>
        <a:ext cx="771365" cy="385682"/>
      </dsp:txXfrm>
    </dsp:sp>
    <dsp:sp modelId="{785313B9-442E-4425-A7E2-E2828126962C}">
      <dsp:nvSpPr>
        <dsp:cNvPr id="0" name=""/>
        <dsp:cNvSpPr/>
      </dsp:nvSpPr>
      <dsp:spPr>
        <a:xfrm>
          <a:off x="386037" y="547718"/>
          <a:ext cx="771365" cy="3856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zh-CN" altLang="en-US" sz="1400" kern="1200">
              <a:latin typeface="宋体" panose="02010600030101010101" pitchFamily="2" charset="-122"/>
              <a:ea typeface="宋体" panose="02010600030101010101" pitchFamily="2" charset="-122"/>
            </a:rPr>
            <a:t>财务部</a:t>
          </a:r>
        </a:p>
      </dsp:txBody>
      <dsp:txXfrm>
        <a:off x="386037" y="547718"/>
        <a:ext cx="771365" cy="385682"/>
      </dsp:txXfrm>
    </dsp:sp>
    <dsp:sp modelId="{722C61DC-9C57-49BB-BB8E-145AECB35A9A}">
      <dsp:nvSpPr>
        <dsp:cNvPr id="0" name=""/>
        <dsp:cNvSpPr/>
      </dsp:nvSpPr>
      <dsp:spPr>
        <a:xfrm>
          <a:off x="1319389" y="547718"/>
          <a:ext cx="771365" cy="3856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zh-CN" altLang="en-US" sz="1400" kern="1200">
              <a:latin typeface="宋体" panose="02010600030101010101" pitchFamily="2" charset="-122"/>
              <a:ea typeface="宋体" panose="02010600030101010101" pitchFamily="2" charset="-122"/>
            </a:rPr>
            <a:t>运营部</a:t>
          </a:r>
        </a:p>
      </dsp:txBody>
      <dsp:txXfrm>
        <a:off x="1319389" y="547718"/>
        <a:ext cx="771365" cy="385682"/>
      </dsp:txXfrm>
    </dsp:sp>
    <dsp:sp modelId="{4FF47110-EDE8-493A-A9A2-3F47D6225B8B}">
      <dsp:nvSpPr>
        <dsp:cNvPr id="0" name=""/>
        <dsp:cNvSpPr/>
      </dsp:nvSpPr>
      <dsp:spPr>
        <a:xfrm>
          <a:off x="2252742" y="547718"/>
          <a:ext cx="771365" cy="3856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zh-CN" altLang="en-US" sz="1400" kern="1200">
              <a:latin typeface="宋体" panose="02010600030101010101" pitchFamily="2" charset="-122"/>
              <a:ea typeface="宋体" panose="02010600030101010101" pitchFamily="2" charset="-122"/>
            </a:rPr>
            <a:t>技术部</a:t>
          </a:r>
        </a:p>
      </dsp:txBody>
      <dsp:txXfrm>
        <a:off x="2252742" y="547718"/>
        <a:ext cx="771365" cy="385682"/>
      </dsp:txXfrm>
    </dsp:sp>
    <dsp:sp modelId="{C7464138-C336-4E46-BBBD-3249F169B7AE}">
      <dsp:nvSpPr>
        <dsp:cNvPr id="0" name=""/>
        <dsp:cNvSpPr/>
      </dsp:nvSpPr>
      <dsp:spPr>
        <a:xfrm>
          <a:off x="3186094" y="547718"/>
          <a:ext cx="771365" cy="3856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zh-CN" altLang="en-US" sz="1400" kern="1200">
              <a:latin typeface="宋体" panose="02010600030101010101" pitchFamily="2" charset="-122"/>
              <a:ea typeface="宋体" panose="02010600030101010101" pitchFamily="2" charset="-122"/>
            </a:rPr>
            <a:t>市场部</a:t>
          </a:r>
        </a:p>
      </dsp:txBody>
      <dsp:txXfrm>
        <a:off x="3186094" y="547718"/>
        <a:ext cx="771365" cy="385682"/>
      </dsp:txXfrm>
    </dsp:sp>
    <dsp:sp modelId="{D4B23AA2-BE2A-4A5C-86A0-904294B421B6}">
      <dsp:nvSpPr>
        <dsp:cNvPr id="0" name=""/>
        <dsp:cNvSpPr/>
      </dsp:nvSpPr>
      <dsp:spPr>
        <a:xfrm>
          <a:off x="4119447" y="547718"/>
          <a:ext cx="771365" cy="3856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zh-CN" altLang="en-US" sz="1400" kern="1200">
              <a:latin typeface="宋体" panose="02010600030101010101" pitchFamily="2" charset="-122"/>
              <a:ea typeface="宋体" panose="02010600030101010101" pitchFamily="2" charset="-122"/>
            </a:rPr>
            <a:t>行政部</a:t>
          </a:r>
        </a:p>
      </dsp:txBody>
      <dsp:txXfrm>
        <a:off x="4119447" y="547718"/>
        <a:ext cx="771365" cy="38568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0A850D-EF6D-4FDB-8B76-CBC0B522BC18}">
      <dsp:nvSpPr>
        <dsp:cNvPr id="0" name=""/>
        <dsp:cNvSpPr/>
      </dsp:nvSpPr>
      <dsp:spPr>
        <a:xfrm>
          <a:off x="3682125" y="919487"/>
          <a:ext cx="1057359" cy="167735"/>
        </a:xfrm>
        <a:custGeom>
          <a:avLst/>
          <a:gdLst/>
          <a:ahLst/>
          <a:cxnLst/>
          <a:rect l="0" t="0" r="0" b="0"/>
          <a:pathLst>
            <a:path>
              <a:moveTo>
                <a:pt x="0" y="0"/>
              </a:moveTo>
              <a:lnTo>
                <a:pt x="0" y="114306"/>
              </a:lnTo>
              <a:lnTo>
                <a:pt x="1057359" y="114306"/>
              </a:lnTo>
              <a:lnTo>
                <a:pt x="1057359" y="16773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A4FC13-95A5-4274-A6CC-50B0E1E42362}">
      <dsp:nvSpPr>
        <dsp:cNvPr id="0" name=""/>
        <dsp:cNvSpPr/>
      </dsp:nvSpPr>
      <dsp:spPr>
        <a:xfrm>
          <a:off x="3682125" y="919487"/>
          <a:ext cx="352453" cy="167735"/>
        </a:xfrm>
        <a:custGeom>
          <a:avLst/>
          <a:gdLst/>
          <a:ahLst/>
          <a:cxnLst/>
          <a:rect l="0" t="0" r="0" b="0"/>
          <a:pathLst>
            <a:path>
              <a:moveTo>
                <a:pt x="0" y="0"/>
              </a:moveTo>
              <a:lnTo>
                <a:pt x="0" y="114306"/>
              </a:lnTo>
              <a:lnTo>
                <a:pt x="352453" y="114306"/>
              </a:lnTo>
              <a:lnTo>
                <a:pt x="352453" y="16773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2BFDFA-D72A-4695-9DF7-8F0313C71F5D}">
      <dsp:nvSpPr>
        <dsp:cNvPr id="0" name=""/>
        <dsp:cNvSpPr/>
      </dsp:nvSpPr>
      <dsp:spPr>
        <a:xfrm>
          <a:off x="3329672" y="919487"/>
          <a:ext cx="352453" cy="167735"/>
        </a:xfrm>
        <a:custGeom>
          <a:avLst/>
          <a:gdLst/>
          <a:ahLst/>
          <a:cxnLst/>
          <a:rect l="0" t="0" r="0" b="0"/>
          <a:pathLst>
            <a:path>
              <a:moveTo>
                <a:pt x="352453" y="0"/>
              </a:moveTo>
              <a:lnTo>
                <a:pt x="352453" y="114306"/>
              </a:lnTo>
              <a:lnTo>
                <a:pt x="0" y="114306"/>
              </a:lnTo>
              <a:lnTo>
                <a:pt x="0" y="16773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65A9FE-DCAC-4F16-9EB8-E3F1588083D9}">
      <dsp:nvSpPr>
        <dsp:cNvPr id="0" name=""/>
        <dsp:cNvSpPr/>
      </dsp:nvSpPr>
      <dsp:spPr>
        <a:xfrm>
          <a:off x="2624766" y="919487"/>
          <a:ext cx="1057359" cy="167735"/>
        </a:xfrm>
        <a:custGeom>
          <a:avLst/>
          <a:gdLst/>
          <a:ahLst/>
          <a:cxnLst/>
          <a:rect l="0" t="0" r="0" b="0"/>
          <a:pathLst>
            <a:path>
              <a:moveTo>
                <a:pt x="1057359" y="0"/>
              </a:moveTo>
              <a:lnTo>
                <a:pt x="1057359" y="114306"/>
              </a:lnTo>
              <a:lnTo>
                <a:pt x="0" y="114306"/>
              </a:lnTo>
              <a:lnTo>
                <a:pt x="0" y="16773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0E112-3D92-4B0F-B432-6385659C6282}">
      <dsp:nvSpPr>
        <dsp:cNvPr id="0" name=""/>
        <dsp:cNvSpPr/>
      </dsp:nvSpPr>
      <dsp:spPr>
        <a:xfrm>
          <a:off x="2355881" y="361726"/>
          <a:ext cx="1326244" cy="167735"/>
        </a:xfrm>
        <a:custGeom>
          <a:avLst/>
          <a:gdLst/>
          <a:ahLst/>
          <a:cxnLst/>
          <a:rect l="0" t="0" r="0" b="0"/>
          <a:pathLst>
            <a:path>
              <a:moveTo>
                <a:pt x="0" y="0"/>
              </a:moveTo>
              <a:lnTo>
                <a:pt x="0" y="114306"/>
              </a:lnTo>
              <a:lnTo>
                <a:pt x="1326244" y="114306"/>
              </a:lnTo>
              <a:lnTo>
                <a:pt x="1326244" y="16773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59478F-9282-4B6F-B1FA-4DE5FAFF997B}">
      <dsp:nvSpPr>
        <dsp:cNvPr id="0" name=""/>
        <dsp:cNvSpPr/>
      </dsp:nvSpPr>
      <dsp:spPr>
        <a:xfrm>
          <a:off x="2355881" y="361726"/>
          <a:ext cx="442081" cy="167735"/>
        </a:xfrm>
        <a:custGeom>
          <a:avLst/>
          <a:gdLst/>
          <a:ahLst/>
          <a:cxnLst/>
          <a:rect l="0" t="0" r="0" b="0"/>
          <a:pathLst>
            <a:path>
              <a:moveTo>
                <a:pt x="0" y="0"/>
              </a:moveTo>
              <a:lnTo>
                <a:pt x="0" y="114306"/>
              </a:lnTo>
              <a:lnTo>
                <a:pt x="442081" y="114306"/>
              </a:lnTo>
              <a:lnTo>
                <a:pt x="442081" y="167735"/>
              </a:lnTo>
            </a:path>
          </a:pathLst>
        </a:custGeom>
        <a:noFill/>
        <a:ln w="25400" cap="flat" cmpd="sng" algn="ctr">
          <a:solidFill>
            <a:srgbClr val="4BACC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4F41A5-B2DA-44AB-ABA0-B42C4DAB7833}">
      <dsp:nvSpPr>
        <dsp:cNvPr id="0" name=""/>
        <dsp:cNvSpPr/>
      </dsp:nvSpPr>
      <dsp:spPr>
        <a:xfrm>
          <a:off x="1913799" y="361726"/>
          <a:ext cx="442081" cy="167735"/>
        </a:xfrm>
        <a:custGeom>
          <a:avLst/>
          <a:gdLst/>
          <a:ahLst/>
          <a:cxnLst/>
          <a:rect l="0" t="0" r="0" b="0"/>
          <a:pathLst>
            <a:path>
              <a:moveTo>
                <a:pt x="442081" y="0"/>
              </a:moveTo>
              <a:lnTo>
                <a:pt x="442081" y="114306"/>
              </a:lnTo>
              <a:lnTo>
                <a:pt x="0" y="114306"/>
              </a:lnTo>
              <a:lnTo>
                <a:pt x="0" y="167735"/>
              </a:lnTo>
            </a:path>
          </a:pathLst>
        </a:custGeom>
        <a:noFill/>
        <a:ln w="25400" cap="flat" cmpd="sng" algn="ctr">
          <a:solidFill>
            <a:srgbClr val="4BACC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434BA33-E6A3-4DF4-9213-20F7C779A64F}">
      <dsp:nvSpPr>
        <dsp:cNvPr id="0" name=""/>
        <dsp:cNvSpPr/>
      </dsp:nvSpPr>
      <dsp:spPr>
        <a:xfrm>
          <a:off x="1029636" y="361726"/>
          <a:ext cx="1326244" cy="167735"/>
        </a:xfrm>
        <a:custGeom>
          <a:avLst/>
          <a:gdLst/>
          <a:ahLst/>
          <a:cxnLst/>
          <a:rect l="0" t="0" r="0" b="0"/>
          <a:pathLst>
            <a:path>
              <a:moveTo>
                <a:pt x="1326244" y="0"/>
              </a:moveTo>
              <a:lnTo>
                <a:pt x="1326244" y="114306"/>
              </a:lnTo>
              <a:lnTo>
                <a:pt x="0" y="114306"/>
              </a:lnTo>
              <a:lnTo>
                <a:pt x="0" y="167735"/>
              </a:lnTo>
            </a:path>
          </a:pathLst>
        </a:custGeom>
        <a:noFill/>
        <a:ln w="25400" cap="flat" cmpd="sng" algn="ctr">
          <a:solidFill>
            <a:srgbClr val="4BACC6">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53BEA95-8FF5-4DE3-99E9-C7A27B16552B}">
      <dsp:nvSpPr>
        <dsp:cNvPr id="0" name=""/>
        <dsp:cNvSpPr/>
      </dsp:nvSpPr>
      <dsp:spPr>
        <a:xfrm>
          <a:off x="2054496" y="143"/>
          <a:ext cx="602769" cy="361583"/>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7EA8AA90-675D-4E82-AD14-D2DB397CC9F7}">
      <dsp:nvSpPr>
        <dsp:cNvPr id="0" name=""/>
        <dsp:cNvSpPr/>
      </dsp:nvSpPr>
      <dsp:spPr>
        <a:xfrm>
          <a:off x="2118578" y="61021"/>
          <a:ext cx="602769" cy="361583"/>
        </a:xfrm>
        <a:prstGeom prst="roundRect">
          <a:avLst>
            <a:gd name="adj" fmla="val 10000"/>
          </a:avLst>
        </a:prstGeom>
        <a:solidFill>
          <a:sysClr val="window" lastClr="CAEACE">
            <a:alpha val="90000"/>
            <a:hueOff val="0"/>
            <a:satOff val="0"/>
            <a:lumOff val="0"/>
            <a:alphaOff val="0"/>
          </a:sysClr>
        </a:solidFill>
        <a:ln w="9525" cap="flat" cmpd="sng" algn="ctr">
          <a:solidFill>
            <a:srgbClr val="9BBB59">
              <a:hueOff val="0"/>
              <a:satOff val="0"/>
              <a:lumOff val="0"/>
              <a:alphaOff val="0"/>
            </a:srgbClr>
          </a:solidFill>
          <a:prstDash val="solid"/>
          <a:miter lim="800000"/>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zh-CN" altLang="en-US" sz="1000" kern="120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主要风险</a:t>
          </a:r>
        </a:p>
      </dsp:txBody>
      <dsp:txXfrm>
        <a:off x="2129168" y="71611"/>
        <a:ext cx="581589" cy="340403"/>
      </dsp:txXfrm>
    </dsp:sp>
    <dsp:sp modelId="{7AB27D88-DCFA-454A-8A76-44B6C088FE93}">
      <dsp:nvSpPr>
        <dsp:cNvPr id="0" name=""/>
        <dsp:cNvSpPr/>
      </dsp:nvSpPr>
      <dsp:spPr>
        <a:xfrm>
          <a:off x="651637" y="529462"/>
          <a:ext cx="755998" cy="390024"/>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590390E3-3CF6-4E1C-A68F-0BDD179626C7}">
      <dsp:nvSpPr>
        <dsp:cNvPr id="0" name=""/>
        <dsp:cNvSpPr/>
      </dsp:nvSpPr>
      <dsp:spPr>
        <a:xfrm>
          <a:off x="715719" y="590340"/>
          <a:ext cx="755998" cy="390024"/>
        </a:xfrm>
        <a:prstGeom prst="roundRect">
          <a:avLst>
            <a:gd name="adj" fmla="val 10000"/>
          </a:avLst>
        </a:prstGeom>
        <a:solidFill>
          <a:sysClr val="window" lastClr="CAEACE">
            <a:alpha val="90000"/>
            <a:hueOff val="0"/>
            <a:satOff val="0"/>
            <a:lumOff val="0"/>
            <a:alphaOff val="0"/>
          </a:sysClr>
        </a:solidFill>
        <a:ln w="9525" cap="flat" cmpd="sng" algn="ctr">
          <a:solidFill>
            <a:srgbClr val="4BACC6">
              <a:hueOff val="0"/>
              <a:satOff val="0"/>
              <a:lumOff val="0"/>
              <a:alphaOff val="0"/>
            </a:srgbClr>
          </a:solidFill>
          <a:prstDash val="solid"/>
          <a:miter lim="800000"/>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zh-CN" altLang="en-US" sz="1000" kern="120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国家政策风险</a:t>
          </a:r>
        </a:p>
      </dsp:txBody>
      <dsp:txXfrm>
        <a:off x="727142" y="601763"/>
        <a:ext cx="733152" cy="367178"/>
      </dsp:txXfrm>
    </dsp:sp>
    <dsp:sp modelId="{1B43A730-922D-4698-B274-1D8128ACDB75}">
      <dsp:nvSpPr>
        <dsp:cNvPr id="0" name=""/>
        <dsp:cNvSpPr/>
      </dsp:nvSpPr>
      <dsp:spPr>
        <a:xfrm>
          <a:off x="1535800" y="529462"/>
          <a:ext cx="755998" cy="390024"/>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BFDE73F-C155-4292-A9D2-B065E1DDF624}">
      <dsp:nvSpPr>
        <dsp:cNvPr id="0" name=""/>
        <dsp:cNvSpPr/>
      </dsp:nvSpPr>
      <dsp:spPr>
        <a:xfrm>
          <a:off x="1599882" y="590340"/>
          <a:ext cx="755998" cy="390024"/>
        </a:xfrm>
        <a:prstGeom prst="roundRect">
          <a:avLst>
            <a:gd name="adj" fmla="val 10000"/>
          </a:avLst>
        </a:prstGeom>
        <a:solidFill>
          <a:sysClr val="window" lastClr="CAEACE">
            <a:alpha val="90000"/>
            <a:hueOff val="0"/>
            <a:satOff val="0"/>
            <a:lumOff val="0"/>
            <a:alphaOff val="0"/>
          </a:sysClr>
        </a:solidFill>
        <a:ln w="9525" cap="flat" cmpd="sng" algn="ctr">
          <a:solidFill>
            <a:srgbClr val="4BACC6">
              <a:hueOff val="0"/>
              <a:satOff val="0"/>
              <a:lumOff val="0"/>
              <a:alphaOff val="0"/>
            </a:srgbClr>
          </a:solidFill>
          <a:prstDash val="solid"/>
          <a:miter lim="800000"/>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zh-CN" altLang="en-US" sz="1000" kern="120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医疗安全风险</a:t>
          </a:r>
        </a:p>
      </dsp:txBody>
      <dsp:txXfrm>
        <a:off x="1611305" y="601763"/>
        <a:ext cx="733152" cy="367178"/>
      </dsp:txXfrm>
    </dsp:sp>
    <dsp:sp modelId="{C5C7FE21-2C97-4BCC-A16F-7198FF6A7B37}">
      <dsp:nvSpPr>
        <dsp:cNvPr id="0" name=""/>
        <dsp:cNvSpPr/>
      </dsp:nvSpPr>
      <dsp:spPr>
        <a:xfrm>
          <a:off x="2419963" y="529462"/>
          <a:ext cx="755998" cy="431998"/>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37B00811-74D9-4764-ADDC-0079AB5548E9}">
      <dsp:nvSpPr>
        <dsp:cNvPr id="0" name=""/>
        <dsp:cNvSpPr/>
      </dsp:nvSpPr>
      <dsp:spPr>
        <a:xfrm>
          <a:off x="2484045" y="590340"/>
          <a:ext cx="755998" cy="431998"/>
        </a:xfrm>
        <a:prstGeom prst="roundRect">
          <a:avLst>
            <a:gd name="adj" fmla="val 10000"/>
          </a:avLst>
        </a:prstGeom>
        <a:solidFill>
          <a:sysClr val="window" lastClr="CAEACE">
            <a:alpha val="90000"/>
            <a:hueOff val="0"/>
            <a:satOff val="0"/>
            <a:lumOff val="0"/>
            <a:alphaOff val="0"/>
          </a:sysClr>
        </a:solidFill>
        <a:ln w="9525" cap="flat" cmpd="sng" algn="ctr">
          <a:solidFill>
            <a:srgbClr val="4BACC6">
              <a:hueOff val="0"/>
              <a:satOff val="0"/>
              <a:lumOff val="0"/>
              <a:alphaOff val="0"/>
            </a:srgbClr>
          </a:solidFill>
          <a:prstDash val="solid"/>
          <a:miter lim="800000"/>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zh-CN" altLang="en-US" sz="1000" kern="120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道德与信用欺骗风险</a:t>
          </a:r>
        </a:p>
      </dsp:txBody>
      <dsp:txXfrm>
        <a:off x="2496698" y="602993"/>
        <a:ext cx="730692" cy="406692"/>
      </dsp:txXfrm>
    </dsp:sp>
    <dsp:sp modelId="{EAEA7145-92A0-4400-871B-82909910D439}">
      <dsp:nvSpPr>
        <dsp:cNvPr id="0" name=""/>
        <dsp:cNvSpPr/>
      </dsp:nvSpPr>
      <dsp:spPr>
        <a:xfrm>
          <a:off x="3304126" y="529462"/>
          <a:ext cx="755998" cy="390024"/>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2C7F2C12-B88E-4935-A8FC-0C55886D3BD7}">
      <dsp:nvSpPr>
        <dsp:cNvPr id="0" name=""/>
        <dsp:cNvSpPr/>
      </dsp:nvSpPr>
      <dsp:spPr>
        <a:xfrm>
          <a:off x="3368208" y="590340"/>
          <a:ext cx="755998" cy="390024"/>
        </a:xfrm>
        <a:prstGeom prst="roundRect">
          <a:avLst>
            <a:gd name="adj" fmla="val 10000"/>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zh-CN" altLang="en-US" sz="1000" kern="1200">
              <a:latin typeface="宋体" panose="02010600030101010101" pitchFamily="2" charset="-122"/>
              <a:ea typeface="宋体" panose="02010600030101010101" pitchFamily="2" charset="-122"/>
            </a:rPr>
            <a:t>其他风险</a:t>
          </a:r>
        </a:p>
      </dsp:txBody>
      <dsp:txXfrm>
        <a:off x="3379631" y="601763"/>
        <a:ext cx="733152" cy="367178"/>
      </dsp:txXfrm>
    </dsp:sp>
    <dsp:sp modelId="{1BDCD062-3D81-4262-8FD9-4CCD93FD4A00}">
      <dsp:nvSpPr>
        <dsp:cNvPr id="0" name=""/>
        <dsp:cNvSpPr/>
      </dsp:nvSpPr>
      <dsp:spPr>
        <a:xfrm>
          <a:off x="2336395" y="1087222"/>
          <a:ext cx="576741" cy="366230"/>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31779FBC-4EEB-41E7-AD32-FCB167C3A97D}">
      <dsp:nvSpPr>
        <dsp:cNvPr id="0" name=""/>
        <dsp:cNvSpPr/>
      </dsp:nvSpPr>
      <dsp:spPr>
        <a:xfrm>
          <a:off x="2400478" y="1148100"/>
          <a:ext cx="576741" cy="366230"/>
        </a:xfrm>
        <a:prstGeom prst="roundRect">
          <a:avLst>
            <a:gd name="adj" fmla="val 10000"/>
          </a:avLst>
        </a:prstGeom>
        <a:solidFill>
          <a:schemeClr val="lt1">
            <a:alpha val="90000"/>
            <a:hueOff val="0"/>
            <a:satOff val="0"/>
            <a:lumOff val="0"/>
            <a:alphaOff val="0"/>
          </a:schemeClr>
        </a:solidFill>
        <a:ln w="6350" cap="flat" cmpd="sng" algn="ctr">
          <a:solidFill>
            <a:schemeClr val="accent6">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t>竞争风险</a:t>
          </a:r>
        </a:p>
      </dsp:txBody>
      <dsp:txXfrm>
        <a:off x="2411205" y="1158827"/>
        <a:ext cx="555287" cy="344776"/>
      </dsp:txXfrm>
    </dsp:sp>
    <dsp:sp modelId="{71FD0C06-DC75-42FF-B9F3-BD9056775C23}">
      <dsp:nvSpPr>
        <dsp:cNvPr id="0" name=""/>
        <dsp:cNvSpPr/>
      </dsp:nvSpPr>
      <dsp:spPr>
        <a:xfrm>
          <a:off x="3041301" y="1087222"/>
          <a:ext cx="576741" cy="366230"/>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29F47140-FCE6-4146-A2F6-E7B44C314C58}">
      <dsp:nvSpPr>
        <dsp:cNvPr id="0" name=""/>
        <dsp:cNvSpPr/>
      </dsp:nvSpPr>
      <dsp:spPr>
        <a:xfrm>
          <a:off x="3105384" y="1148100"/>
          <a:ext cx="576741" cy="366230"/>
        </a:xfrm>
        <a:prstGeom prst="roundRect">
          <a:avLst>
            <a:gd name="adj" fmla="val 10000"/>
          </a:avLst>
        </a:prstGeom>
        <a:solidFill>
          <a:schemeClr val="lt1">
            <a:alpha val="90000"/>
            <a:hueOff val="0"/>
            <a:satOff val="0"/>
            <a:lumOff val="0"/>
            <a:alphaOff val="0"/>
          </a:schemeClr>
        </a:solidFill>
        <a:ln w="6350" cap="flat" cmpd="sng" algn="ctr">
          <a:solidFill>
            <a:schemeClr val="accent6">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t>市场风险</a:t>
          </a:r>
        </a:p>
      </dsp:txBody>
      <dsp:txXfrm>
        <a:off x="3116111" y="1158827"/>
        <a:ext cx="555287" cy="344776"/>
      </dsp:txXfrm>
    </dsp:sp>
    <dsp:sp modelId="{FB478D98-EA1A-4571-B241-115FBCABEFB3}">
      <dsp:nvSpPr>
        <dsp:cNvPr id="0" name=""/>
        <dsp:cNvSpPr/>
      </dsp:nvSpPr>
      <dsp:spPr>
        <a:xfrm>
          <a:off x="3746207" y="1087222"/>
          <a:ext cx="576741" cy="366230"/>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07AD46D-B43F-4BC0-A709-E60B83C29D86}">
      <dsp:nvSpPr>
        <dsp:cNvPr id="0" name=""/>
        <dsp:cNvSpPr/>
      </dsp:nvSpPr>
      <dsp:spPr>
        <a:xfrm>
          <a:off x="3810290" y="1148100"/>
          <a:ext cx="576741" cy="366230"/>
        </a:xfrm>
        <a:prstGeom prst="roundRect">
          <a:avLst>
            <a:gd name="adj" fmla="val 10000"/>
          </a:avLst>
        </a:prstGeom>
        <a:solidFill>
          <a:schemeClr val="lt1">
            <a:alpha val="90000"/>
            <a:hueOff val="0"/>
            <a:satOff val="0"/>
            <a:lumOff val="0"/>
            <a:alphaOff val="0"/>
          </a:schemeClr>
        </a:solidFill>
        <a:ln w="6350" cap="flat" cmpd="sng" algn="ctr">
          <a:solidFill>
            <a:schemeClr val="accent6">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t>技术风险</a:t>
          </a:r>
        </a:p>
      </dsp:txBody>
      <dsp:txXfrm>
        <a:off x="3821017" y="1158827"/>
        <a:ext cx="555287" cy="344776"/>
      </dsp:txXfrm>
    </dsp:sp>
    <dsp:sp modelId="{7976B24C-3095-4396-B2FB-626C81477E71}">
      <dsp:nvSpPr>
        <dsp:cNvPr id="0" name=""/>
        <dsp:cNvSpPr/>
      </dsp:nvSpPr>
      <dsp:spPr>
        <a:xfrm>
          <a:off x="4451113" y="1087222"/>
          <a:ext cx="576741" cy="366230"/>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36AFA65E-FE93-4B59-8DDF-BF4F0B7BD16B}">
      <dsp:nvSpPr>
        <dsp:cNvPr id="0" name=""/>
        <dsp:cNvSpPr/>
      </dsp:nvSpPr>
      <dsp:spPr>
        <a:xfrm>
          <a:off x="4515196" y="1148100"/>
          <a:ext cx="576741" cy="366230"/>
        </a:xfrm>
        <a:prstGeom prst="roundRect">
          <a:avLst>
            <a:gd name="adj" fmla="val 10000"/>
          </a:avLst>
        </a:prstGeom>
        <a:solidFill>
          <a:schemeClr val="lt1">
            <a:alpha val="90000"/>
            <a:hueOff val="0"/>
            <a:satOff val="0"/>
            <a:lumOff val="0"/>
            <a:alphaOff val="0"/>
          </a:schemeClr>
        </a:solidFill>
        <a:ln w="6350" cap="flat" cmpd="sng" algn="ctr">
          <a:solidFill>
            <a:schemeClr val="accent6">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t>管理风险</a:t>
          </a:r>
        </a:p>
      </dsp:txBody>
      <dsp:txXfrm>
        <a:off x="4525923" y="1158827"/>
        <a:ext cx="555287" cy="34477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type="round2SameRect" r:blip="" rot="90">
                    <dgm:adjLst/>
                  </dgm:shape>
                </dgm:if>
                <dgm:else name="Name12">
                  <dgm:shape xmlns:r="http://schemas.openxmlformats.org/officeDocument/2006/relationships" type="round2SameRect" r:blip="" rot="-90">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endSty" val="noArr"/>
                        <dgm:param type="begPts" val="midR"/>
                        <dgm:param type="endPts" val="midL"/>
                      </dgm:alg>
                    </dgm:if>
                    <dgm:else name="Name14">
                      <dgm:alg type="conn">
                        <dgm:param type="dim" val="1D"/>
                        <dgm:param type="endSty" val="noArr"/>
                        <dgm:param type="begPts" val="midL"/>
                        <dgm:param type="endPts" val="mid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srcNode" val="background"/>
                    <dgm:param type="dstNode" val="background2"/>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srcNode" val="background2"/>
                            <dgm:param type="dstNode" val="background3"/>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srcNode" val="background3"/>
                                        <dgm:param type="dstNode" val="background4"/>
                                        <dgm:param type="dim" val="1D"/>
                                        <dgm:param type="endSty" val="noArr"/>
                                        <dgm:param type="connRout" val="bend"/>
                                        <dgm:param type="begPts" val="bCtr"/>
                                        <dgm:param type="endPts" val="tCtr"/>
                                        <dgm:param type="bendPt" val="end"/>
                                      </dgm:alg>
                                    </dgm:if>
                                    <dgm:else name="Name26">
                                      <dgm:alg type="conn">
                                        <dgm:param type="srcNode" val="background4"/>
                                        <dgm:param type="dstNode" val="background4"/>
                                        <dgm:param type="dim" val="1D"/>
                                        <dgm:param type="endSty" val="noArr"/>
                                        <dgm:param type="connRout" val="bend"/>
                                        <dgm:param type="begPts" val="bCtr"/>
                                        <dgm:param type="endPts" val="tCtr"/>
                                        <dgm:param type="bendPt" val="end"/>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05E873-E31D-4056-95A1-759A1A203A62}">
  <ds:schemaRefs/>
</ds:datastoreItem>
</file>

<file path=docProps/app.xml><?xml version="1.0" encoding="utf-8"?>
<Properties xmlns="http://schemas.openxmlformats.org/officeDocument/2006/extended-properties" xmlns:vt="http://schemas.openxmlformats.org/officeDocument/2006/docPropsVTypes">
  <Template>Normal</Template>
  <Pages>80</Pages>
  <Words>8474</Words>
  <Characters>48307</Characters>
  <Lines>402</Lines>
  <Paragraphs>113</Paragraphs>
  <TotalTime>655</TotalTime>
  <ScaleCrop>false</ScaleCrop>
  <LinksUpToDate>false</LinksUpToDate>
  <CharactersWithSpaces>56668</CharactersWithSpaces>
  <Application>WPS Office_11.1.0.10503_F1E327BC-269C-435d-A152-05C5408002CA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2021-01-08T06:21:00Z</dcterms:created>
  <dc:creator>lenovo</dc:creator>
  <cp:lastModifiedBy>三衰六旺</cp:lastModifiedBy>
  <cp:lastPrinted>2019-10-06T14:09:00Z</cp:lastPrinted>
  <dcterms:modified xsi:type="dcterms:W3CDTF">2021-07-19T14:43:10Z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1029830496</vt:i4>
  </property>
  <property fmtid="{D5CDD505-2E9C-101B-9397-08002B2CF9AE}" pid="3" name="KSOProductBuildVer">
    <vt:lpwstr>2052-11.1.0.10503</vt:lpwstr>
  </property>
  <property fmtid="{D5CDD505-2E9C-101B-9397-08002B2CF9AE}" pid="4" name="ICV">
    <vt:lpwstr>1EC631EC058A422794DBE31A16AE9133</vt:lpwstr>
  </property>
</Properties>
</file>