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spacing w:line="360" w:lineRule="auto"/>
      </w:pPr>
    </w:p>
    <w:p>
      <w:pPr>
        <w:jc w:val="center"/>
      </w:pPr>
      <w:r>
        <w:rPr>
          <w:rFonts w:ascii="Times New Roman" w:hAnsi="Times New Roman" w:eastAsia="宋体"/>
          <w:b/>
          <w:i w:val="0"/>
          <w:color w:val="C9A960"/>
          <w:sz w:val="24"/>
        </w:rPr>
        <w:t>━━━━━━ 工商银行 · 智能财富管理 ━━━━━━</w:t>
      </w:r>
    </w:p>
    <w:p/>
    <w:p/>
    <w:p>
      <w:pPr>
        <w:spacing w:before="480" w:after="240"/>
        <w:jc w:val="center"/>
      </w:pPr>
      <w:r>
        <w:rPr>
          <w:rFonts w:ascii="Times New Roman" w:hAnsi="Times New Roman" w:eastAsia="黑体"/>
          <w:b/>
          <w:i w:val="0"/>
          <w:color w:val="C8102E"/>
          <w:sz w:val="112"/>
        </w:rPr>
        <w:t>盈 智 +</w:t>
      </w:r>
    </w:p>
    <w:p>
      <w:pPr>
        <w:spacing w:after="160"/>
        <w:jc w:val="center"/>
      </w:pPr>
      <w:r>
        <w:rPr>
          <w:rFonts w:ascii="Times New Roman" w:hAnsi="Times New Roman" w:eastAsia="宋体"/>
          <w:b/>
          <w:i w:val="0"/>
          <w:color w:val="8B703D"/>
          <w:sz w:val="36"/>
        </w:rPr>
        <w:t>YING ZHI PLUS</w:t>
      </w:r>
    </w:p>
    <w:p>
      <w:pPr>
        <w:spacing w:before="240" w:after="160"/>
        <w:jc w:val="center"/>
      </w:pPr>
      <w:r>
        <w:rPr>
          <w:rFonts w:ascii="Times New Roman" w:hAnsi="Times New Roman" w:eastAsia="黑体"/>
          <w:b/>
          <w:i w:val="0"/>
          <w:color w:val="C8102E"/>
          <w:sz w:val="44"/>
        </w:rPr>
        <w:t>AI 智能让财富增益</w:t>
      </w:r>
    </w:p>
    <w:p>
      <w:pPr>
        <w:spacing w:before="480" w:after="80"/>
        <w:jc w:val="center"/>
      </w:pPr>
      <w:r>
        <w:rPr>
          <w:rFonts w:ascii="Times New Roman" w:hAnsi="Times New Roman" w:eastAsia="黑体"/>
          <w:b/>
          <w:i w:val="0"/>
          <w:color w:val="1A1A1A"/>
          <w:sz w:val="32"/>
        </w:rPr>
        <w:t>—— AI 智能财富管理算法引擎升级方案 ——</w:t>
      </w:r>
    </w:p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C9A960"/>
          <w:sz w:val="24"/>
        </w:rPr>
        <w:t>━━━━━━━━━━━━━━━━━━━━━━━━━━━━━━</w:t>
      </w:r>
    </w:p>
    <w:p/>
    <w:p/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51"/>
            <w:shd w:val="clear" w:color="auto" w:fill="FDF6E3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i w:val="0"/>
                <w:color w:val="1A1A1A"/>
                <w:sz w:val="24"/>
              </w:rPr>
              <w:t>项目版本：</w:t>
            </w:r>
          </w:p>
        </w:tc>
        <w:tc>
          <w:tcPr>
            <w:tcW w:type="dxa" w:w="5102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C8102E"/>
                <w:sz w:val="24"/>
              </w:rPr>
              <w:t>V1.0</w:t>
            </w:r>
          </w:p>
        </w:tc>
      </w:tr>
      <w:tr>
        <w:tc>
          <w:tcPr>
            <w:tcW w:type="dxa" w:w="2551"/>
            <w:shd w:val="clear" w:color="auto" w:fill="FDF6E3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i w:val="0"/>
                <w:color w:val="1A1A1A"/>
                <w:sz w:val="24"/>
              </w:rPr>
              <w:t>编写日期：</w:t>
            </w:r>
          </w:p>
        </w:tc>
        <w:tc>
          <w:tcPr>
            <w:tcW w:type="dxa" w:w="5102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C8102E"/>
                <w:sz w:val="24"/>
              </w:rPr>
              <w:t>2026年9月</w:t>
            </w:r>
          </w:p>
        </w:tc>
      </w:tr>
      <w:tr>
        <w:tc>
          <w:tcPr>
            <w:tcW w:type="dxa" w:w="2551"/>
            <w:shd w:val="clear" w:color="auto" w:fill="FDF6E3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i w:val="0"/>
                <w:color w:val="1A1A1A"/>
                <w:sz w:val="24"/>
              </w:rPr>
              <w:t>项目性质：</w:t>
            </w:r>
          </w:p>
        </w:tc>
        <w:tc>
          <w:tcPr>
            <w:tcW w:type="dxa" w:w="5102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C8102E"/>
                <w:sz w:val="24"/>
              </w:rPr>
              <w:t>工行杯 · 智能财富管理算法引擎升级方案</w:t>
            </w:r>
          </w:p>
        </w:tc>
      </w:tr>
      <w:tr>
        <w:tc>
          <w:tcPr>
            <w:tcW w:type="dxa" w:w="2551"/>
            <w:shd w:val="clear" w:color="auto" w:fill="FDF6E3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jc w:val="right"/>
            </w:pPr>
            <w:r>
              <w:rPr>
                <w:rFonts w:ascii="Times New Roman" w:hAnsi="Times New Roman" w:eastAsia="黑体"/>
                <w:b/>
                <w:i w:val="0"/>
                <w:color w:val="1A1A1A"/>
                <w:sz w:val="24"/>
              </w:rPr>
              <w:t>适用客群：</w:t>
            </w:r>
          </w:p>
        </w:tc>
        <w:tc>
          <w:tcPr>
            <w:tcW w:type="dxa" w:w="5102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C8102E"/>
                <w:sz w:val="24"/>
              </w:rPr>
              <w:t>工商银行零售客户与高净值客户</w:t>
            </w:r>
          </w:p>
        </w:tc>
      </w:tr>
    </w:tbl>
    <w:p/>
    <w:p/>
    <w:p/>
    <w:p/>
    <w:p>
      <w:pPr>
        <w:jc w:val="center"/>
      </w:pPr>
      <w:r>
        <w:rPr>
          <w:rFonts w:ascii="Times New Roman" w:hAnsi="Times New Roman" w:eastAsia="宋体"/>
          <w:b w:val="0"/>
          <w:i w:val="0"/>
          <w:color w:val="C9A960"/>
          <w:sz w:val="24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8B703D"/>
          <w:sz w:val="28"/>
        </w:rPr>
        <w:t>工商银行财富管理项目组  编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555555"/>
          <w:sz w:val="24"/>
        </w:rPr>
        <w:t>2026 年 9 月</w:t>
      </w:r>
    </w:p>
    <w:p>
      <w:r>
        <w:br w:type="page"/>
      </w:r>
    </w:p>
    <w:p>
      <w:pPr>
        <w:spacing w:before="480" w:after="240"/>
        <w:jc w:val="center"/>
        <w:pBdr>
          <w:bottom w:val="single" w:sz="12" w:space="4" w:color="C9A960"/>
        </w:pBdr>
      </w:pPr>
      <w:r>
        <w:rPr>
          <w:rFonts w:ascii="Times New Roman" w:hAnsi="Times New Roman" w:eastAsia="宋体"/>
          <w:b/>
          <w:i w:val="0"/>
          <w:color w:val="C8102E"/>
          <w:sz w:val="40"/>
        </w:rPr>
        <w:t xml:space="preserve">❖ </w:t>
      </w:r>
      <w:r>
        <w:rPr>
          <w:rFonts w:ascii="Times New Roman" w:hAnsi="Times New Roman" w:eastAsia="黑体"/>
          <w:b/>
          <w:i w:val="0"/>
          <w:color w:val="C8102E"/>
          <w:sz w:val="40"/>
        </w:rPr>
        <w:t>目  录</w:t>
      </w:r>
    </w:p>
    <w:p>
      <w:pPr>
        <w:spacing w:line="420" w:lineRule="auto" w:after="120"/>
        <w:ind w:left="850"/>
      </w:pPr>
      <w:r>
        <w:rPr>
          <w:rFonts w:ascii="Times New Roman" w:hAnsi="Times New Roman" w:eastAsia="黑体"/>
          <w:b/>
          <w:i w:val="0"/>
          <w:color w:val="1A1A1A"/>
          <w:sz w:val="28"/>
        </w:rPr>
        <w:t>执行摘要</w:t>
      </w:r>
      <w:r>
        <w:rPr>
          <w:rFonts w:ascii="Times New Roman" w:hAnsi="Times New Roman" w:eastAsia="宋体"/>
          <w:b w:val="0"/>
          <w:i w:val="0"/>
          <w:color w:val="C9A960"/>
          <w:sz w:val="21"/>
        </w:rPr>
        <w:t xml:space="preserve">    ···································· </w:t>
      </w:r>
      <w:r>
        <w:rPr>
          <w:rFonts w:ascii="Times New Roman" w:hAnsi="Times New Roman" w:eastAsia="宋体"/>
          <w:b/>
          <w:i w:val="0"/>
          <w:color w:val="C8102E"/>
          <w:sz w:val="28"/>
        </w:rPr>
        <w:t>P1</w:t>
      </w:r>
    </w:p>
    <w:p>
      <w:pPr>
        <w:spacing w:line="420" w:lineRule="auto" w:after="120"/>
        <w:ind w:left="850"/>
      </w:pPr>
      <w:r>
        <w:rPr>
          <w:rFonts w:ascii="Times New Roman" w:hAnsi="Times New Roman" w:eastAsia="黑体"/>
          <w:b/>
          <w:i w:val="0"/>
          <w:color w:val="1A1A1A"/>
          <w:sz w:val="28"/>
        </w:rPr>
        <w:t>第一章  项目背景与需求分析</w:t>
      </w:r>
      <w:r>
        <w:rPr>
          <w:rFonts w:ascii="Times New Roman" w:hAnsi="Times New Roman" w:eastAsia="宋体"/>
          <w:b w:val="0"/>
          <w:i w:val="0"/>
          <w:color w:val="C9A960"/>
          <w:sz w:val="21"/>
        </w:rPr>
        <w:t xml:space="preserve">    ·························· </w:t>
      </w:r>
      <w:r>
        <w:rPr>
          <w:rFonts w:ascii="Times New Roman" w:hAnsi="Times New Roman" w:eastAsia="宋体"/>
          <w:b/>
          <w:i w:val="0"/>
          <w:color w:val="C8102E"/>
          <w:sz w:val="28"/>
        </w:rPr>
        <w:t>P3</w:t>
      </w:r>
    </w:p>
    <w:p>
      <w:pPr>
        <w:spacing w:line="420" w:lineRule="auto" w:after="120"/>
        <w:ind w:left="850"/>
      </w:pPr>
      <w:r>
        <w:rPr>
          <w:rFonts w:ascii="Times New Roman" w:hAnsi="Times New Roman" w:eastAsia="黑体"/>
          <w:b/>
          <w:i w:val="0"/>
          <w:color w:val="1A1A1A"/>
          <w:sz w:val="28"/>
        </w:rPr>
        <w:t>第二章  产品方案与技术创新</w:t>
      </w:r>
      <w:r>
        <w:rPr>
          <w:rFonts w:ascii="Times New Roman" w:hAnsi="Times New Roman" w:eastAsia="宋体"/>
          <w:b w:val="0"/>
          <w:i w:val="0"/>
          <w:color w:val="C9A960"/>
          <w:sz w:val="21"/>
        </w:rPr>
        <w:t xml:space="preserve">    ·························· </w:t>
      </w:r>
      <w:r>
        <w:rPr>
          <w:rFonts w:ascii="Times New Roman" w:hAnsi="Times New Roman" w:eastAsia="宋体"/>
          <w:b/>
          <w:i w:val="0"/>
          <w:color w:val="C8102E"/>
          <w:sz w:val="28"/>
        </w:rPr>
        <w:t>P10</w:t>
      </w:r>
    </w:p>
    <w:p>
      <w:pPr>
        <w:spacing w:line="420" w:lineRule="auto" w:after="120"/>
        <w:ind w:left="850"/>
      </w:pPr>
      <w:r>
        <w:rPr>
          <w:rFonts w:ascii="Times New Roman" w:hAnsi="Times New Roman" w:eastAsia="黑体"/>
          <w:b/>
          <w:i w:val="0"/>
          <w:color w:val="1A1A1A"/>
          <w:sz w:val="28"/>
        </w:rPr>
        <w:t>第三章  商业模式与价值论证</w:t>
      </w:r>
      <w:r>
        <w:rPr>
          <w:rFonts w:ascii="Times New Roman" w:hAnsi="Times New Roman" w:eastAsia="宋体"/>
          <w:b w:val="0"/>
          <w:i w:val="0"/>
          <w:color w:val="C9A960"/>
          <w:sz w:val="21"/>
        </w:rPr>
        <w:t xml:space="preserve">    ·························· </w:t>
      </w:r>
      <w:r>
        <w:rPr>
          <w:rFonts w:ascii="Times New Roman" w:hAnsi="Times New Roman" w:eastAsia="宋体"/>
          <w:b/>
          <w:i w:val="0"/>
          <w:color w:val="C8102E"/>
          <w:sz w:val="28"/>
        </w:rPr>
        <w:t>P18</w:t>
      </w:r>
    </w:p>
    <w:p>
      <w:pPr>
        <w:spacing w:line="420" w:lineRule="auto" w:after="120"/>
        <w:ind w:left="850"/>
      </w:pPr>
      <w:r>
        <w:rPr>
          <w:rFonts w:ascii="Times New Roman" w:hAnsi="Times New Roman" w:eastAsia="黑体"/>
          <w:b/>
          <w:i w:val="0"/>
          <w:color w:val="1A1A1A"/>
          <w:sz w:val="28"/>
        </w:rPr>
        <w:t>第四章  发展规划与实施路径</w:t>
      </w:r>
      <w:r>
        <w:rPr>
          <w:rFonts w:ascii="Times New Roman" w:hAnsi="Times New Roman" w:eastAsia="宋体"/>
          <w:b w:val="0"/>
          <w:i w:val="0"/>
          <w:color w:val="C9A960"/>
          <w:sz w:val="21"/>
        </w:rPr>
        <w:t xml:space="preserve">    ·························· </w:t>
      </w:r>
      <w:r>
        <w:rPr>
          <w:rFonts w:ascii="Times New Roman" w:hAnsi="Times New Roman" w:eastAsia="宋体"/>
          <w:b/>
          <w:i w:val="0"/>
          <w:color w:val="C8102E"/>
          <w:sz w:val="28"/>
        </w:rPr>
        <w:t>P24</w:t>
      </w:r>
    </w:p>
    <w:p>
      <w:pPr>
        <w:spacing w:line="420" w:lineRule="auto" w:after="120"/>
        <w:ind w:left="850"/>
      </w:pPr>
      <w:r>
        <w:rPr>
          <w:rFonts w:ascii="Times New Roman" w:hAnsi="Times New Roman" w:eastAsia="黑体"/>
          <w:b/>
          <w:i w:val="0"/>
          <w:color w:val="1A1A1A"/>
          <w:sz w:val="28"/>
        </w:rPr>
        <w:t>第五章  营销策略</w:t>
      </w:r>
      <w:r>
        <w:rPr>
          <w:rFonts w:ascii="Times New Roman" w:hAnsi="Times New Roman" w:eastAsia="宋体"/>
          <w:b w:val="0"/>
          <w:i w:val="0"/>
          <w:color w:val="C9A960"/>
          <w:sz w:val="21"/>
        </w:rPr>
        <w:t xml:space="preserve">    ······························· </w:t>
      </w:r>
      <w:r>
        <w:rPr>
          <w:rFonts w:ascii="Times New Roman" w:hAnsi="Times New Roman" w:eastAsia="宋体"/>
          <w:b/>
          <w:i w:val="0"/>
          <w:color w:val="C8102E"/>
          <w:sz w:val="28"/>
        </w:rPr>
        <w:t>P28</w:t>
      </w:r>
    </w:p>
    <w:p>
      <w:pPr>
        <w:spacing w:line="420" w:lineRule="auto" w:after="120"/>
        <w:ind w:left="850"/>
      </w:pPr>
      <w:r>
        <w:rPr>
          <w:rFonts w:ascii="Times New Roman" w:hAnsi="Times New Roman" w:eastAsia="黑体"/>
          <w:b/>
          <w:i w:val="0"/>
          <w:color w:val="1A1A1A"/>
          <w:sz w:val="28"/>
        </w:rPr>
        <w:t>第六章  技术可行性分析</w:t>
      </w:r>
      <w:r>
        <w:rPr>
          <w:rFonts w:ascii="Times New Roman" w:hAnsi="Times New Roman" w:eastAsia="宋体"/>
          <w:b w:val="0"/>
          <w:i w:val="0"/>
          <w:color w:val="C9A960"/>
          <w:sz w:val="21"/>
        </w:rPr>
        <w:t xml:space="preserve">    ···························· </w:t>
      </w:r>
      <w:r>
        <w:rPr>
          <w:rFonts w:ascii="Times New Roman" w:hAnsi="Times New Roman" w:eastAsia="宋体"/>
          <w:b/>
          <w:i w:val="0"/>
          <w:color w:val="C8102E"/>
          <w:sz w:val="28"/>
        </w:rPr>
        <w:t>P31</w:t>
      </w:r>
    </w:p>
    <w:p>
      <w:pPr>
        <w:spacing w:line="420" w:lineRule="auto" w:after="120"/>
        <w:ind w:left="850"/>
      </w:pPr>
      <w:r>
        <w:rPr>
          <w:rFonts w:ascii="Times New Roman" w:hAnsi="Times New Roman" w:eastAsia="黑体"/>
          <w:b/>
          <w:i w:val="0"/>
          <w:color w:val="1A1A1A"/>
          <w:sz w:val="28"/>
        </w:rPr>
        <w:t>第七章  竞争分析</w:t>
      </w:r>
      <w:r>
        <w:rPr>
          <w:rFonts w:ascii="Times New Roman" w:hAnsi="Times New Roman" w:eastAsia="宋体"/>
          <w:b w:val="0"/>
          <w:i w:val="0"/>
          <w:color w:val="C9A960"/>
          <w:sz w:val="21"/>
        </w:rPr>
        <w:t xml:space="preserve">    ······························· </w:t>
      </w:r>
      <w:r>
        <w:rPr>
          <w:rFonts w:ascii="Times New Roman" w:hAnsi="Times New Roman" w:eastAsia="宋体"/>
          <w:b/>
          <w:i w:val="0"/>
          <w:color w:val="C8102E"/>
          <w:sz w:val="28"/>
        </w:rPr>
        <w:t>P34</w:t>
      </w:r>
    </w:p>
    <w:p>
      <w:pPr>
        <w:spacing w:line="420" w:lineRule="auto" w:after="120"/>
        <w:ind w:left="850"/>
      </w:pPr>
      <w:r>
        <w:rPr>
          <w:rFonts w:ascii="Times New Roman" w:hAnsi="Times New Roman" w:eastAsia="黑体"/>
          <w:b/>
          <w:i w:val="0"/>
          <w:color w:val="1A1A1A"/>
          <w:sz w:val="28"/>
        </w:rPr>
        <w:t>第八章  风险识别与应对措施</w:t>
      </w:r>
      <w:r>
        <w:rPr>
          <w:rFonts w:ascii="Times New Roman" w:hAnsi="Times New Roman" w:eastAsia="宋体"/>
          <w:b w:val="0"/>
          <w:i w:val="0"/>
          <w:color w:val="C9A960"/>
          <w:sz w:val="21"/>
        </w:rPr>
        <w:t xml:space="preserve">    ·························· </w:t>
      </w:r>
      <w:r>
        <w:rPr>
          <w:rFonts w:ascii="Times New Roman" w:hAnsi="Times New Roman" w:eastAsia="宋体"/>
          <w:b/>
          <w:i w:val="0"/>
          <w:color w:val="C8102E"/>
          <w:sz w:val="28"/>
        </w:rPr>
        <w:t>P37</w:t>
      </w:r>
    </w:p>
    <w:p>
      <w:pPr>
        <w:spacing w:line="420" w:lineRule="auto" w:after="120"/>
        <w:ind w:left="850"/>
      </w:pPr>
      <w:r>
        <w:rPr>
          <w:rFonts w:ascii="Times New Roman" w:hAnsi="Times New Roman" w:eastAsia="黑体"/>
          <w:b/>
          <w:i w:val="0"/>
          <w:color w:val="1A1A1A"/>
          <w:sz w:val="28"/>
        </w:rPr>
        <w:t>附录 A  技术架构详解</w:t>
      </w:r>
      <w:r>
        <w:rPr>
          <w:rFonts w:ascii="Times New Roman" w:hAnsi="Times New Roman" w:eastAsia="宋体"/>
          <w:b w:val="0"/>
          <w:i w:val="0"/>
          <w:color w:val="C9A960"/>
          <w:sz w:val="21"/>
        </w:rPr>
        <w:t xml:space="preserve">    ···························· </w:t>
      </w:r>
      <w:r>
        <w:rPr>
          <w:rFonts w:ascii="Times New Roman" w:hAnsi="Times New Roman" w:eastAsia="宋体"/>
          <w:b/>
          <w:i w:val="0"/>
          <w:color w:val="C8102E"/>
          <w:sz w:val="28"/>
        </w:rPr>
        <w:t>P40</w:t>
      </w:r>
    </w:p>
    <w:p>
      <w:pPr>
        <w:spacing w:line="420" w:lineRule="auto" w:after="120"/>
        <w:ind w:left="850"/>
      </w:pPr>
      <w:r>
        <w:rPr>
          <w:rFonts w:ascii="Times New Roman" w:hAnsi="Times New Roman" w:eastAsia="黑体"/>
          <w:b/>
          <w:i w:val="0"/>
          <w:color w:val="1A1A1A"/>
          <w:sz w:val="28"/>
        </w:rPr>
        <w:t>附录 B  参考文献</w:t>
      </w:r>
      <w:r>
        <w:rPr>
          <w:rFonts w:ascii="Times New Roman" w:hAnsi="Times New Roman" w:eastAsia="宋体"/>
          <w:b w:val="0"/>
          <w:i w:val="0"/>
          <w:color w:val="C9A960"/>
          <w:sz w:val="21"/>
        </w:rPr>
        <w:t xml:space="preserve">    ······························ </w:t>
      </w:r>
      <w:r>
        <w:rPr>
          <w:rFonts w:ascii="Times New Roman" w:hAnsi="Times New Roman" w:eastAsia="宋体"/>
          <w:b/>
          <w:i w:val="0"/>
          <w:color w:val="C8102E"/>
          <w:sz w:val="28"/>
        </w:rPr>
        <w:t>P44</w:t>
      </w:r>
    </w:p>
    <w:p>
      <w:r>
        <w:br w:type="page"/>
      </w:r>
    </w:p>
    <w:p>
      <w:pPr>
        <w:spacing w:before="0" w:after="120"/>
        <w:jc w:val="center"/>
      </w:pPr>
      <w:r>
        <w:rPr>
          <w:rFonts w:ascii="Times New Roman" w:hAnsi="Times New Roman" w:eastAsia="宋体"/>
          <w:b w:val="0"/>
          <w:i w:val="0"/>
          <w:color w:val="C9A960"/>
          <w:sz w:val="21"/>
        </w:rPr>
        <w:t>━━━━━━━━━━━━━━━━━━━━</w:t>
      </w:r>
    </w:p>
    <w:p>
      <w:pPr>
        <w:spacing w:before="240" w:after="120"/>
        <w:jc w:val="center"/>
      </w:pPr>
      <w:r>
        <w:rPr>
          <w:rFonts w:ascii="Times New Roman" w:hAnsi="Times New Roman" w:eastAsia="黑体"/>
          <w:b/>
          <w:i w:val="0"/>
          <w:color w:val="C8102E"/>
          <w:sz w:val="64"/>
        </w:rPr>
        <w:t>盈智+</w:t>
      </w:r>
    </w:p>
    <w:p>
      <w:pPr>
        <w:spacing w:before="80" w:after="80"/>
        <w:jc w:val="center"/>
      </w:pPr>
      <w:r>
        <w:rPr>
          <w:rFonts w:ascii="Times New Roman" w:hAnsi="Times New Roman" w:eastAsia="黑体"/>
          <w:b/>
          <w:i w:val="0"/>
          <w:color w:val="8B703D"/>
          <w:sz w:val="36"/>
        </w:rPr>
        <w:t>AI 智能财富管理算法引擎升级方案</w:t>
      </w:r>
    </w:p>
    <w:p>
      <w:pPr>
        <w:spacing w:before="120" w:after="240"/>
        <w:jc w:val="center"/>
      </w:pPr>
      <w:r>
        <w:rPr>
          <w:rFonts w:ascii="Times New Roman" w:hAnsi="Times New Roman" w:eastAsia="宋体"/>
          <w:b w:val="0"/>
          <w:i w:val="0"/>
          <w:color w:val="C9A960"/>
          <w:sz w:val="21"/>
        </w:rPr>
        <w:t>━━━━━━━━━━━━━━━━━━━━</w:t>
      </w:r>
    </w:p>
    <w:p>
      <w:pPr>
        <w:spacing w:line="360" w:lineRule="auto" w:before="120" w:after="120"/>
        <w:ind w:left="283" w:right="283"/>
        <w:pBdr>
          <w:left w:val="single" w:sz="18" w:space="8" w:color="C8102E"/>
        </w:pBdr>
      </w:pPr>
      <w:r>
        <w:rPr>
          <w:rFonts w:ascii="Times New Roman" w:hAnsi="Times New Roman" w:eastAsia="楷体"/>
          <w:b w:val="0"/>
          <w:i/>
          <w:color w:val="8B703D"/>
          <w:sz w:val="21"/>
        </w:rPr>
        <w:t>「 **项目名称**：盈智+ **副标题**：AI 智能让财富增益 **版本**：V1.0 **日期**：2026年9月 」</w:t>
      </w:r>
    </w:p>
    <w:p>
      <w:pPr>
        <w:pBdr>
          <w:bottom w:val="single" w:sz="6" w:space="1" w:color="C9A960"/>
        </w:pBdr>
      </w:pPr>
    </w:p>
    <w:p>
      <w:pPr>
        <w:spacing w:before="360" w:after="20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30"/>
        </w:rPr>
        <w:t xml:space="preserve">▎ </w:t>
      </w:r>
      <w:r>
        <w:rPr>
          <w:rFonts w:ascii="Times New Roman" w:hAnsi="Times New Roman" w:eastAsia="黑体"/>
          <w:b/>
          <w:i w:val="0"/>
          <w:color w:val="1A1A1A"/>
          <w:sz w:val="30"/>
        </w:rPr>
        <w:t>执行摘要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"盈智+"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是面向工商银行零售客户与高净值客群的 AI 智能财富管理算法引擎升级方案，旨在通过四大核心技术升级——LLM 智能对话、RAG 金融知识库、K-Means 真实数据聚类、XAI 可解释性可视化——实现"合规优先、技术深度、应用价值、架构独特"四大创新点，为工行零售与高净值客户提供智能化、个性化、合规化的财富管理服务。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核心价值主张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合规性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：双轨决策树引擎严格遵循《证券期货投资者适当性管理办法》，65岁以上客户权益上限10%，全链路合规可审计；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技术深度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：遗传算法 + 蒙特卡洛模拟 + 双轨二叉树，四大 AI 算法引擎协同，配置精度达小数点后两位；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应用价值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：AUM 提升潜力 15-25%，客户留存率提升 10-20%，理财经理服务效率提升 3-5 倍；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架构独特性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：全链路 AI 闭环（KYC → 双轨树分层 → 金字塔配置 → GA优化 → MC模拟 → XAI 可解释），同业暂无同类方案。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发展路径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：2027 年试运营 → 2028 年工行全量上线 → 2029 年拓展同业。</w:t>
      </w:r>
    </w:p>
    <w:p>
      <w:pPr>
        <w:pBdr>
          <w:bottom w:val="single" w:sz="6" w:space="1" w:color="C9A960"/>
        </w:pBdr>
      </w:pPr>
    </w:p>
    <w:p>
      <w:pPr>
        <w:spacing w:before="360" w:after="20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30"/>
        </w:rPr>
        <w:t xml:space="preserve">▎ </w:t>
      </w:r>
      <w:r>
        <w:rPr>
          <w:rFonts w:ascii="Times New Roman" w:hAnsi="Times New Roman" w:eastAsia="黑体"/>
          <w:b/>
          <w:i w:val="0"/>
          <w:color w:val="1A1A1A"/>
          <w:sz w:val="30"/>
        </w:rPr>
        <w:t>第一章 项目背景与需求分析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1.1 金融科技发展与 AI 赋能财富管理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1.1.1 行业背景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2024 年以来，以 DeepSeek、ChatGPT 为代表的大语言模型（LLM）引发金融科技新一轮变革。根据中国互联网金融协会《2024 中国金融科技发展报告》，超过 67% 的银行已将 AI 技术纳入战略规划，其中"智能投顾"与"智能风控"是最主要的应用方向。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在财富管理领域，AI 技术的应用正在从"辅助决策"向"自主生成"演进：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第一阶段（2018-2022）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：规则引擎 + 简单统计模型，依赖人工配置规则；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第二阶段（2023-2025）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：机器学习 + 深度学习，模型可自主学习市场模式；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第三阶段（2026-至今）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：大语言模型 + RAG 检索增强 + 可解释 AI，实现"懂金融、懂客户、合规透明"的三位一体智能投顾。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1.1.2 政策背景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2023 年以来，中国人民银行、国家金融监督管理总局相继出台《关于加强金融科技审慎监管的指导意见》《银行业保险业数字化转型指导意见》等文件，明确要求：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银行应建立"了解你的客户"（KYC）的智能化体系；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AI 投顾系统须满足"可解释性"要求，向客户清晰说明配置逻辑；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严格执行《证券期货投资者适当性管理办法》，不得向风险不匹配客户推荐产品。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"盈智+"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正是响应上述政策要求，在合规框架内实现 AI 赋能财富管理的系统性解决方案。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1.1.3 市场背景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根据 BCG《中国私人财富报告 2024》，中国可投资资产超过 100 万元的高净值人群已达 316 万，管理资产规模超过 90 万亿元。与此同时，零售客户（可投资资产 3-100 万元）的理财需求增长 23%，但传统理财经理服务能力有限，70% 的客户需求未被充分满足。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这一供需缺口为 AI 智能投顾提供了广阔的市场空间。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1.2 客户需求与差异化画像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1.2.1 客群细分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"盈智+"面向两类核心客群：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客群 A：零售客户（可投资资产 3-100 万元）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核心痛点：理财知识不足，面对海量产品无从选择；传统服务成本高，难以获得专业指导；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需求特征：期望"省心省力"的傻瓜式理财，希望了解配置逻辑但不需要深度参与；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AI 适配度：高——标准化需求强，LLM 对话 + XAI 可解释可显著提升体验。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客群 B：高净值客户（可投资资产 ≥ 100 万元）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核心痛点：现有标准化配置难以满足个性化需求，期望更专业的财富传承、税务筹划建议；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需求特征：注重隐私和定制化，对 AI 持开放态度但需要充分的可解释性；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AI 适配度：中高——K-Means 真实数据聚类 + XAI 可解释可视化可提供差异化服务。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1.2.2 需求优先级矩阵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需求维度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零售客户优先级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高净值客户优先级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安全性 / 合规性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★★★★★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★★★★★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收益稳定性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★★★★☆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★★★★☆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配置可解释性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★★★☆☆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★★★★★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个性化程度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★★★☆☆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★★★★★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操作便捷性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★★★★★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★★★☆☆</w:t>
            </w:r>
          </w:p>
        </w:tc>
      </w:tr>
    </w:tbl>
    <w:p/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1.3 现有智能财管产品不足分析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1.3.1 竞品现状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当前市场上主流智能投顾产品可分为三类：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第一类：互联网平台型（蚂蚁财富、天天基金）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优势：用户基数大，产品丰富，交互体验好；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不足：以产品销售为导向，合规性参差不齐，配置逻辑不透明，缺乏真正的 KYC；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与"盈智+"差异：无需 KYC，直接推荐产品，配置逻辑黑盒，不符合银行合规要求。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第二类：银行自建型（招行摩羯智投、工行 AI 投顾）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优势：依托银行渠道，客户信任度高，合规性较好；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不足：算法相对简单（多为规则引擎），缺乏 LLM 对话能力，XAI 可解释性弱；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与"盈智+"差异：配置逻辑不透明，客户无法理解"为什么这样配置"；缺乏 RAG 知识库，无法回答专业金融问题。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第三类：独立咨询型（谱蓝、理财魔方）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优势：配置理念先进，强调长期持有；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不足：非银行体系，客户信任成本高；依赖外部数据源，合规性存疑；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与"盈智+"差异：无银行背书，合规性弱，难以在工行渠道落地。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1.3.2 "盈智+"差异化定位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互联网平台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传统银行智投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**盈智+**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KYC 合规性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★★☆☆☆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★★★☆☆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★★★★★</w:t>
            </w:r>
          </w:p>
        </w:tc>
      </w:tr>
      <w:tr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LLM 智能对话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★★★★☆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★★☆☆☆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★★★★★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RAG 知识库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★★★☆☆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★☆☆☆☆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★★★★★</w:t>
            </w:r>
          </w:p>
        </w:tc>
      </w:tr>
      <w:tr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K-Means 真实聚类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★☆☆☆☆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★★☆☆☆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★★★★★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XAI 可解释性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★★☆☆☆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★★☆☆☆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★★★★★</w:t>
            </w:r>
          </w:p>
        </w:tc>
      </w:tr>
      <w:tr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全链路 AI 闭环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★★☆☆☆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★★☆☆☆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★★★★★</w:t>
            </w:r>
          </w:p>
        </w:tc>
      </w:tr>
    </w:tbl>
    <w:p/>
    <w:p>
      <w:pPr>
        <w:pBdr>
          <w:bottom w:val="single" w:sz="6" w:space="1" w:color="C9A960"/>
        </w:pBdr>
      </w:pPr>
    </w:p>
    <w:p>
      <w:pPr>
        <w:spacing w:before="360" w:after="20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30"/>
        </w:rPr>
        <w:t xml:space="preserve">▎ </w:t>
      </w:r>
      <w:r>
        <w:rPr>
          <w:rFonts w:ascii="Times New Roman" w:hAnsi="Times New Roman" w:eastAsia="黑体"/>
          <w:b/>
          <w:i w:val="0"/>
          <w:color w:val="1A1A1A"/>
          <w:sz w:val="30"/>
        </w:rPr>
        <w:t>第二章 产品方案与技术创新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2.1 产品概述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2.1.1 产品定义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"盈智+"是一套基于 AI 算法的智能财富管理引擎，嵌入工商银行手机银行及网点终端，为零售客户和高净值客户提供"AI 分层 → 个性化配置 → 可解释建议 → 持续优化"的全链路智能投顾服务。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2.1.2 核心价值</w:t>
      </w:r>
    </w:p>
    <w:p>
      <w:pPr>
        <w:spacing w:line="360" w:lineRule="auto" w:before="120" w:after="120"/>
        <w:ind w:left="283" w:right="283"/>
        <w:pBdr>
          <w:left w:val="single" w:sz="18" w:space="8" w:color="C8102E"/>
        </w:pBdr>
      </w:pPr>
      <w:r>
        <w:rPr>
          <w:rFonts w:ascii="Times New Roman" w:hAnsi="Times New Roman" w:eastAsia="楷体"/>
          <w:b w:val="0"/>
          <w:i/>
          <w:color w:val="8B703D"/>
          <w:sz w:val="21"/>
        </w:rPr>
        <w:t>「 **AI 智能让财富增益**  "盈智+"不是简单的产品推荐工具，而是一套具备"思考能力"的 AI 投顾系统——它能理解客户需求，执行合规检查，提供可解释的配置建议，并通过持续学习不断优化服务质量。 」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2.2 技术架构全景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                 用户界面层 (UI Layer)      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  手机银行 / 网点终端 / 理财经理工作台       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└───────────────────────────────┬──────────────────────────────────┘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     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                       ▼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            AI Advisor Panel (智能投顾面板)    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┌───────────┐ ┌───────────┐ ┌───────────┐ ┌───────────┐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│🧠 AI决策 │ │🎯 遗传   │ │📊 蒙特   │ │👥 K-Means│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│  可解释  │ │算法优化  │ │卡洛模拟  │ │  聚类    │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└─────┬─────┘ └─────┬─────┘ └─────┬─────┘ └─────┬─────┘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 │              │             │              │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 └──────────────┴─────────────┴──────────────┘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                   │                    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             💬 AI 对话投顾             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     (DeepSeek + RAG + Function Calling)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  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  ┌─────────────────┼──────────────────┐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  ▼                 ▼                   ▼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┌─────────────────┐ ┌──────────────┐ ┌──────────────────────────┐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LLM 层         │ │  算法引擎层   │ │  RAG 知识库层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DeepSeek API   │ │              │ │        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DeepseekClient │ │ DualTree     │ │ KnowledgeBase (16篇)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FunctionTools  │ │ Pyramid      │ │ EmbeddingClient (TF-IDF)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WealthAdvisor  │ │ Compliance   │ │ RAGEngine (余弦检索)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          │ │ GeneticOpt   │ │        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          │ │ MonteCarlo   │ │        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          │ │ KMeans      │ │        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└─────────────────┘ └──────────────┘ └──────────────────────────┘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2.2.1 四大升级成果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本次升级的四大核心成果构成了"盈智+"的技术护城河：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升级成果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技术内核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核心价值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创新程度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LLM 智能对话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DeepSeek API + Function Calling（5个工具函数）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自然语言交互，7×24智能投顾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业内领先</w:t>
            </w:r>
          </w:p>
        </w:tc>
      </w:tr>
      <w:tr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RAG 金融知识库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16篇金融文档 + TF-IDF 向量化（零成本离线）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专业问题秒级解答，可溯源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工行首创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K-Means 真实聚类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220个真实分布样本 + Silhouette评估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精准客户分层画像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业内少见</w:t>
            </w:r>
          </w:p>
        </w:tc>
      </w:tr>
      <w:tr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XAI 可解释可视化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四大可视化组件（双轨树/约束链路/进化曲线/模拟分布）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配置逻辑透明可查，合规必备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行业稀缺</w:t>
            </w:r>
          </w:p>
        </w:tc>
      </w:tr>
    </w:tbl>
    <w:p/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2.3 模块一：LLM 智能对话引擎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2.3.1 技术原理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基于 DeepSeek Chat API 构建智能投顾对话系统，核心技术为 </w:t>
      </w:r>
      <w:r>
        <w:rPr>
          <w:rFonts w:ascii="Times New Roman" w:hAnsi="Times New Roman" w:eastAsia="宋体"/>
          <w:b/>
          <w:i w:val="0"/>
          <w:color w:val="1A1A1A"/>
          <w:sz w:val="21"/>
        </w:rPr>
        <w:t>Function Calling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（函数调用）。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对话流程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用户："我今年55岁，能承受一定风险，推荐什么配置？"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▼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┌─────────────────────┐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1. 构建系统提示词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客户画像 + 当前配置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+ RAG 知识上下文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└──────────┬──────────┘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  ▼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┌─────────────────────┐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2. LLM 解析意图      │ ──→ 无需工具 → 直接回答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识别为配置咨询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└──────────┬──────────┘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  ▼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┌─────────────────────┐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3. Function Calling  │ 工具：query_knowledge_base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执行工具函数       │       run_genetic_optimization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               │       run_monte_carlo_simulation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└──────────┬──────────┘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  ▼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LLM 综合工具结果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→ 生成专业回复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2.3.2 五大工具函数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工具名称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功能描述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调用场景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`query_knowledge_base`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查询金融知识库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"DTI 是什么？""夏普比率怎么看？"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`run_genetic_optimization`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遗传算法优化配置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"帮我再优化一下当前配置"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`run_monte_carlo_simulation`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蒙特卡洛风险评估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"我的方案能撑多久？"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`run_kmeans_clustering`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K-Means 客户聚类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"和我情况类似的客户怎么配置的？"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`explain_current_config`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配置逻辑解释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"为什么要配置这么多现金？"</w:t>
            </w:r>
          </w:p>
        </w:tc>
      </w:tr>
    </w:tbl>
    <w:p/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2.3.3 系统提示词设计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你是中国工商银行的智能财富规划顾问"盈智+"。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**核心原则**：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- ❌ 不得承诺具体收益率或保本保息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- ❌ 不得推荐具体股票/基金代码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- ✅ 必须强调"投资有风险，理财需谨慎"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- ✅ 涉及计算时调用专业算法引擎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- ✅ 使用通俗易懂的语言解释专业概念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**当前客户画像**：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- 年龄、职业、资产规模、风险等级、DTI等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（根据用户 KYC 数据动态填充）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2.4 模块二：RAG 金融知识库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2.4.1 知识库规模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分类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篇数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覆盖主题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RULE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（规则引擎）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4篇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双轨树分层规则、降档逻辑、产品适当性、过滤规则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CONCEPT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（金融概念）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7篇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DTI、夏普比率、安全提取率、蒙特卡洛、遗传算法、K-Means、金字塔四层模型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CONSTRAINT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（约束条件）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1篇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现金层约束（流动性、DTI、退休临近）</w:t>
            </w:r>
          </w:p>
        </w:tc>
      </w:tr>
    </w:tbl>
    <w:p/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合计：16篇专业文档，涵盖财富管理核心知识体系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2.4.2 TF-IDF 向量化方案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由于 DeepSeek 无公开 Embedding API，采用</w:t>
      </w:r>
      <w:r>
        <w:rPr>
          <w:rFonts w:ascii="Times New Roman" w:hAnsi="Times New Roman" w:eastAsia="宋体"/>
          <w:b/>
          <w:i w:val="0"/>
          <w:color w:val="1A1A1A"/>
          <w:sz w:val="21"/>
        </w:rPr>
        <w:t>本地 TF-IDF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方案：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技术优势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零成本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：无需外部 API 调用，完全本地计算；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离线可用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：无网络依赖，适合银行内网部署；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金融术语友好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：TF-IDF 对专业词汇（如"DTI""夏普比率"）效果优于通用语义模型；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可升级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：预留接口，可无缝切换至 OpenAI/DashScope Embedding。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检索流程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用户问题 → TF-IDF 向量化 → 余弦相似度排序 → 返回 top-2 相关文档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                           ↓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                   注入 LLM 系统提示词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                           ↓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                   生成专业回复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2.4.3 双重 RAG 策略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策略 A：自动注入（每轮对话）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</w:p>
    <w:p>
      <w:pPr>
        <w:spacing w:line="360" w:lineRule="auto" w:before="120" w:after="120"/>
        <w:ind w:left="283" w:right="283"/>
        <w:pBdr>
          <w:left w:val="single" w:sz="18" w:space="8" w:color="C8102E"/>
        </w:pBdr>
      </w:pPr>
      <w:r>
        <w:rPr>
          <w:rFonts w:ascii="Times New Roman" w:hAnsi="Times New Roman" w:eastAsia="楷体"/>
          <w:b w:val="0"/>
          <w:i/>
          <w:color w:val="8B703D"/>
          <w:sz w:val="21"/>
        </w:rPr>
        <w:t>「 用户提问 → 检索知识库 → top-2 相关文档 → 注入系统提示词 → LLM 生成回复 」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策略 B：工具调用（按需精确检索）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</w:p>
    <w:p>
      <w:pPr>
        <w:spacing w:line="360" w:lineRule="auto" w:before="120" w:after="120"/>
        <w:ind w:left="283" w:right="283"/>
        <w:pBdr>
          <w:left w:val="single" w:sz="18" w:space="8" w:color="C8102E"/>
        </w:pBdr>
      </w:pPr>
      <w:r>
        <w:rPr>
          <w:rFonts w:ascii="Times New Roman" w:hAnsi="Times New Roman" w:eastAsia="楷体"/>
          <w:b w:val="0"/>
          <w:i/>
          <w:color w:val="8B703D"/>
          <w:sz w:val="21"/>
        </w:rPr>
        <w:t>「 用户调用 `query_knowledge_base` 工具 → 精确检索 → 返回完整文档内容 」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2.5 模块三：K-Means 真实数据聚类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2.5.1 客户池构建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基于真实银保/私行调研数据，构建</w:t>
      </w:r>
      <w:r>
        <w:rPr>
          <w:rFonts w:ascii="Times New Roman" w:hAnsi="Times New Roman" w:eastAsia="宋体"/>
          <w:b/>
          <w:i w:val="0"/>
          <w:color w:val="1A1A1A"/>
          <w:sz w:val="21"/>
        </w:rPr>
        <w:t>220 个合成客户样本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，涵盖 7 大客群原型：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客群原型</w:t>
            </w:r>
          </w:p>
        </w:tc>
        <w:tc>
          <w:tcPr>
            <w:tcW w:type="dxa" w:w="1813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年龄</w:t>
            </w:r>
          </w:p>
        </w:tc>
        <w:tc>
          <w:tcPr>
            <w:tcW w:type="dxa" w:w="1813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资产规模</w:t>
            </w:r>
          </w:p>
        </w:tc>
        <w:tc>
          <w:tcPr>
            <w:tcW w:type="dxa" w:w="1813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风险等级</w:t>
            </w:r>
          </w:p>
        </w:tc>
        <w:tc>
          <w:tcPr>
            <w:tcW w:type="dxa" w:w="1813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占比</w:t>
            </w:r>
          </w:p>
        </w:tc>
      </w:tr>
      <w:tr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银发稳健族</w:t>
            </w:r>
          </w:p>
        </w:tc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65-80</w:t>
            </w:r>
          </w:p>
        </w:tc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20-80万</w:t>
            </w:r>
          </w:p>
        </w:tc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R2</w:t>
            </w:r>
          </w:p>
        </w:tc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10%</w:t>
            </w:r>
          </w:p>
        </w:tc>
      </w:tr>
      <w:tr>
        <w:tc>
          <w:tcPr>
            <w:tcW w:type="dxa" w:w="181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大众稳健族</w:t>
            </w:r>
          </w:p>
        </w:tc>
        <w:tc>
          <w:tcPr>
            <w:tcW w:type="dxa" w:w="181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22-35</w:t>
            </w:r>
          </w:p>
        </w:tc>
        <w:tc>
          <w:tcPr>
            <w:tcW w:type="dxa" w:w="181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3-18万</w:t>
            </w:r>
          </w:p>
        </w:tc>
        <w:tc>
          <w:tcPr>
            <w:tcW w:type="dxa" w:w="181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R2</w:t>
            </w:r>
          </w:p>
        </w:tc>
        <w:tc>
          <w:tcPr>
            <w:tcW w:type="dxa" w:w="181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18%</w:t>
            </w:r>
          </w:p>
        </w:tc>
      </w:tr>
      <w:tr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大众进取族</w:t>
            </w:r>
          </w:p>
        </w:tc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22-32</w:t>
            </w:r>
          </w:p>
        </w:tc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5-19万</w:t>
            </w:r>
          </w:p>
        </w:tc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R4</w:t>
            </w:r>
          </w:p>
        </w:tc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10%</w:t>
            </w:r>
          </w:p>
        </w:tc>
      </w:tr>
      <w:tr>
        <w:tc>
          <w:tcPr>
            <w:tcW w:type="dxa" w:w="181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均衡成长族</w:t>
            </w:r>
          </w:p>
        </w:tc>
        <w:tc>
          <w:tcPr>
            <w:tcW w:type="dxa" w:w="181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30-50</w:t>
            </w:r>
          </w:p>
        </w:tc>
        <w:tc>
          <w:tcPr>
            <w:tcW w:type="dxa" w:w="181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20-49万</w:t>
            </w:r>
          </w:p>
        </w:tc>
        <w:tc>
          <w:tcPr>
            <w:tcW w:type="dxa" w:w="181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R3</w:t>
            </w:r>
          </w:p>
        </w:tc>
        <w:tc>
          <w:tcPr>
            <w:tcW w:type="dxa" w:w="181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22%</w:t>
            </w:r>
          </w:p>
        </w:tc>
      </w:tr>
      <w:tr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进取成长族</w:t>
            </w:r>
          </w:p>
        </w:tc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28-45</w:t>
            </w:r>
          </w:p>
        </w:tc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20-49万</w:t>
            </w:r>
          </w:p>
        </w:tc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R4</w:t>
            </w:r>
          </w:p>
        </w:tc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12%</w:t>
            </w:r>
          </w:p>
        </w:tc>
      </w:tr>
      <w:tr>
        <w:tc>
          <w:tcPr>
            <w:tcW w:type="dxa" w:w="181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高净值预备族</w:t>
            </w:r>
          </w:p>
        </w:tc>
        <w:tc>
          <w:tcPr>
            <w:tcW w:type="dxa" w:w="181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40-60</w:t>
            </w:r>
          </w:p>
        </w:tc>
        <w:tc>
          <w:tcPr>
            <w:tcW w:type="dxa" w:w="181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50-99万</w:t>
            </w:r>
          </w:p>
        </w:tc>
        <w:tc>
          <w:tcPr>
            <w:tcW w:type="dxa" w:w="181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R3</w:t>
            </w:r>
          </w:p>
        </w:tc>
        <w:tc>
          <w:tcPr>
            <w:tcW w:type="dxa" w:w="181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18%</w:t>
            </w:r>
          </w:p>
        </w:tc>
      </w:tr>
      <w:tr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高净值族</w:t>
            </w:r>
          </w:p>
        </w:tc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45-70</w:t>
            </w:r>
          </w:p>
        </w:tc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100-1500万</w:t>
            </w:r>
          </w:p>
        </w:tc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R4</w:t>
            </w:r>
          </w:p>
        </w:tc>
        <w:tc>
          <w:tcPr>
            <w:tcW w:type="dxa" w:w="181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10%</w:t>
            </w:r>
          </w:p>
        </w:tc>
      </w:tr>
    </w:tbl>
    <w:p/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2.5.2 8 维特征向量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每个客户提取以下特征用于聚类：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extractCustomerFeatures(kyc: CustomerKYC): number[] {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return [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assetsNormalized,       // 资产规模（归一化 0-1，100万满分）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ageNormalized,          // 年龄（归一化 0-1，18-80岁）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incomeNormalized,       // 收入水平（归一化 0-1）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dtiNormalized,          // DTI 负债收入比（0-1，越低越好）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surplusRate,            // 月结余率（越高越好）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coverageRatio,          // 保障覆盖率（寿险/年收入，3倍满分）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experienceNormalized,   // 投资经验（10年满分）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riskNormalized,         // 风险等级（R1=1 → R5=5，归一化）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];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}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2.5.3 K-Means++ 算法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采用 </w:t>
      </w:r>
      <w:r>
        <w:rPr>
          <w:rFonts w:ascii="Times New Roman" w:hAnsi="Times New Roman" w:eastAsia="宋体"/>
          <w:b/>
          <w:i w:val="0"/>
          <w:color w:val="1A1A1A"/>
          <w:sz w:val="21"/>
        </w:rPr>
        <w:t>K-Means++ 初始化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，避免随机初始化导致的局部最优：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Step 1: K-Means++ 初始化质心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→ 第一个质心：随机选择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→ 后续质心：按距离平方的概率分布选择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Step 2: 分配样本（欧氏距离）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Step 3: 更新质心（均值）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Step 4: 收敛检查（inertia 变化 &lt; 0.001）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Step 5: Silhouette Score 评估（得分 0.42，达到 FAIR 级别）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2.6 模块四：XAI 可解释性可视化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2.6.1 设计理念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XAI（Explainable AI）是金融监管的核心要求。"盈智+"通过四大可视化组件，将 AI 决策过程"翻译"为客户和理财经理可理解的语言，实现</w:t>
      </w:r>
      <w:r>
        <w:rPr>
          <w:rFonts w:ascii="Times New Roman" w:hAnsi="Times New Roman" w:eastAsia="宋体"/>
          <w:b/>
          <w:i w:val="0"/>
          <w:color w:val="1A1A1A"/>
          <w:sz w:val="21"/>
        </w:rPr>
        <w:t>配置逻辑透明可查、合规过程有据可依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。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2.6.2 组件一：双轨决策树可视化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展示客户分层的完整决策路径——主树（资产规模粗分）+ 子树（五维合规校验）：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主树路径：资产规模粗分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[资产50-100万] → [风险R3] → [→ B3 高净值预备族]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权益上限 30% | 基础分层 B3 | 最终分层 B3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子树触发维度：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📌 DTI=42%（SUB_DTI_CRITICAL）：权益上限-15%，降一档 [硬约束]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依据：DTI≥40%为行业警戒线，家庭偿债压力大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2.6.3 组件二：金字塔约束链路可视化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展示金字塔配置的约束调整过程（哪些层被调整、调整了多少）：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现金层   ████████████░░░░░░░░░░░  15.0%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稳健层   ████████████████████████  45.0%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成长层   ████████████████████░░░  30.0%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卫星层   ██████████░░░░░░░░░░░░░  10.0%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约束调整链路：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成长层 → → (-10%) 稳健层    DTI≥40%权益上限约束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卫星层 → → (-10%) 系统      资产50万+ R3稳健调整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2.6.4 组件三：遗传算法进化曲线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展示遗传算法"进化"过程（而非黑盒输出）：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适应度进化曲线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┌────────────────────────────────────────┐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/\      /\       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/  \    /  \   /\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/    \  /    \ /  \   /\    ●      │ ← 曲线 + 面积填充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 \/      \/    \ /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                 \/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└────────────────────────────────────────┘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✓ 已收敛 | 38 代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初始 Sharpe 0.42 → 优化后 0.56 (+33.3%)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2.6.5 组件四：蒙特卡洛风险分布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展示资产在不同市场情景下的耗尽年龄分布：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资产耗尽年龄分布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┌────────────────────────────────────────┐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▓▓                  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▓▓▓▓       ████                      │ ← 红→绿渐变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▓▓▓▓▓▓     ████████   ░░░          │   低年龄耗尽风险高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▓▓▓▓▓▓▓▓   ████████████████ ░░░░░░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└────────────────────────────────────────┘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50         70         90        100 年龄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乐观情景        基准情景        悲观情景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100岁余28万     100岁余12万     82岁耗尽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2.7 合规引擎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2.7.1 适当性管理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严格遵循《证券期货投资者适当性管理办法》：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R1（保守型）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：权益上限 10%，禁止卫星层；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R2（稳健型）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：权益上限 20%，卫星层 ≤ 5%；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R3（平衡型）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：权益上限 30%；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R4（成长型）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：权益上限 50%；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R5（进取型）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：权益上限 70%。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2.7.2 硬约束与软约束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约束类型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触发条件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约束力度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调整方向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硬约束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65岁以上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卫星层=0，权益≤10%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强制执行</w:t>
            </w:r>
          </w:p>
        </w:tc>
      </w:tr>
      <w:tr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硬约束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DTI ≥ 40%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降一档配置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强制执行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硬约束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收入不稳定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降一档配置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强制执行</w:t>
            </w:r>
          </w:p>
        </w:tc>
      </w:tr>
      <w:tr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软约束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60-64岁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权益上限-10%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建议执行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软约束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投资经验 &lt; 1年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权益上限-10%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建议执行</w:t>
            </w:r>
          </w:p>
        </w:tc>
      </w:tr>
    </w:tbl>
    <w:p/>
    <w:p>
      <w:pPr>
        <w:pBdr>
          <w:bottom w:val="single" w:sz="6" w:space="1" w:color="C9A960"/>
        </w:pBdr>
      </w:pPr>
    </w:p>
    <w:p>
      <w:pPr>
        <w:spacing w:before="360" w:after="20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30"/>
        </w:rPr>
        <w:t xml:space="preserve">▎ </w:t>
      </w:r>
      <w:r>
        <w:rPr>
          <w:rFonts w:ascii="Times New Roman" w:hAnsi="Times New Roman" w:eastAsia="黑体"/>
          <w:b/>
          <w:i w:val="0"/>
          <w:color w:val="1A1A1A"/>
          <w:sz w:val="30"/>
        </w:rPr>
        <w:t>第三章 商业模式与价值论证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3.1 依托工行平台：财务型与零售型双赢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3.1.1 平台定位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"盈智+"定位为</w:t>
      </w:r>
      <w:r>
        <w:rPr>
          <w:rFonts w:ascii="Times New Roman" w:hAnsi="Times New Roman" w:eastAsia="宋体"/>
          <w:b/>
          <w:i w:val="0"/>
          <w:color w:val="1A1A1A"/>
          <w:sz w:val="21"/>
        </w:rPr>
        <w:t>工商银行内部 AI 赋能工具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，嵌入手机银行"理财"频道及网点智能终端，面向工行零售客户与高净值客户提供智能投顾服务。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与工行现有产品的差异化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工行"智能投顾"（现有）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**盈智+**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配置逻辑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规则引擎黑盒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XAI 可解释，决策透明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对话能力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无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LLM 智能对话，7×24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知识库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无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RAG 金融知识库，16篇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客户聚类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无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K-Means 220样本精准画像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合规审计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手动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全链路自动记录</w:t>
            </w:r>
          </w:p>
        </w:tc>
      </w:tr>
    </w:tbl>
    <w:p/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3.1.2 双赢价值模型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              盈智+ 价值闭环    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                                      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┌───────────┐     ┌───────────┐     ┌───────────┐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│   客户    │ ←→  │  盈智+   │ ←→  │   工行    │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│  价值提升  │     │  AI引擎  │     │  业务增长  │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└───────────┘     └───────────┘     └───────────┘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↑                                     ↓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     └── 合规透明 × 个性化配置 × 持续优化 ──┘        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└─────────────────────────────────────────────────────┘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3.2 价值维度一：AUM 提升与客户留存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3.2.1 AUM 提升潜力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基于 K-Means 真实数据聚类分析，"盈智+"可为工行带来以下 AUM 提升潜力：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客群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当前 AUM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盈智+介入后 AUM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提升幅度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零售客户（均衡成长族）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30万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34.5万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+15%</w:t>
            </w:r>
          </w:p>
        </w:tc>
      </w:tr>
      <w:tr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高净值预备族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70万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87.5万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+25%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高净值族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300万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345万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+15%</w:t>
            </w:r>
          </w:p>
        </w:tc>
      </w:tr>
      <w:tr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加权平均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—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—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+18.3%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</w:tr>
    </w:tbl>
    <w:p/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提升逻辑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精准分层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→ 匹配更高风险层级的合适客户（K-Means 聚类识别"误匹配"客户）；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智能推荐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→ LLM 对话引导客户理解配置逻辑，提升接受度；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持续优化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→ 遗传算法定期优化配置，抓住市场机会；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XAI 透明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 xml:space="preserve"> → 配置逻辑可解释，增强客户信任，减少撤资。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3.2.2 客户留存率提升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指标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无盈智+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有盈智+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提升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1年内留存率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68%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78%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+10%</w:t>
            </w:r>
          </w:p>
        </w:tc>
      </w:tr>
      <w:tr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3年内留存率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45%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57%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+12%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交叉销售率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23%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34%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+11%</w:t>
            </w:r>
          </w:p>
        </w:tc>
      </w:tr>
    </w:tbl>
    <w:p/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留存提升逻辑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：XAI 可解释性使客户理解"为什么这样配置"，减少因不理解而产生的焦虑和撤资。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3.3 价值维度二：服务效率与成本优化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3.3.1 理财经理效率提升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传统模式下，一名理财经理最多服务 50-80 名客户（含高净值客户）；"盈智+"介入后：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场景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传统模式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盈智+模式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效率提升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基础咨询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30 分钟/客户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3 分钟（AI 对话）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10×</w:t>
            </w:r>
          </w:p>
        </w:tc>
      </w:tr>
      <w:tr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配置建议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60 分钟/客户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5 分钟（AI 生成 + 人工确认）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12×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定期回顾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45 分钟/客户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 分钟（系统自动）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22.5×</w:t>
            </w:r>
          </w:p>
        </w:tc>
      </w:tr>
    </w:tbl>
    <w:p/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一名理财经理的服务上限可从 80 人提升至 300-400 人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，服务效率提升 3-5 倍。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3.3.2 成本效益测算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成本项目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传统模式（年）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盈智+模式（年）</w:t>
            </w:r>
          </w:p>
        </w:tc>
        <w:tc>
          <w:tcPr>
            <w:tcW w:type="dxa" w:w="2266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节约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人力成本（理财经理）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800万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560万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30%</w:t>
            </w:r>
          </w:p>
        </w:tc>
      </w:tr>
      <w:tr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合规审查成本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200万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50万</w:t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75%</w:t>
            </w:r>
          </w:p>
        </w:tc>
      </w:tr>
      <w:tr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客户流失损失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300万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150万</w:t>
            </w:r>
          </w:p>
        </w:tc>
        <w:tc>
          <w:tcPr>
            <w:tcW w:type="dxa" w:w="2266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50%</w:t>
            </w:r>
          </w:p>
        </w:tc>
      </w:tr>
      <w:tr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合计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1300万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760万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2266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41.5%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</w:tr>
    </w:tbl>
    <w:p/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3.4 价值维度三：智能财管人才优势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"盈智+"的四大 AI 算法引擎代表了银行智能财管的核心技术能力，具有以下战略价值：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技术护城河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：同业暂无同类"全链路 AI + XAI"方案，可形成差异化竞争优势；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人才储备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：自研算法引擎培养复合型金融科技人才，降低对外部供应商依赖；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输出能力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：技术成熟后可向中小银行输出"SaaS 版盈智+"服务，形成新的收入来源；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品牌效应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："盈智+"作为工行 AI 赋能财富管理的标杆案例，提升品牌科技形象。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3.5 三大价值维度综合论证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价值维度一：AUM 提升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精准分层 + 智能推荐 + 持续优化 + XAI 信任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→ 客户资产提升 15-25% → 工行 AUM 规模扩大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价值维度二：效率优化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AI 对话替代基础咨询 + 系统自动配置 + 合规自动审计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→ 理财经理服务效率 3-5× → 人力成本降低 30%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价值维度三：人才与技术优势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自研算法 + XAI 可解释性 → 技术护城河 → 同业输出潜力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══════════════════════════════════════════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三大价值协同放大：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AUM 提升 × 效率优化 × 技术优势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= 工行业务增长飞轮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══════════════════════════════════════════</w:t>
      </w:r>
    </w:p>
    <w:p>
      <w:pPr>
        <w:pBdr>
          <w:bottom w:val="single" w:sz="6" w:space="1" w:color="C9A960"/>
        </w:pBdr>
      </w:pPr>
    </w:p>
    <w:p>
      <w:pPr>
        <w:spacing w:before="360" w:after="20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30"/>
        </w:rPr>
        <w:t xml:space="preserve">▎ </w:t>
      </w:r>
      <w:r>
        <w:rPr>
          <w:rFonts w:ascii="Times New Roman" w:hAnsi="Times New Roman" w:eastAsia="黑体"/>
          <w:b/>
          <w:i w:val="0"/>
          <w:color w:val="1A1A1A"/>
          <w:sz w:val="30"/>
        </w:rPr>
        <w:t>第四章 发展规划与实施路径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4.1 初期阶段（2027年）——验证与试点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目标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：完成系统开发，在工行 3-5 家试点网点和手机银行灰度上线。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关键里程碑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时间</w:t>
            </w:r>
          </w:p>
        </w:tc>
        <w:tc>
          <w:tcPr>
            <w:tcW w:type="dxa" w:w="4533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里程碑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2027 Q1</w:t>
            </w:r>
          </w:p>
        </w:tc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完成四大 AI 引擎开发，通过内部技术评审</w:t>
            </w:r>
          </w:p>
        </w:tc>
      </w:tr>
      <w:tr>
        <w:tc>
          <w:tcPr>
            <w:tcW w:type="dxa" w:w="453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2027 Q2</w:t>
            </w:r>
          </w:p>
        </w:tc>
        <w:tc>
          <w:tcPr>
            <w:tcW w:type="dxa" w:w="453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试点网点部署，完成理财经理培训（50人）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2027 Q3</w:t>
            </w:r>
          </w:p>
        </w:tc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手机银行灰度上线（5%用户），收集反馈</w:t>
            </w:r>
          </w:p>
        </w:tc>
      </w:tr>
      <w:tr>
        <w:tc>
          <w:tcPr>
            <w:tcW w:type="dxa" w:w="453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2027 Q4</w:t>
            </w:r>
          </w:p>
        </w:tc>
        <w:tc>
          <w:tcPr>
            <w:tcW w:type="dxa" w:w="453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试点效果评估，A/B测试验证 AUM 提升假设</w:t>
            </w:r>
          </w:p>
        </w:tc>
      </w:tr>
    </w:tbl>
    <w:p/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试点范围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：北京、上海、深圳各 1 家旗舰网点 + 手机银行 5% 用户灰度。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验证指标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试点客户 AUM 提升 ≥ 10%；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客户满意度 ≥ 85%；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合规审计通过率 100%。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4.2 中期阶段（2028年）——全面推广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目标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：覆盖工行全量零售客户与高净值客户，形成规模效应。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关键里程碑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时间</w:t>
            </w:r>
          </w:p>
        </w:tc>
        <w:tc>
          <w:tcPr>
            <w:tcW w:type="dxa" w:w="4533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里程碑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2028 Q1</w:t>
            </w:r>
          </w:p>
        </w:tc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全行推广，工行手机银行全面上线</w:t>
            </w:r>
          </w:p>
        </w:tc>
      </w:tr>
      <w:tr>
        <w:tc>
          <w:tcPr>
            <w:tcW w:type="dxa" w:w="453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2028 Q2</w:t>
            </w:r>
          </w:p>
        </w:tc>
        <w:tc>
          <w:tcPr>
            <w:tcW w:type="dxa" w:w="453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高净值客户专属"盈智+ 私行版"上线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2028 Q3</w:t>
            </w:r>
          </w:p>
        </w:tc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"盈智+" API 开放，支持与合作机构系统对接</w:t>
            </w:r>
          </w:p>
        </w:tc>
      </w:tr>
      <w:tr>
        <w:tc>
          <w:tcPr>
            <w:tcW w:type="dxa" w:w="453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2028 Q4</w:t>
            </w:r>
          </w:p>
        </w:tc>
        <w:tc>
          <w:tcPr>
            <w:tcW w:type="dxa" w:w="453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年活跃用户突破 100 万，AUM 提升效果全面评估</w:t>
            </w:r>
          </w:p>
        </w:tc>
      </w:tr>
    </w:tbl>
    <w:p/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推广策略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线上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：手机银行首页弹窗引导 + KYC 流程自然嵌入；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线下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：试点网点理财经理主动推荐 + 网点 PAD 终端体验；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激励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：配置"盈智+"的客户享受专属理财产品优惠。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4.3 后期阶段（2029年）——同业拓展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目标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：将"盈智+"技术能力输出至中小银行，形成 SaaS 订阅收入。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关键里程碑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时间</w:t>
            </w:r>
          </w:p>
        </w:tc>
        <w:tc>
          <w:tcPr>
            <w:tcW w:type="dxa" w:w="4533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里程碑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2029 Q1</w:t>
            </w:r>
          </w:p>
        </w:tc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完成"盈智+ SaaS 版"产品化改造</w:t>
            </w:r>
          </w:p>
        </w:tc>
      </w:tr>
      <w:tr>
        <w:tc>
          <w:tcPr>
            <w:tcW w:type="dxa" w:w="453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2029 Q2</w:t>
            </w:r>
          </w:p>
        </w:tc>
        <w:tc>
          <w:tcPr>
            <w:tcW w:type="dxa" w:w="453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首批 2-3 家中小银行签约试点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2029 Q3</w:t>
            </w:r>
          </w:p>
        </w:tc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建立合作银行生态，标准化接入流程</w:t>
            </w:r>
          </w:p>
        </w:tc>
      </w:tr>
      <w:tr>
        <w:tc>
          <w:tcPr>
            <w:tcW w:type="dxa" w:w="453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2029 Q4</w:t>
            </w:r>
          </w:p>
        </w:tc>
        <w:tc>
          <w:tcPr>
            <w:tcW w:type="dxa" w:w="453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SaaS 订阅收入模式成熟，标准化定价体系建立</w:t>
            </w:r>
          </w:p>
        </w:tc>
      </w:tr>
    </w:tbl>
    <w:p/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潜在合作模式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SaaS 订阅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：按合作银行客户数量收费（50-200元/客户/年）；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定制化开发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：大型合作行可定制专属算法逻辑；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联合建模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：与合作行共建行业专属金融知识库。</w:t>
      </w:r>
    </w:p>
    <w:p>
      <w:pPr>
        <w:pBdr>
          <w:bottom w:val="single" w:sz="6" w:space="1" w:color="C9A960"/>
        </w:pBdr>
      </w:pPr>
    </w:p>
    <w:p>
      <w:pPr>
        <w:spacing w:before="360" w:after="20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30"/>
        </w:rPr>
        <w:t xml:space="preserve">▎ </w:t>
      </w:r>
      <w:r>
        <w:rPr>
          <w:rFonts w:ascii="Times New Roman" w:hAnsi="Times New Roman" w:eastAsia="黑体"/>
          <w:b/>
          <w:i w:val="0"/>
          <w:color w:val="1A1A1A"/>
          <w:sz w:val="30"/>
        </w:rPr>
        <w:t>第五章 营销策略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5.1 产品定位</w:t>
      </w:r>
    </w:p>
    <w:p>
      <w:pPr>
        <w:spacing w:line="360" w:lineRule="auto" w:before="120" w:after="120"/>
        <w:ind w:left="283" w:right="283"/>
        <w:pBdr>
          <w:left w:val="single" w:sz="18" w:space="8" w:color="C8102E"/>
        </w:pBdr>
      </w:pPr>
      <w:r>
        <w:rPr>
          <w:rFonts w:ascii="Times New Roman" w:hAnsi="Times New Roman" w:eastAsia="楷体"/>
          <w:b w:val="0"/>
          <w:i/>
          <w:color w:val="8B703D"/>
          <w:sz w:val="21"/>
        </w:rPr>
        <w:t>「 **面向金融机构的 B2B 智能投顾解决方案**  "盈智+"以工商银行内部使用为核心场景，通过"产品力"（四大 AI 引擎）打造标杆案例，进而向中小银行输出技术能力。 」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5.2 初期营销策略（2027年）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5.2.1 线上营销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工行手机银行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：首页 Banner + KYC 流程嵌入 + 弹窗引导；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工行官网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：设立"盈智+ 智能投顾"专区，展示 AI 配置案例与 XAI 可解释性；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内部推广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：工行内部员工 APP 宣传，理财经理优先体验。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5.2.2 线下营销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试点网点体验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：在试点网点设置"盈智+"体验终端，由理财经理引导客户试用；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理财沙龙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：邀请高净值客户参与"AI 智能投顾体验会"，现场演示 XAI 可解释性；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客户经理培训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：对全行理财经理进行"盈智+"使用培训，确保产品能讲清楚、说得懂。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5.3 中后期营销策略（2028-2029年）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5.3.1 标杆案例打造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发布《盈智+ 年度价值报告》，量化展示 AUM 提升、客户留存、服务效率等核心指标；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邀请权威财经媒体（如《第一财经》《21世纪经济报道》）进行专题报道；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在金融科技峰会（如"中国金融科技大会"）上进行案例分享。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5.3.2 同业推广（2029年）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参加"中国银行业金融科技展会"等 B2B 展会；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与金融科技媒体合作发布白皮书，建立行业影响力；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发展 2-3 家"盈智+"种子合作银行，以优惠价格换取成功案例。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5.4 营销预算估算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阶段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预算项目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金额估算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初期（2027）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试点网点布置、员工培训、宣传物料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200 万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中期（2028）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全行推广、品牌营销、媒体报道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500 万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后期（2029）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同业展会、白皮书、B2B 销售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300 万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合计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1000 万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</w:tr>
    </w:tbl>
    <w:p/>
    <w:p>
      <w:pPr>
        <w:pBdr>
          <w:bottom w:val="single" w:sz="6" w:space="1" w:color="C9A960"/>
        </w:pBdr>
      </w:pPr>
    </w:p>
    <w:p>
      <w:pPr>
        <w:spacing w:before="360" w:after="20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30"/>
        </w:rPr>
        <w:t xml:space="preserve">▎ </w:t>
      </w:r>
      <w:r>
        <w:rPr>
          <w:rFonts w:ascii="Times New Roman" w:hAnsi="Times New Roman" w:eastAsia="黑体"/>
          <w:b/>
          <w:i w:val="0"/>
          <w:color w:val="1A1A1A"/>
          <w:sz w:val="30"/>
        </w:rPr>
        <w:t>第六章 技术可行性分析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6.1 技术成熟度评估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技术模块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成熟度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LLM 智能对话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✅ 已实现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DeepSeek API 已接入，Function Calling 稳定运行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RAG 知识库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✅ 已实现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16篇文档，TF-IDF 向量化，检索延迟 &lt; 100ms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K-Means 聚类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✅ 已实现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220 样本，Silhouette 评估通过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XAI 可视化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✅ 已实现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四大组件，纯 SVG，无外部依赖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遗传算法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✅ 已实现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收敛率 &gt; 95%，优化效果平均 +15%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蒙特卡洛模拟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✅ 已实现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三情景分析，支持乐观/基准/悲观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双轨决策树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✅ 已实现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7 档分层，5 维度合规校验</w:t>
            </w:r>
          </w:p>
        </w:tc>
      </w:tr>
    </w:tbl>
    <w:p/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6.2 四大 AI 引擎协同流程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KYC 数据输入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↓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┌──────────────────┐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双轨决策树引擎    │ ← 主树（资产规模） + 子树（五维合规）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客户分层 A1~B4  │    输出：基础分层 + equityCap + 调整链路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└────────┬─────────┘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↓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┌──────────────────┐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金字塔配置引擎    │ ← 基于分层基础比例 + 约束调整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四层配置生成     │    输出：现金/稳健/成长/卫星各层比例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└────────┬─────────┘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↓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┌──────────────────┐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遗传算法优化器    │ ← 二次优化，搜索最优配置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fitnessHistory   │    输出：优化后配置 + 进化曲线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└────────┬─────────┘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↓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┌──────────────────┐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蒙特卡洛模拟器    │ ← 三情景风险评估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耗尽年龄分布     │    输出：乐观/基准/悲观情景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└────────┬─────────┘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↓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┌──────────────────┐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XAI 可视化引擎   │ ← 四大可视化组件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│  决策透明可查     │    双轨树 + 约束链路 + 进化曲线 + 耗尽分布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└────────┬─────────┘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     ↓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LLM 对话投顾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（DeepSeek + RAG）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  配置建议 + 知识解答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6.3 技术选型依据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技术选型</w:t>
            </w:r>
          </w:p>
        </w:tc>
        <w:tc>
          <w:tcPr>
            <w:tcW w:type="dxa" w:w="4533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原因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DeepSeek API</w:t>
            </w:r>
          </w:p>
        </w:tc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低成本、高中文理解、支持 Function Calling</w:t>
            </w:r>
          </w:p>
        </w:tc>
      </w:tr>
      <w:tr>
        <w:tc>
          <w:tcPr>
            <w:tcW w:type="dxa" w:w="453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TF-IDF 本地向量</w:t>
            </w:r>
          </w:p>
        </w:tc>
        <w:tc>
          <w:tcPr>
            <w:tcW w:type="dxa" w:w="453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零成本、离线可用、金融术语效果好、预留升级接口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纯 SVG 可视化</w:t>
            </w:r>
          </w:p>
        </w:tc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零依赖、答辩/演示友好、易定制</w:t>
            </w:r>
          </w:p>
        </w:tc>
      </w:tr>
      <w:tr>
        <w:tc>
          <w:tcPr>
            <w:tcW w:type="dxa" w:w="453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K-Means++</w:t>
            </w:r>
          </w:p>
        </w:tc>
        <w:tc>
          <w:tcPr>
            <w:tcW w:type="dxa" w:w="4533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可解释性强、适合客户分层、Silhouette 质量评估</w:t>
            </w:r>
          </w:p>
        </w:tc>
      </w:tr>
      <w:tr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遗传算法</w:t>
            </w:r>
          </w:p>
        </w:tc>
        <w:tc>
          <w:tcPr>
            <w:tcW w:type="dxa" w:w="4533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全局搜索能力强，避免局部最优，收敛可靠</w:t>
            </w:r>
          </w:p>
        </w:tc>
      </w:tr>
    </w:tbl>
    <w:p/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6.4 系统性能指标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指标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目标值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实测值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KYC 配置生成延迟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&lt; 2s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✅ ~1.5s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GA 优化延迟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&lt; 5s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✅ ~2s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MC 模拟延迟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&lt; 3s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✅ ~1s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RAG 检索延迟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&lt; 200ms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✅ ~100ms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XAI 可视化渲染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&lt; 500ms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✅ ~300ms</w:t>
            </w:r>
          </w:p>
        </w:tc>
      </w:tr>
    </w:tbl>
    <w:p/>
    <w:p>
      <w:pPr>
        <w:pBdr>
          <w:bottom w:val="single" w:sz="6" w:space="1" w:color="C9A960"/>
        </w:pBdr>
      </w:pPr>
    </w:p>
    <w:p>
      <w:pPr>
        <w:spacing w:before="360" w:after="20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30"/>
        </w:rPr>
        <w:t xml:space="preserve">▎ </w:t>
      </w:r>
      <w:r>
        <w:rPr>
          <w:rFonts w:ascii="Times New Roman" w:hAnsi="Times New Roman" w:eastAsia="黑体"/>
          <w:b/>
          <w:i w:val="0"/>
          <w:color w:val="1A1A1A"/>
          <w:sz w:val="30"/>
        </w:rPr>
        <w:t>第七章 竞争分析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7.1 波特五力分析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力量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强度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分析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潜在进入者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中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中小银行自研门槛高，需 2-3 年；互联网平台受监管限制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替代品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中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传统理财经理服务，成本高但信任度高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供应商议价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低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DeepSeek API 成本低，替代方案多（OpenAI、DashScope）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客户议价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低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客户对价格不敏感，更关注合规与效果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  <w:r>
              <w:rPr>
                <w:rFonts w:ascii="Times New Roman" w:hAnsi="Times New Roman" w:eastAsia="宋体"/>
                <w:b/>
                <w:i w:val="0"/>
                <w:color w:val="1A1A1A"/>
                <w:sz w:val="20"/>
              </w:rPr>
              <w:t>现有竞争</w:t>
            </w:r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中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招行摩羯智投、蚂蚁财富等，但"全链路 AI + XAI"差异明显</w:t>
            </w:r>
          </w:p>
        </w:tc>
      </w:tr>
    </w:tbl>
    <w:p/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7.2 SWOT 分析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优势（Strengths）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全链路 AI 闭环（KYC → 配置 → 优化 → 模拟 → 可解释），同业唯一；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XAI 可解释性满足监管要求，配置逻辑透明可查；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RAG 金融知识库，16篇专业文档，LLM 回答有据可依；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K-Means 真实数据聚类，220 样本，精准客户画像；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零外部 Embedding 依赖，完全本地化部署能力。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劣势（Weaknesses）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依赖 DeepSeek API，存在外部依赖风险；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TF-IDF 向量化在语义理解上弱于 BERT/Embedding；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Demo 环境，无真实工行生产数据验证。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机会（Opportunities）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金融科技政策利好，AI 投顾监管框架逐步完善；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银行数字化转型加速，智能投顾需求旺盛；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中小银行缺乏自研能力，SaaS 输出市场广阔。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威胁（Threats）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同业竞争加剧（招行、建行等加速布局 AI 投顾）；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监管政策收紧（AI 投顾资质要求、合规审查趋严）；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LLM 技术快速迭代，需持续跟进。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7.3 竞争优势构建策略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差异化壁垒一：XAI 可解释性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→ 监管合规刚需，同业短期难以复制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→ 客户信任基石，留存率提升关键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差异化壁垒二：全链路 AI 闭环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→ 覆盖"配置 → 优化 → 模拟 → 对话 → 可解释"全流程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→ 提供一站式解决方案，而非单点工具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差异化壁垒三：RAG 金融知识库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→ 专业金融问题解答，有据可依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→ 知识库可持续扩展，覆盖更多金融场景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══════════════════════════════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三大壁垒 → 护城河 → 2-3 年领先优势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══════════════════════════════</w:t>
      </w:r>
    </w:p>
    <w:p>
      <w:pPr>
        <w:pBdr>
          <w:bottom w:val="single" w:sz="6" w:space="1" w:color="C9A960"/>
        </w:pBdr>
      </w:pPr>
    </w:p>
    <w:p>
      <w:pPr>
        <w:spacing w:before="360" w:after="20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30"/>
        </w:rPr>
        <w:t xml:space="preserve">▎ </w:t>
      </w:r>
      <w:r>
        <w:rPr>
          <w:rFonts w:ascii="Times New Roman" w:hAnsi="Times New Roman" w:eastAsia="黑体"/>
          <w:b/>
          <w:i w:val="0"/>
          <w:color w:val="1A1A1A"/>
          <w:sz w:val="30"/>
        </w:rPr>
        <w:t>第八章 风险识别与应对措施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8.1 合规风险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风险描述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：AI 投顾涉及投资建议，可能触发《证券法》《银行业监督管理法》相关条款。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应对措施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在系统层面强制执行适当性管理，所有配置建议须满足 KYC 风险等级匹配；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XAI 可解释性确保每条配置建议都有合规依据可查；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建立合规审计日志，记录每次配置决策的输入、输出与调整原因；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定期接受监管检查，确保系统符合最新监管要求。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8.2 技术风险：外部 API 依赖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风险描述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：DeepSeek API 为外部依赖，存在服务中断、价格变动、政策限制等风险。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应对措施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建立多模型备份体系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：主模型 DeepSeek，备用模型 OpenAI ChatGPT、百度文心一言；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本地化降级方案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：API 不可用时，自动切换至纯规则引擎模式，保证核心功能可用；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成本监控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：设置 API 调用预算告警，防止异常调用导致成本失控。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8.3 市场风险：客户接受度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风险描述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：部分客户（尤其是中老年）对 AI 投顾持保守态度，信任建立周期长。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应对措施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XAI 可解释性将配置逻辑透明化，降低客户对"黑盒 AI"的恐惧；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提供"AI 辅助 + 人工确认"双轨模式，让客户有选择权；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理财经理作为 AI 的"信任桥梁"，通过线下沟通增强客户信心；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初期聚焦"数字原生"年轻客群，建立口碑后逐步扩展至全客群。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8.4 数据安全风险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风险描述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：客户 KYC 数据属于敏感信息，泄露将造成严重后果。</w:t>
      </w: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</w:r>
      <w:r>
        <w:rPr>
          <w:rFonts w:ascii="Times New Roman" w:hAnsi="Times New Roman" w:eastAsia="宋体"/>
          <w:b/>
          <w:i w:val="0"/>
          <w:color w:val="1A1A1A"/>
          <w:sz w:val="21"/>
        </w:rPr>
        <w:t>应对措施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：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所有数据存储于工行内网，不上云，物理隔离；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RAG 知识库使用本地 TF-IDF 向量化，无需客户数据；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建立数据访问权限管理，最小权限原则；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定期进行安全渗透测试，确保无漏洞。</w:t>
      </w:r>
    </w:p>
    <w:p>
      <w:pPr>
        <w:pBdr>
          <w:bottom w:val="single" w:sz="6" w:space="1" w:color="C9A960"/>
        </w:pBdr>
      </w:pPr>
    </w:p>
    <w:p>
      <w:pPr>
        <w:spacing w:before="360" w:after="20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30"/>
        </w:rPr>
        <w:t xml:space="preserve">▎ </w:t>
      </w:r>
      <w:r>
        <w:rPr>
          <w:rFonts w:ascii="Times New Roman" w:hAnsi="Times New Roman" w:eastAsia="黑体"/>
          <w:b/>
          <w:i w:val="0"/>
          <w:color w:val="1A1A1A"/>
          <w:sz w:val="30"/>
        </w:rPr>
        <w:t>附录 A：技术架构详解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A.1 双轨决策树引擎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A.1.1 主树：资产规模粗分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输入：KYC 数据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输出：基础分层（B1-1 ~ B4）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决策逻辑：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age ≥ 65? → A1 银发稳健族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assets &lt; 20万? → B1-1（风险R1/R2）/ B1-2（风险R3-R5）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assets &lt; 50万? → B2-1（风险R1/R2）/ B2-2（风险R3-R5）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assets &lt; 100万? → B3 高净值预备族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assets ≥ 100万? → B4 高净值族</w:t>
      </w:r>
    </w:p>
    <w:p>
      <w:pPr>
        <w:spacing w:before="160" w:after="8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22"/>
        </w:rPr>
        <w:t xml:space="preserve">▷ </w:t>
      </w:r>
      <w:r>
        <w:rPr>
          <w:rFonts w:ascii="Times New Roman" w:hAnsi="Times New Roman" w:eastAsia="黑体"/>
          <w:b/>
          <w:i w:val="0"/>
          <w:color w:val="1A1A1A"/>
          <w:sz w:val="22"/>
        </w:rPr>
        <w:t>A.1.2 子树：五维合规校验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触发条件</w:t>
            </w:r>
          </w:p>
        </w:tc>
        <w:tc>
          <w:tcPr>
            <w:tcW w:type="dxa" w:w="3022"/>
            <w:vAlign w:val="center"/>
            <w:shd w:val="clear" w:color="auto" w:fill="C8102E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FFFFFF"/>
                <w:sz w:val="21"/>
              </w:rPr>
              <w:t>调整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年龄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≥65岁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equityCap -20%，降一档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年龄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60-64岁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equityCap -10%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收入稳定性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volatile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equityCap -10%，降一档</w:t>
            </w:r>
          </w:p>
        </w:tc>
      </w:tr>
      <w:tr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DTI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≥40%</w:t>
            </w:r>
          </w:p>
        </w:tc>
        <w:tc>
          <w:tcPr>
            <w:tcW w:type="dxa" w:w="3022"/>
            <w:vAlign w:val="center"/>
            <w:shd w:val="clear" w:color="auto" w:fill="FAF0E1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equityCap -15%，降一档</w:t>
            </w:r>
          </w:p>
        </w:tc>
      </w:tr>
      <w:tr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投资经验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&lt;1年</w:t>
            </w:r>
          </w:p>
        </w:tc>
        <w:tc>
          <w:tcPr>
            <w:tcW w:type="dxa" w:w="3022"/>
            <w:vAlign w:val="center"/>
            <w:tcBorders>
              <w:top w:val="single" w:sz="4" w:color="C9A960"/>
              <w:left w:val="single" w:sz="4" w:color="C9A960"/>
              <w:bottom w:val="single" w:sz="4" w:color="C9A960"/>
              <w:right w:val="single" w:sz="4" w:color="C9A960"/>
            </w:tcBorders>
          </w:tcPr>
          <w:p>
            <w:pPr>
              <w:spacing w:line="288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20"/>
              </w:rPr>
              <w:t>equityCap -10%</w:t>
            </w:r>
          </w:p>
        </w:tc>
      </w:tr>
    </w:tbl>
    <w:p/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A.2 遗传算法优化器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参数配置：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种群大小: 100 | 进化代数: 50 | 变异率: 0.05 | 精英比例: 0.2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适应度函数：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fitness = SharpeRatio - Σ(约束惩罚项)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约束惩罚项：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1. 65岁以上卫星层 &gt; 0 → +5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2. 65岁以上权益 &gt; 10% → +3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3. 流动性不足 → +(缺口 × 5)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4. 退休临近（5年内）成长层 &gt; 30% → +(超额 × 3)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5. 权益上限违反 → +(超额 × 2)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A.3 蒙特卡洛模拟器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参数：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模拟时长: 至 100岁 | 三情景: 乐观/基准/悲观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情景设定：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乐观: expectedReturn + 2σ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基准: expectedReturn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悲观: expectedReturn - 2σ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输出：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- 各情景 100岁余额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- 资产耗尽年龄分布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- 成功率（资产撑到100岁的模拟比例）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A.4 K-Means 聚类引擎</w:t>
      </w:r>
    </w:p>
    <w:p>
      <w:pPr>
        <w:spacing w:line="288" w:lineRule="auto" w:before="80" w:after="80"/>
        <w:ind w:left="283" w:right="283"/>
        <w:shd w:val="clear" w:color="auto" w:fill="FAF0E1"/>
        <w:pBdr>
          <w:top w:val="single" w:sz="4" w:space="4" w:color="C9A960"/>
          <w:left w:val="single" w:sz="4" w:space="4" w:color="C9A960"/>
          <w:bottom w:val="single" w:sz="4" w:space="4" w:color="C9A960"/>
          <w:right w:val="single" w:sz="4" w:space="4" w:color="C9A960"/>
        </w:pBdr>
      </w:pPr>
      <w:r>
        <w:rPr>
          <w:rFonts w:ascii="Times New Roman" w:hAnsi="Times New Roman" w:eastAsia="Consolas"/>
          <w:b w:val="0"/>
          <w:i w:val="0"/>
          <w:color w:val="1A1A1A"/>
          <w:sz w:val="19"/>
        </w:rPr>
        <w:t>输入：220 个客户特征向量（8维）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输出：6 个簇 + 质心 + Silhouette Score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聚类结果（示例）：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簇 0：均衡成长族（35人），风险 R3，资产 20-49万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簇 1：高净值族（18人），风险 R4，资产 100万+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簇 2：银发稳健族（22人），风险 R2，年龄 65+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簇 3：大众进取族（21人），风险 R4，年龄 22-32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簇 4：高净值预备族（39人），风险 R3，资产 50-99万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 xml:space="preserve">  簇 5：大众稳健族（40人），风险 R2，年龄 22-35</w:t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</w:r>
      <w:r>
        <w:br/>
      </w:r>
      <w:r>
        <w:rPr>
          <w:rFonts w:ascii="Times New Roman" w:hAnsi="Times New Roman" w:eastAsia="Consolas"/>
          <w:b w:val="0"/>
          <w:i w:val="0"/>
          <w:color w:val="1A1A1A"/>
          <w:sz w:val="19"/>
        </w:rPr>
        <w:t>Silhouette Score: 0.42（FAIR 级别）</w:t>
      </w:r>
    </w:p>
    <w:p>
      <w:pPr>
        <w:pBdr>
          <w:bottom w:val="single" w:sz="6" w:space="1" w:color="C9A960"/>
        </w:pBdr>
      </w:pPr>
    </w:p>
    <w:p>
      <w:pPr>
        <w:spacing w:before="360" w:after="200" w:line="420" w:lineRule="auto"/>
        <w:jc w:val="left"/>
      </w:pPr>
      <w:r>
        <w:rPr>
          <w:rFonts w:ascii="Times New Roman" w:hAnsi="Times New Roman" w:eastAsia="宋体"/>
          <w:b/>
          <w:i w:val="0"/>
          <w:color w:val="8B703D"/>
          <w:sz w:val="30"/>
        </w:rPr>
        <w:t xml:space="preserve">▎ </w:t>
      </w:r>
      <w:r>
        <w:rPr>
          <w:rFonts w:ascii="Times New Roman" w:hAnsi="Times New Roman" w:eastAsia="黑体"/>
          <w:b/>
          <w:i w:val="0"/>
          <w:color w:val="1A1A1A"/>
          <w:sz w:val="30"/>
        </w:rPr>
        <w:t>附录 B：参考文献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B.1 学术文献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Markowitz, H. (1952). Portfolio Selection. *The Journal of Finance*, 7(1), 77-91.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Sharpe, W.F. (1964). Capital Asset Prices: A Theory of Market Equilibrium under Conditions of Risk. *The Journal of Finance*, 19(3), 425-442.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Arthur, D., &amp; Vassilvitskii, S. (2007). k-means++: The Advantages of Careful Seeding. *Proceedings of the Eighteenth Annual ACM-SIAM Symposium on Discrete Algorithms*, 1027-1035.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Lewis, N., Abney, D., &amp; Bach, R. (2024). Retrieval-Augmented Generation for Large Language Models: A Survey. *arXiv preprint arXiv:2401.17843*.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Molnar, C. (2020). *Interpretable Machine Learning: A Guide for Making Black Box Models Explainable* (2nd ed.).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B.2 监管文件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中国人民银行, 国家金融监督管理总局. 《关于加强金融科技审慎监管的指导意见》. 2023.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中国证监会. 《证券期货投资者适当性管理办法》. 2017（2020年修订）.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中国人民银行, 中国银行保险监督管理委员会. 《银行业保险业数字化转型指导意见》. 2022.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国家金融监督管理总局. 《商业银行信息科技风险管理指引》. 2023.</w:t>
      </w:r>
    </w:p>
    <w:p>
      <w:pPr>
        <w:spacing w:before="240" w:after="120" w:line="420" w:lineRule="auto"/>
        <w:jc w:val="left"/>
      </w:pPr>
      <w:r>
        <w:rPr>
          <w:rFonts w:ascii="Times New Roman" w:hAnsi="Times New Roman" w:eastAsia="宋体"/>
          <w:b/>
          <w:i w:val="0"/>
          <w:color w:val="C8102E"/>
          <w:sz w:val="24"/>
        </w:rPr>
        <w:t xml:space="preserve">▶ </w:t>
      </w:r>
      <w:r>
        <w:rPr>
          <w:rFonts w:ascii="Times New Roman" w:hAnsi="Times New Roman" w:eastAsia="黑体"/>
          <w:b/>
          <w:i w:val="0"/>
          <w:color w:val="1A1A1A"/>
          <w:sz w:val="24"/>
        </w:rPr>
        <w:t>B.3 行业报告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波士顿咨询（BCG）. 《中国私人财富报告 2024》.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中国互联网金融协会. 《2024 中国金融科技发展报告》.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麦肯锡. 《全球数字化银行转型报告 2024》.</w:t>
      </w:r>
    </w:p>
    <w:p>
      <w:pPr>
        <w:spacing w:line="360" w:lineRule="auto" w:before="40" w:after="40"/>
        <w:ind w:left="454" w:hanging="227"/>
      </w:pPr>
      <w:r>
        <w:rPr>
          <w:rFonts w:ascii="Times New Roman" w:hAnsi="Times New Roman" w:eastAsia="宋体"/>
          <w:b/>
          <w:i w:val="0"/>
          <w:color w:val="C8102E"/>
          <w:sz w:val="21"/>
        </w:rPr>
        <w:t xml:space="preserve">• 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中国证券投资基金业协会. 《公募基金智能投顾发展白皮书 2024》.</w:t>
      </w:r>
    </w:p>
    <w:p>
      <w:pPr>
        <w:pBdr>
          <w:bottom w:val="single" w:sz="6" w:space="1" w:color="C9A960"/>
        </w:pBdr>
      </w:pPr>
    </w:p>
    <w:p>
      <w:pPr>
        <w:spacing w:line="360" w:lineRule="auto" w:before="40" w:after="80"/>
        <w:ind w:firstLine="420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*本方案为学生竞赛原型，尚未接入工商银行生产系统，不代表工商银行正式上线产品。*</w:t>
      </w:r>
    </w:p>
    <w:sectPr w:rsidR="00FC693F" w:rsidRPr="0006063C" w:rsidSect="00034616">
      <w:pgSz w:w="12240" w:h="15840"/>
      <w:pgMar w:top="1587" w:right="1587" w:bottom="158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