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Unit 12 Machine Learning Critical Reflection by Alixandria Ali </w:t>
        <w:br w:type="textWrapping"/>
      </w:r>
      <w:r w:rsidDel="00000000" w:rsidR="00000000" w:rsidRPr="00000000">
        <w:rPr>
          <w:rFonts w:ascii="Arial" w:cs="Arial" w:eastAsia="Arial" w:hAnsi="Arial"/>
          <w:sz w:val="24"/>
          <w:szCs w:val="24"/>
          <w:rtl w:val="0"/>
        </w:rPr>
        <w:t xml:space="preserve">(954 words excluding references) </w:t>
      </w:r>
    </w:p>
    <w:p w:rsidR="00000000" w:rsidDel="00000000" w:rsidP="00000000" w:rsidRDefault="00000000" w:rsidRPr="00000000" w14:paraId="00000002">
      <w:pPr>
        <w:numPr>
          <w:ilvl w:val="0"/>
          <w:numId w:val="1"/>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What? Two different problems</w:t>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two assessed projects gave me rather different experiences of machine learning. For the Unit 6 group assignment, we analysed New York City Airbnb listings using regression and clustering. In Unit 11, I worked alone on MovieLens 100K, comparing matrix factorisation with a neural recommender. The Airbnb task asked us to turn messy listing data into pricing guidance; MovieLens asked whether a more flexible model produced better recommendations. Having to justify the models against different questions was more useful than simply learning another algorithm.</w:t>
      </w:r>
    </w:p>
    <w:p w:rsidR="00000000" w:rsidDel="00000000" w:rsidP="00000000" w:rsidRDefault="00000000" w:rsidRPr="00000000" w14:paraId="00000004">
      <w:pPr>
        <w:numPr>
          <w:ilvl w:val="0"/>
          <w:numId w:val="1"/>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 what? Understanding the limits of a result</w:t>
      </w:r>
    </w:p>
    <w:p w:rsidR="00000000" w:rsidDel="00000000" w:rsidP="00000000" w:rsidRDefault="00000000" w:rsidRPr="00000000" w14:paraId="0000000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Our Airbnb group compared a median-price baseline, Ridge regression, Random Forest and Histogram Gradient Boosting. The latter produced the strongest overall reported performance, yet its test R-squared was only 0.146. I initially concentrated on whether the results improved on the baseline. The tutor's feedback made an uncomfortable but fair point: we had shown the figures without fully explaining what they meant for Airbnb or its hosts. The report also described nine clusters more than it interpreted their business uses. A prediction with that much unexplained variation might help a host compare options, but I would not want a price changed automatically on its authority. I wish we had made that distinction more prominent in the report itself.</w:t>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feedback also identified weak academic support, with only one reference in the group report. That made me reconsider what counts as a complete analysis. Our code and figures supported the calculations, but not every modelling choice was adequately justified in writing. The group's decision to keep price out of clustering was sensible because including it would have made a later comparison of cluster prices circular. We should have explained such choices more clearly instead of relying on the appendices to speak for us.</w:t>
      </w:r>
    </w:p>
    <w:p w:rsidR="00000000" w:rsidDel="00000000" w:rsidP="00000000" w:rsidRDefault="00000000" w:rsidRPr="00000000" w14:paraId="0000000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MovieLens, I deliberately used matching five-fold partitions for the two models and selected checkpoints from validation data rather than test performance. The neural model had a slightly lower mean RMSE (0.9332 versus 0.9372), but matrix factorisation had a slightly higher NDCG@10 (0.8103 versus 0.8053). I found that difficult to reduce to a simple winner, which was probably the most useful outcome. NDCG was calculated only for users with enough held-out rated movies, and the experiment used historical ratings and a limited settings search. I had not tested statistical significance either. My preference for matrix factorisation in a pilot rests on its ranking result, shorter training time and inspectable formula, not a claim that it is universally better (Koren, Bell and Volinsky, 2009; He et al., 2017).</w:t>
      </w:r>
    </w:p>
    <w:p w:rsidR="00000000" w:rsidDel="00000000" w:rsidP="00000000" w:rsidRDefault="00000000" w:rsidRPr="00000000" w14:paraId="0000000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training curves taught me something similar. Training error continued to decrease after validation error stopped improving. Restoring the best checkpoint mattered more than continuing to train simply because the loss was falling. SHAP added another caution: it helped account for particular predictions, but could not establish why a user liked a film or whether that prediction was correct (Lundberg and Lee, 2017).</w:t>
      </w:r>
    </w:p>
    <w:p w:rsidR="00000000" w:rsidDel="00000000" w:rsidP="00000000" w:rsidRDefault="00000000" w:rsidRPr="00000000" w14:paraId="00000009">
      <w:pPr>
        <w:numPr>
          <w:ilvl w:val="0"/>
          <w:numId w:val="1"/>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 what? My place in the team</w:t>
      </w:r>
    </w:p>
    <w:p w:rsidR="00000000" w:rsidDel="00000000" w:rsidP="00000000" w:rsidRDefault="00000000" w:rsidRPr="00000000" w14:paraId="0000000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took on coordination and final assembly for the Airbnb report. I prepared section guidance, kept track of tasks, attended meetings, recorded notes, followed up with the others and produced two graphs. I had originally wanted more visualisation work, but another teammate was keen to take it on. I was comfortable organising the process, partly because that is familiar from my professional work, and partly because I considered some team members more technically experienced than me. Our group was fairly quiet but generally dependable. I learnt from how colleagues questioned the missing values, chose clusters and checked the final draft. Reading peers' module discussions also gave me other ways to think about the problems, although my clearest evidence of applying those ideas comes from the assessments rather than the discussion space. I was better at collecting and organising others' work than expressing my own uncertainty about their technical choices.</w:t>
      </w:r>
    </w:p>
    <w:p w:rsidR="00000000" w:rsidDel="00000000" w:rsidP="00000000" w:rsidRDefault="00000000" w:rsidRPr="00000000" w14:paraId="0000000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incident still bothers me. I thought some maps needed tidying, but did not say so because nobody else had raised a concern. My peer evaluation records that hesitation. I was trying to be cooperative, but I confused cooperation with avoiding criticism. Being responsible for assembling the report should have meant raising specific presentation problems early enough to fix them. In another virtual team I would suggest an agreed figure-review stage and give feedback on readability rather than on someone's ability. That feels more practical than promising vaguely to be more assertive.</w:t>
      </w:r>
    </w:p>
    <w:p w:rsidR="00000000" w:rsidDel="00000000" w:rsidP="00000000" w:rsidRDefault="00000000" w:rsidRPr="00000000" w14:paraId="0000000C">
      <w:pPr>
        <w:numPr>
          <w:ilvl w:val="0"/>
          <w:numId w:val="1"/>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Now what? Applying it responsibly</w:t>
      </w:r>
    </w:p>
    <w:p w:rsidR="00000000" w:rsidDel="00000000" w:rsidP="00000000" w:rsidRDefault="00000000" w:rsidRPr="00000000" w14:paraId="0000000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datasets made the consequences of incomplete evidence clearer to me. Airbnb's listing fields missed much of what affects actual prices. In MovieLens, an unrated film was not necessarily disliked, and users with fewer ratings received less reliable predictions. I examined errors by activity and movie popularity, but did not conduct a demographic fairness audit. I also excluded the demographic file rather than treat sensitive attributes as ordinary input features. That choice limited what I could claim about fairness. Numerical IDs do not settle privacy questions either, and GroupLens sets conditions on dataset use (Harper and Konstan, 2015; GroupLens, n.d.).</w:t>
      </w:r>
    </w:p>
    <w:p w:rsidR="00000000" w:rsidDel="00000000" w:rsidP="00000000" w:rsidRDefault="00000000" w:rsidRPr="00000000" w14:paraId="000000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my work on AI-supported educational products, I want evaluation discussions to start with what a system will be used to decide and who might be disadvantaged when it fails. I would test different user groups and realistic future data, describe uncertainty in language that a programme team can act on, and insist on human review where evidence is thin. I also need to practise speaking up earlier when an output is unclear, even if the task is technically complete. The main change for me is quite specific: I no longer want to present a better metric as sufficient evidence that a model is ready to use.</w:t>
      </w:r>
    </w:p>
    <w:p w:rsidR="00000000" w:rsidDel="00000000" w:rsidP="00000000" w:rsidRDefault="00000000" w:rsidRPr="00000000" w14:paraId="0000000F">
      <w:pPr>
        <w:numPr>
          <w:ilvl w:val="0"/>
          <w:numId w:val="1"/>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References</w:t>
      </w:r>
    </w:p>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GroupLens (n.d.) MovieLens 100K README. https://files.grouplens.org/datasets/movielens/ml-100k/README</w:t>
      </w:r>
    </w:p>
    <w:p w:rsidR="00000000" w:rsidDel="00000000" w:rsidP="00000000" w:rsidRDefault="00000000" w:rsidRPr="00000000" w14:paraId="0000001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Harper, F.M. and Konstan, J.A. (2015) The MovieLens Datasets: History and Context. ACM Transactions on Interactive Intelligent Systems, 5(4), Article 19. https://doi.org/10.1145/2827872</w:t>
      </w:r>
    </w:p>
    <w:p w:rsidR="00000000" w:rsidDel="00000000" w:rsidP="00000000" w:rsidRDefault="00000000" w:rsidRPr="00000000" w14:paraId="0000001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X. et al. (2017) Neural Collaborative Filtering. Proceedings of WWW 2017. https://doi.org/10.1145/3038912.3052569</w:t>
      </w:r>
    </w:p>
    <w:p w:rsidR="00000000" w:rsidDel="00000000" w:rsidP="00000000" w:rsidRDefault="00000000" w:rsidRPr="00000000" w14:paraId="0000001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Koren, Y., Bell, R. and Volinsky, C. (2009) Matrix Factorization Techniques for Recommender Systems. Computer, 42(8), pp. 30-37. https://doi.org/10.1109/MC.2009.263</w:t>
      </w:r>
    </w:p>
    <w:p w:rsidR="00000000" w:rsidDel="00000000" w:rsidP="00000000" w:rsidRDefault="00000000" w:rsidRPr="00000000" w14:paraId="0000001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Lundberg, S.M. and Lee, S.-I. (2017) A Unified Approach to Interpreting Model Predictions. Advances in Neural Information Processing Systems, 30. https://arxiv.org/abs/1705.07874</w:t>
      </w:r>
    </w:p>
    <w:p w:rsidR="00000000" w:rsidDel="00000000" w:rsidP="00000000" w:rsidRDefault="00000000" w:rsidRPr="00000000" w14:paraId="0000001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Rolfe, G., Freshwater, D. and Jasper, M. (2001) Critical reflection in nursing and the helping professions. Basingstoke: Palgrave Macmillan</w:t>
      </w:r>
    </w:p>
    <w:p w:rsidR="00000000" w:rsidDel="00000000" w:rsidP="00000000" w:rsidRDefault="00000000" w:rsidRPr="00000000" w14:paraId="0000001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sz w:val="24"/>
          <w:szCs w:val="24"/>
        </w:rPr>
      </w:pPr>
      <w:r w:rsidDel="00000000" w:rsidR="00000000" w:rsidRPr="00000000">
        <w:rPr>
          <w:rtl w:val="0"/>
        </w:rPr>
      </w:r>
    </w:p>
    <w:sectPr>
      <w:headerReference r:id="rId7" w:type="default"/>
      <w:pgSz w:h="15840" w:w="12240" w:orient="portrait"/>
      <w:pgMar w:bottom="108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E-Portfolio URL: </w:t>
    </w:r>
    <w:hyperlink r:id="rId1">
      <w:r w:rsidDel="00000000" w:rsidR="00000000" w:rsidRPr="00000000">
        <w:rPr>
          <w:color w:val="1155cc"/>
          <w:u w:val="single"/>
          <w:rtl w:val="0"/>
        </w:rPr>
        <w:t xml:space="preserve">https://alixali2611.github.io/machine-learning-eportfolio-2026/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alixali2611.github.io/machine-learning-eportfolio-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58W4JXWjtIXmuum9HFBGsZCPoQ==">CgMxLjA4AHIhMTltY0dDWUg3aFhMdkxmRVRmLTFMbkdlRjUxU19kVGdi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