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A596" w14:textId="6BD47089" w:rsidR="00D30391" w:rsidRPr="007D3FA3" w:rsidRDefault="002228AF" w:rsidP="00D30391">
      <w:pPr>
        <w:rPr>
          <w:rStyle w:val="Strong"/>
          <w:rFonts w:ascii="Arial" w:hAnsi="Arial" w:cs="Arial"/>
          <w:sz w:val="36"/>
          <w:szCs w:val="36"/>
        </w:rPr>
      </w:pPr>
      <w:r w:rsidRPr="007D3FA3">
        <w:rPr>
          <w:rStyle w:val="Strong"/>
          <w:rFonts w:ascii="Arial" w:hAnsi="Arial" w:cs="Arial"/>
          <w:sz w:val="36"/>
          <w:szCs w:val="36"/>
        </w:rPr>
        <w:t xml:space="preserve">Supplement 6. </w:t>
      </w:r>
      <w:r w:rsidR="00D30391" w:rsidRPr="007D3FA3">
        <w:rPr>
          <w:rStyle w:val="Strong"/>
          <w:rFonts w:ascii="Arial" w:hAnsi="Arial" w:cs="Arial"/>
          <w:sz w:val="36"/>
          <w:szCs w:val="36"/>
        </w:rPr>
        <w:t xml:space="preserve">Physical activity assessment across included studies. </w:t>
      </w:r>
    </w:p>
    <w:p w14:paraId="62E22896" w14:textId="77777777" w:rsidR="00D30391" w:rsidRPr="00D30391" w:rsidRDefault="00D30391" w:rsidP="00D30391">
      <w:pPr>
        <w:rPr>
          <w:rStyle w:val="Strong"/>
        </w:rPr>
      </w:pPr>
    </w:p>
    <w:tbl>
      <w:tblPr>
        <w:tblW w:w="15310" w:type="dxa"/>
        <w:tblInd w:w="-8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387"/>
        <w:gridCol w:w="9923"/>
      </w:tblGrid>
      <w:tr w:rsidR="00C91D12" w:rsidRPr="00C91D12" w14:paraId="4BA6200F" w14:textId="77777777" w:rsidTr="00C91D12">
        <w:trPr>
          <w:trHeight w:val="260"/>
        </w:trPr>
        <w:tc>
          <w:tcPr>
            <w:tcW w:w="5387" w:type="dxa"/>
            <w:shd w:val="pct10" w:color="auto" w:fill="auto"/>
            <w:vAlign w:val="center"/>
          </w:tcPr>
          <w:p w14:paraId="4490CBBE" w14:textId="4A172687" w:rsidR="00C91D12" w:rsidRPr="00C91D12" w:rsidRDefault="00C91D12" w:rsidP="00C91D12">
            <w:pPr>
              <w:rPr>
                <w:rFonts w:ascii="Helvetica Neue" w:hAnsi="Helvetica Neue"/>
                <w:b/>
                <w:bCs/>
                <w:color w:val="000000"/>
                <w:sz w:val="18"/>
                <w:szCs w:val="18"/>
              </w:rPr>
            </w:pPr>
            <w:r w:rsidRPr="00C91D12">
              <w:rPr>
                <w:rFonts w:ascii="Helvetica Neue" w:hAnsi="Helvetica Neue"/>
                <w:b/>
                <w:bCs/>
                <w:color w:val="000000"/>
                <w:sz w:val="18"/>
                <w:szCs w:val="18"/>
              </w:rPr>
              <w:t xml:space="preserve">Subjective assessment </w:t>
            </w:r>
          </w:p>
        </w:tc>
        <w:tc>
          <w:tcPr>
            <w:tcW w:w="9923" w:type="dxa"/>
            <w:shd w:val="pct10" w:color="auto" w:fill="auto"/>
            <w:vAlign w:val="center"/>
          </w:tcPr>
          <w:p w14:paraId="01E51011" w14:textId="4F608111" w:rsidR="00C91D12" w:rsidRPr="00C91D12" w:rsidRDefault="00C91D12" w:rsidP="002B449C">
            <w:pPr>
              <w:rPr>
                <w:rFonts w:ascii="Helvetica Neue" w:hAnsi="Helvetica Neue"/>
                <w:b/>
                <w:bCs/>
                <w:noProof/>
                <w:color w:val="000000" w:themeColor="text1"/>
                <w:sz w:val="18"/>
                <w:szCs w:val="18"/>
              </w:rPr>
            </w:pPr>
            <w:r w:rsidRPr="00C91D12">
              <w:rPr>
                <w:rFonts w:ascii="Helvetica Neue" w:hAnsi="Helvetica Neue"/>
                <w:b/>
                <w:bCs/>
                <w:noProof/>
                <w:color w:val="000000" w:themeColor="text1"/>
                <w:sz w:val="18"/>
                <w:szCs w:val="18"/>
              </w:rPr>
              <w:t xml:space="preserve">Number of studies </w:t>
            </w:r>
            <w:r w:rsidR="00E07EBE">
              <w:rPr>
                <w:rFonts w:ascii="Helvetica Neue" w:hAnsi="Helvetica Neue"/>
                <w:b/>
                <w:bCs/>
                <w:noProof/>
                <w:color w:val="000000" w:themeColor="text1"/>
                <w:sz w:val="18"/>
                <w:szCs w:val="18"/>
              </w:rPr>
              <w:t>(N = 8)</w:t>
            </w:r>
          </w:p>
        </w:tc>
      </w:tr>
      <w:tr w:rsidR="00CC30D0" w:rsidRPr="00C91D12" w14:paraId="64F23CF1" w14:textId="159E22EB" w:rsidTr="00C91D12">
        <w:trPr>
          <w:trHeight w:val="260"/>
        </w:trPr>
        <w:tc>
          <w:tcPr>
            <w:tcW w:w="5387" w:type="dxa"/>
            <w:shd w:val="clear" w:color="auto" w:fill="auto"/>
            <w:vAlign w:val="center"/>
          </w:tcPr>
          <w:p w14:paraId="6F568326" w14:textId="62D9AB10" w:rsidR="00CC30D0" w:rsidRPr="00C91D12" w:rsidRDefault="00CC30D0" w:rsidP="00C91D12">
            <w:pPr>
              <w:rPr>
                <w:rFonts w:ascii="Helvetica Neue" w:hAnsi="Helvetica Neue"/>
                <w:color w:val="000000"/>
                <w:sz w:val="18"/>
                <w:szCs w:val="18"/>
              </w:rPr>
            </w:pPr>
            <w:r w:rsidRPr="00C91D12">
              <w:rPr>
                <w:rFonts w:ascii="Helvetica Neue" w:hAnsi="Helvetica Neue"/>
                <w:color w:val="000000"/>
                <w:sz w:val="18"/>
                <w:szCs w:val="18"/>
              </w:rPr>
              <w:t>Compliant vs non-compliant with exercise prescription</w:t>
            </w:r>
          </w:p>
        </w:tc>
        <w:tc>
          <w:tcPr>
            <w:tcW w:w="9923" w:type="dxa"/>
            <w:shd w:val="clear" w:color="auto" w:fill="auto"/>
            <w:vAlign w:val="center"/>
          </w:tcPr>
          <w:p w14:paraId="6965CFC3" w14:textId="77777777" w:rsidR="00967DB2" w:rsidRPr="00C91D12" w:rsidRDefault="00967DB2" w:rsidP="002B449C">
            <w:pPr>
              <w:rPr>
                <w:rFonts w:ascii="Helvetica Neue" w:hAnsi="Helvetica Neue"/>
                <w:noProof/>
                <w:color w:val="000000" w:themeColor="text1"/>
                <w:sz w:val="18"/>
                <w:szCs w:val="18"/>
              </w:rPr>
            </w:pPr>
          </w:p>
          <w:p w14:paraId="151747CA" w14:textId="77777777" w:rsidR="00CC30D0" w:rsidRPr="00C91D12" w:rsidRDefault="00CC30D0" w:rsidP="002B449C">
            <w:pPr>
              <w:rPr>
                <w:rFonts w:ascii="Helvetica Neue" w:hAnsi="Helvetica Neue"/>
                <w:noProof/>
                <w:color w:val="000000" w:themeColor="text1"/>
                <w:sz w:val="18"/>
                <w:szCs w:val="18"/>
              </w:rPr>
            </w:pPr>
            <w:r w:rsidRPr="00C91D12">
              <w:rPr>
                <w:rFonts w:ascii="Helvetica Neue" w:hAnsi="Helvetica Neue"/>
                <w:noProof/>
                <w:color w:val="000000" w:themeColor="text1"/>
                <w:sz w:val="18"/>
                <w:szCs w:val="18"/>
              </w:rPr>
              <w:t>N = 5 (Chien, Chen, Garet, &amp; Wang, 2014; Corvera-Tindel, Doering, Gomez, &amp; Dracup, 2004; L. Evangelista et al., 2003; L. S. Evangelista, Berg, &amp; Dracup, 2001; van der Wal et al., 2006)</w:t>
            </w:r>
          </w:p>
          <w:p w14:paraId="6EAE5627" w14:textId="01E04DDA" w:rsidR="00967DB2" w:rsidRPr="00C91D12" w:rsidRDefault="00967DB2" w:rsidP="002B449C">
            <w:pPr>
              <w:rPr>
                <w:rFonts w:ascii="Helvetica Neue" w:hAnsi="Helvetica Neue"/>
                <w:color w:val="000000"/>
                <w:sz w:val="18"/>
                <w:szCs w:val="18"/>
              </w:rPr>
            </w:pPr>
          </w:p>
        </w:tc>
      </w:tr>
      <w:tr w:rsidR="00CC30D0" w:rsidRPr="00C91D12" w14:paraId="4DD95DB5" w14:textId="0A185A8D" w:rsidTr="00C91D12">
        <w:trPr>
          <w:trHeight w:val="260"/>
        </w:trPr>
        <w:tc>
          <w:tcPr>
            <w:tcW w:w="5387" w:type="dxa"/>
            <w:shd w:val="clear" w:color="auto" w:fill="auto"/>
            <w:vAlign w:val="center"/>
          </w:tcPr>
          <w:p w14:paraId="3B693314" w14:textId="5531748E" w:rsidR="00CC30D0" w:rsidRPr="00C91D12" w:rsidRDefault="00C91D12" w:rsidP="002B449C">
            <w:pPr>
              <w:rPr>
                <w:rFonts w:ascii="Helvetica Neue" w:hAnsi="Helvetica Neue"/>
                <w:color w:val="000000" w:themeColor="text1"/>
                <w:sz w:val="18"/>
                <w:szCs w:val="18"/>
                <w:vertAlign w:val="superscript"/>
              </w:rPr>
            </w:pPr>
            <w:r w:rsidRPr="00C91D12">
              <w:rPr>
                <w:rFonts w:ascii="Helvetica Neue" w:hAnsi="Helvetica Neue"/>
                <w:color w:val="000000" w:themeColor="text1"/>
                <w:sz w:val="18"/>
                <w:szCs w:val="18"/>
              </w:rPr>
              <w:t>Daily physical activity, measured using a validated scale</w:t>
            </w:r>
            <w:r>
              <w:rPr>
                <w:rFonts w:ascii="Helvetica Neue" w:hAnsi="Helvetica Neue"/>
                <w:color w:val="000000" w:themeColor="text1"/>
                <w:sz w:val="18"/>
                <w:szCs w:val="18"/>
              </w:rPr>
              <w:t xml:space="preserve">, </w:t>
            </w:r>
            <w:r w:rsidR="00A70B60" w:rsidRPr="00A70B60">
              <w:rPr>
                <w:rFonts w:ascii="Helvetica Neue" w:hAnsi="Helvetica Neue"/>
                <w:color w:val="000000" w:themeColor="text1"/>
                <w:sz w:val="18"/>
                <w:szCs w:val="18"/>
              </w:rPr>
              <w:t xml:space="preserve">International Physical Activity Questionnaire </w:t>
            </w:r>
            <w:r w:rsidR="00A70B60">
              <w:rPr>
                <w:rFonts w:ascii="Helvetica Neue" w:hAnsi="Helvetica Neue"/>
                <w:color w:val="000000" w:themeColor="text1"/>
                <w:sz w:val="18"/>
                <w:szCs w:val="18"/>
              </w:rPr>
              <w:t>(</w:t>
            </w:r>
            <w:r w:rsidR="00CC30D0" w:rsidRPr="00C91D12">
              <w:rPr>
                <w:rFonts w:ascii="Helvetica Neue" w:hAnsi="Helvetica Neue"/>
                <w:color w:val="000000" w:themeColor="text1"/>
                <w:sz w:val="18"/>
                <w:szCs w:val="18"/>
              </w:rPr>
              <w:t>IPAQ</w:t>
            </w:r>
            <w:r w:rsidR="00A70B60">
              <w:rPr>
                <w:rFonts w:ascii="Helvetica Neue" w:hAnsi="Helvetica Neue"/>
                <w:color w:val="000000" w:themeColor="text1"/>
                <w:sz w:val="18"/>
                <w:szCs w:val="18"/>
              </w:rPr>
              <w:t>)</w:t>
            </w:r>
            <w:r w:rsidR="00A70B60" w:rsidRPr="00C91D12">
              <w:rPr>
                <w:rFonts w:ascii="Helvetica Neue" w:hAnsi="Helvetica Neue"/>
                <w:color w:val="000000" w:themeColor="text1"/>
                <w:sz w:val="18"/>
                <w:szCs w:val="18"/>
                <w:vertAlign w:val="superscript"/>
              </w:rPr>
              <w:t xml:space="preserve"> </w:t>
            </w:r>
          </w:p>
        </w:tc>
        <w:tc>
          <w:tcPr>
            <w:tcW w:w="9923" w:type="dxa"/>
            <w:shd w:val="clear" w:color="auto" w:fill="auto"/>
            <w:vAlign w:val="center"/>
          </w:tcPr>
          <w:p w14:paraId="13E6C51B" w14:textId="77777777" w:rsidR="00967DB2" w:rsidRPr="00C91D12" w:rsidRDefault="00967DB2" w:rsidP="002B449C">
            <w:pPr>
              <w:rPr>
                <w:rFonts w:ascii="Helvetica Neue" w:hAnsi="Helvetica Neue"/>
                <w:color w:val="000000" w:themeColor="text1"/>
                <w:sz w:val="18"/>
                <w:szCs w:val="18"/>
              </w:rPr>
            </w:pPr>
          </w:p>
          <w:p w14:paraId="0E979C21" w14:textId="3929CE94" w:rsidR="00CC30D0" w:rsidRPr="00C91D12" w:rsidRDefault="00CC30D0"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2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F1000_CSL_CITATION&lt;~#@#~&gt;[{"DOI":"10.1097/JCN.0000000000000456","First":false,"Last":false,"PMCID":"PMC5908261","PMID":"29189427","abstract":"&lt;strong&gt;BACKGROUND:&lt;/strong&gt; Motivation is necessary in patients with heart failure (HF) who are attempting to become more physically active but may not be sufficient to initiate physical activity. Self-efficacy might explain the relationship between motivation and physical activity.&lt;br&gt;&lt;br&gt;&lt;strong&gt;OBJECTIVE:&lt;/strong&gt; The aim of this study was to examine the role of exercise self-efficacy in the relationship between exercise motivation and physical activity in patients with HF.&lt;br&gt;&lt;br&gt;&lt;strong&gt;METHODS:&lt;/strong&gt; A total of 100 stable patients with HF (88% in New York Heart Association class II/III; mean age, 67 ± 13 years; 62% men) were studied. Self-efficacy was measured with the Exercise Self-Efficacy Scale; motivation, with the Exercise Motivation Index; and physical activity, with a self-report questionnaire. Logistic regression analyses were made to examine the mediation effect of exercise self-efficacy on the relationship between exercise motivation and physical activity.&lt;br&gt;&lt;br&gt;&lt;strong&gt;RESULTS:&lt;/strong&gt; Forty-two percent of the 100 patients reported engaging in less than 60 minutes per week of physical activity. Motivation predicted physical activity (b = 0.58, P &lt;  .05), but after controlling for self-efficacy, the relationship between motivation and physical activity was no longer significant (b = 0.76, P = .06), indicating full mediation.&lt;br&gt;&lt;br&gt;&lt;strong&gt;CONCLUSION:&lt;/strong&gt; Motivation to be physically active is important but not sufficient. In addition to a high level of motivation to be physically active, it is important that patients with HF have a high degree of self-efficacy.","author":[{"family":"Klompstra","given":"Leonie"},{"family":"Jaarsma","given":"Tiny"},{"family":"Strömberg","given":"Anna"}],"authorYearDisplayFormat":false,"citation-label":"8493447","container-title":"The Journal of Cardiovascular Nursing","container-title-short":"J. Cardiovasc. Nurs.","id":"8493447","invisible":false,"issue":"3","issued":{"date-parts":[["2018"]]},"journalAbbreviation":"J. Cardiovasc. Nurs.","page":"211-216","suppress-author":false,"title":"Self-efficacy Mediates the Relationship Between Motivation and Physical Activity in Patients With Heart Failure.","type":"article-journal","volume":"33"},{"DOI":"10.1016/s0002-9149(96)90588-3","First":false,"Last":false,"PMID":"8546084","abstract":"To identify predictors of physical activity levels in patients with chronic heart failure, 43 patients, aged 33 to 91 years, who had well-compensated heart failure were asked to perform a symptom-limited exercise treadmill test and to complete activity logs for 2 consecutive days while wearing an ambulatory heart rate activity monitor. Activity logs included information on the type of activity, duration, rating of perceived exertion, symptoms experienced, and the intensity of symptoms. Subjects also completed the Duke Activity Status Index, a brief self-administered questionnaire that assesses physical functioning, and a self-efficacy for general activity questionnaire. Simultaneous multiple regression analysis was used to predict physical activity levels from a model that included: personal variables of physical fitness (peak oxygen consumption); knowledge, attitudes, and beliefs including self-efficacy for general activity, and rating of perceived exertion during daily activity; and environmental factors such as social support (marital status). The overall model explained 38% of the variance (p &lt;  0.001). Self-efficacy (p = 0.015) was the strongest predictor of physical activity in this group. From this initial descriptive study, we conclude that self-efficacy is a better predictor of performance of physical activity than measures of physical fitness or rating of perceived exertion during activity. Additional studies are needed to examine other behavioral and physiologic mediators as well as behavioral strategies that may be used to increase participation in physical activity programs. Particularly promising are strategies to enhance self-efficacy for exercise.","author":[{"family":"Oka","given":"R K"},{"family":"Gortner","given":"S R"},{"family":"Stotts","given":"N A"},{"family":"Haskell","given":"W L"}],"authorYearDisplayFormat":false,"citation-label":"8493421","container-title":"The American Journal of Cardiology","container-title-short":"Am. J. Cardiol.","id":"8493421","invisible":false,"issue":"2","issued":{"date-parts":[["1996","1","15"]]},"journalAbbreviation":"Am. J. Cardiol.","page":"159-163","suppress-author":false,"title":"Predictors of physical activity in patients with chronic heart failure secondary to either ischemic or idiopathic dilated cardiomyopathy.","type":"article-journal","volume":"77"}]</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(Klompstra, Jaarsma, &amp; Strömberg, 2018; Oka, Gortner, Stotts, &amp; Haskell, 1996)</w:t>
            </w:r>
            <w:r w:rsidRPr="00C91D12">
              <w:rPr>
                <w:rFonts w:ascii="Helvetica Neue" w:hAnsi="Helvetica Neue"/>
                <w:color w:val="000000" w:themeColor="text1"/>
                <w:sz w:val="18"/>
                <w:szCs w:val="18"/>
              </w:rPr>
              <w:fldChar w:fldCharType="end"/>
            </w:r>
          </w:p>
          <w:p w14:paraId="635692FD" w14:textId="77777777" w:rsidR="00CC30D0" w:rsidRPr="00C91D12" w:rsidRDefault="00CC30D0" w:rsidP="002B449C">
            <w:pPr>
              <w:rPr>
                <w:rFonts w:ascii="Helvetica Neue" w:hAnsi="Helvetica Neue"/>
                <w:color w:val="000000" w:themeColor="text1"/>
                <w:sz w:val="18"/>
                <w:szCs w:val="18"/>
              </w:rPr>
            </w:pPr>
          </w:p>
        </w:tc>
      </w:tr>
      <w:tr w:rsidR="00CC30D0" w:rsidRPr="00C91D12" w14:paraId="4FF7C715" w14:textId="0B51D47D" w:rsidTr="00C91D12">
        <w:trPr>
          <w:trHeight w:val="76"/>
        </w:trPr>
        <w:tc>
          <w:tcPr>
            <w:tcW w:w="5387" w:type="dxa"/>
            <w:shd w:val="clear" w:color="auto" w:fill="auto"/>
            <w:vAlign w:val="center"/>
          </w:tcPr>
          <w:p w14:paraId="1BB01588" w14:textId="77777777" w:rsidR="00C91D12" w:rsidRPr="00C91D12" w:rsidRDefault="00C91D12" w:rsidP="00C91D12">
            <w:pPr>
              <w:rPr>
                <w:rFonts w:ascii="Helvetica Neue" w:hAnsi="Helvetica Neue"/>
                <w:color w:val="000000" w:themeColor="text1"/>
                <w:sz w:val="18"/>
                <w:szCs w:val="18"/>
              </w:rPr>
            </w:pPr>
          </w:p>
          <w:p w14:paraId="6967B853" w14:textId="6551535C" w:rsidR="00CC30D0" w:rsidRPr="00C91D12" w:rsidRDefault="00CC30D0" w:rsidP="00C91D12">
            <w:pPr>
              <w:rPr>
                <w:rFonts w:ascii="Helvetica Neue" w:hAnsi="Helvetica Neue"/>
                <w:color w:val="000000" w:themeColor="text1"/>
                <w:sz w:val="18"/>
                <w:szCs w:val="18"/>
                <w:vertAlign w:val="superscript"/>
              </w:rPr>
            </w:pPr>
            <w:r w:rsidRPr="00C91D12">
              <w:rPr>
                <w:rFonts w:ascii="Helvetica Neue" w:hAnsi="Helvetica Neue"/>
                <w:color w:val="000000" w:themeColor="text1"/>
                <w:sz w:val="18"/>
                <w:szCs w:val="18"/>
              </w:rPr>
              <w:t>The European Heart Failure Self-care Behaviour Scale</w:t>
            </w:r>
          </w:p>
          <w:p w14:paraId="739255F0" w14:textId="17245F46" w:rsidR="00967DB2" w:rsidRPr="00C91D12" w:rsidRDefault="00967DB2" w:rsidP="002B449C">
            <w:pPr>
              <w:ind w:left="175"/>
              <w:rPr>
                <w:rFonts w:ascii="Helvetica Neue" w:hAnsi="Helvetica Neue"/>
                <w:color w:val="000000" w:themeColor="text1"/>
                <w:sz w:val="18"/>
                <w:szCs w:val="18"/>
              </w:rPr>
            </w:pPr>
          </w:p>
        </w:tc>
        <w:tc>
          <w:tcPr>
            <w:tcW w:w="9923" w:type="dxa"/>
            <w:shd w:val="clear" w:color="auto" w:fill="auto"/>
            <w:vAlign w:val="center"/>
          </w:tcPr>
          <w:p w14:paraId="5D5168C5" w14:textId="6C9ECAF8" w:rsidR="00CC30D0" w:rsidRPr="00C91D12" w:rsidRDefault="00CC30D0"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1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F1000_CSL_CITATION&lt;~#@#~&gt;[{"DOI":"10.1097/JCN.0b013e31820984e1","First":false,"Last":false,"PMID":"21372734","abstract":"&lt;strong&gt;BACKGROUND AND OBJECTIVE:&lt;/strong&gt; Self-care by heart failure (HF) patients is essential for optimal disease management of their condition. However, as the nature of HF is unrelenting and burdensome, self-care is usually achieved with the support of partners. It is not clear what role the level of social support by partners plays in HF self-care; therefore, this study sets out to determine the types of social support provided to HF patients and the impact of differing levels of social support on HF patients' self-care.&lt;br&gt;&lt;br&gt;&lt;strong&gt;SUBJECTS AND METHOD:&lt;/strong&gt; This is secondary analysis of a subgroup of patients experiencing their second hospital admission for HF at baseline in the COACH study, a multisite trial conducted in the Netherlands. Measures included the European Heart Failure Self-care Behaviour Scale and a multiple component assessment of social support, which categorized patients into low, moderate, and high levels of social support according to the presence of a partner and their perception of support they received from their partner.&lt;br&gt;&lt;br&gt;&lt;strong&gt;RESULTS AND CONCLUSIONS:&lt;/strong&gt; Patients (n = 333) had an average age of 72 (SD, 11) years, and 92% belonged to New York Heart Association class III or greater. Of the patients with partners (56%), only 49% had a high level of support from their partner. No demographic or clinical characteristic was associated with self-care behavior. Patients with a high level of support reported significantly better self-care (P = .002) than patients with low or moderate levels of social support. Patients with a high level of social support reported being significantly more likely to consult with a health professional for weight gain (P = .011), to limit the amount of fluids they have (P = .02), take their medication (P = .017), to get a flu shot (P = .001), and to exercise on a regular basis (P &lt;  .001) than those with medium or low levels of social support. The presence of social support by a partner is not sufficient to influence HF patients' self-care. Social support provided by partners needs to be of a quality and content that matches HF patients' perception of need to influence self-care. Caregivers, especially partners, should be considered as integral in the treatment and care of HF patients.","author":[{"family":"Gallagher","given":"Robyn"},{"family":"Luttik","given":"Marie-Louise"},{"family":"Jaarsma","given":"Tiny"}],"authorYearDisplayFormat":false,"citation-label":"8493414","container-title":"The Journal of Cardiovascular Nursing","container-title-short":"J. Cardiovasc. Nurs.","id":"8493414","invisible":false,"issue":"6","issued":{"date-parts":[["2011","12"]]},"journalAbbreviation":"J. Cardiovasc. Nurs.","page":"439-445","suppress-author":false,"title":"Social support and self-care in heart failure.","type":"article-journal","volume":"26"}]</w:instrText>
            </w:r>
            <w:r w:rsidRPr="00C91D12">
              <w:rPr>
                <w:rFonts w:ascii="Helvetica Neue" w:hAnsi="Helvetica Neue"/>
                <w:color w:val="000000" w:themeColor="text1"/>
                <w:sz w:val="18"/>
                <w:szCs w:val="18"/>
              </w:rPr>
              <w:fldChar w:fldCharType="separate"/>
            </w:r>
            <w:r w:rsidRPr="00C91D12">
              <w:rPr>
                <w:rFonts w:ascii="Helvetica Neue" w:hAnsi="Helvetica Neue"/>
                <w:color w:val="000000" w:themeColor="text1"/>
                <w:sz w:val="18"/>
                <w:szCs w:val="18"/>
              </w:rPr>
              <w:t>(Gallagher, Luttik, &amp; Jaarsma, 2011)</w:t>
            </w:r>
            <w:r w:rsidRPr="00C91D12">
              <w:rPr>
                <w:rFonts w:ascii="Helvetica Neue" w:hAnsi="Helvetica Neue"/>
                <w:color w:val="000000" w:themeColor="text1"/>
                <w:sz w:val="18"/>
                <w:szCs w:val="18"/>
              </w:rPr>
              <w:fldChar w:fldCharType="end"/>
            </w:r>
          </w:p>
        </w:tc>
      </w:tr>
      <w:tr w:rsidR="00C91D12" w:rsidRPr="00C91D12" w14:paraId="48D16430" w14:textId="77777777" w:rsidTr="00C91D12">
        <w:trPr>
          <w:trHeight w:val="76"/>
        </w:trPr>
        <w:tc>
          <w:tcPr>
            <w:tcW w:w="5387" w:type="dxa"/>
            <w:shd w:val="clear" w:color="auto" w:fill="auto"/>
            <w:vAlign w:val="center"/>
          </w:tcPr>
          <w:p w14:paraId="13557FDD" w14:textId="77777777" w:rsidR="00C91D12" w:rsidRDefault="00C91D12" w:rsidP="00C91D12">
            <w:pPr>
              <w:rPr>
                <w:rFonts w:ascii="Helvetica Neue" w:hAnsi="Helvetica Neue"/>
                <w:sz w:val="18"/>
                <w:szCs w:val="18"/>
              </w:rPr>
            </w:pPr>
          </w:p>
          <w:p w14:paraId="624EDFC5" w14:textId="06EB7E36" w:rsidR="00C91D12" w:rsidRDefault="00C91D12" w:rsidP="00C91D12">
            <w:pPr>
              <w:rPr>
                <w:rFonts w:ascii="Helvetica Neue" w:hAnsi="Helvetica Neue"/>
                <w:sz w:val="18"/>
                <w:szCs w:val="18"/>
              </w:rPr>
            </w:pPr>
            <w:r w:rsidRPr="00C91D12">
              <w:rPr>
                <w:rFonts w:ascii="Helvetica Neue" w:hAnsi="Helvetica Neue"/>
                <w:sz w:val="18"/>
                <w:szCs w:val="18"/>
              </w:rPr>
              <w:t xml:space="preserve">Compliance rate </w:t>
            </w:r>
          </w:p>
          <w:p w14:paraId="06D76CB1" w14:textId="001FE2DD" w:rsidR="00C91D12" w:rsidRPr="00C91D12" w:rsidRDefault="00C91D12" w:rsidP="00C91D12">
            <w:pPr>
              <w:rPr>
                <w:rFonts w:ascii="Helvetica Neue" w:hAnsi="Helvetica Neue"/>
                <w:color w:val="000000" w:themeColor="text1"/>
                <w:sz w:val="18"/>
                <w:szCs w:val="18"/>
              </w:rPr>
            </w:pPr>
          </w:p>
        </w:tc>
        <w:tc>
          <w:tcPr>
            <w:tcW w:w="9923" w:type="dxa"/>
            <w:shd w:val="clear" w:color="auto" w:fill="auto"/>
            <w:vAlign w:val="center"/>
          </w:tcPr>
          <w:p w14:paraId="1171763B" w14:textId="07B57B20" w:rsidR="00C91D12" w:rsidRPr="00C91D12" w:rsidRDefault="00C91D12" w:rsidP="00C91D12">
            <w:pPr>
              <w:rPr>
                <w:rFonts w:ascii="Helvetica Neue" w:hAnsi="Helvetica Neue"/>
                <w:color w:val="000000" w:themeColor="text1"/>
                <w:sz w:val="18"/>
                <w:szCs w:val="18"/>
              </w:rPr>
            </w:pPr>
            <w:r w:rsidRPr="00C91D12">
              <w:rPr>
                <w:rFonts w:ascii="Helvetica Neue" w:hAnsi="Helvetica Neue"/>
                <w:sz w:val="18"/>
                <w:szCs w:val="18"/>
              </w:rPr>
              <w:t xml:space="preserve">N = 1 </w:t>
            </w:r>
            <w:r w:rsidRPr="00C91D12">
              <w:rPr>
                <w:rFonts w:ascii="Helvetica Neue" w:hAnsi="Helvetica Neue"/>
                <w:sz w:val="18"/>
                <w:szCs w:val="18"/>
              </w:rPr>
              <w:fldChar w:fldCharType="begin"/>
            </w:r>
            <w:r w:rsidRPr="00C91D12">
              <w:rPr>
                <w:rFonts w:ascii="Helvetica Neue" w:hAnsi="Helvetica Neue"/>
                <w:sz w:val="18"/>
                <w:szCs w:val="18"/>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C91D12">
              <w:rPr>
                <w:rFonts w:ascii="Helvetica Neue" w:hAnsi="Helvetica Neue"/>
                <w:sz w:val="18"/>
                <w:szCs w:val="18"/>
              </w:rPr>
              <w:fldChar w:fldCharType="separate"/>
            </w:r>
            <w:r w:rsidRPr="00C91D12">
              <w:rPr>
                <w:rFonts w:ascii="Helvetica Neue" w:hAnsi="Helvetica Neue"/>
                <w:noProof/>
                <w:sz w:val="18"/>
                <w:szCs w:val="18"/>
              </w:rPr>
              <w:t>(L. S. Evangelista et al., 2001)</w:t>
            </w:r>
            <w:r w:rsidRPr="00C91D12">
              <w:rPr>
                <w:rFonts w:ascii="Helvetica Neue" w:hAnsi="Helvetica Neue"/>
                <w:sz w:val="18"/>
                <w:szCs w:val="18"/>
              </w:rPr>
              <w:fldChar w:fldCharType="end"/>
            </w:r>
          </w:p>
        </w:tc>
      </w:tr>
      <w:tr w:rsidR="00C91D12" w:rsidRPr="00C91D12" w14:paraId="3840D6CF" w14:textId="77777777" w:rsidTr="00C91D12">
        <w:trPr>
          <w:trHeight w:val="412"/>
        </w:trPr>
        <w:tc>
          <w:tcPr>
            <w:tcW w:w="5387" w:type="dxa"/>
            <w:shd w:val="pct10" w:color="auto" w:fill="auto"/>
            <w:vAlign w:val="center"/>
          </w:tcPr>
          <w:p w14:paraId="7DBACE71" w14:textId="404D8661" w:rsidR="00C91D12" w:rsidRPr="00C91D12" w:rsidRDefault="00C91D12" w:rsidP="00C91D12">
            <w:pPr>
              <w:rPr>
                <w:rFonts w:ascii="Helvetica Neue" w:hAnsi="Helvetica Neue"/>
                <w:b/>
                <w:bCs/>
                <w:color w:val="000000" w:themeColor="text1"/>
                <w:sz w:val="18"/>
                <w:szCs w:val="18"/>
              </w:rPr>
            </w:pPr>
            <w:r w:rsidRPr="00C91D12">
              <w:rPr>
                <w:rFonts w:ascii="Helvetica Neue" w:hAnsi="Helvetica Neue"/>
                <w:b/>
                <w:bCs/>
                <w:color w:val="000000" w:themeColor="text1"/>
                <w:sz w:val="18"/>
                <w:szCs w:val="18"/>
              </w:rPr>
              <w:t xml:space="preserve">Objective assessment </w:t>
            </w:r>
          </w:p>
        </w:tc>
        <w:tc>
          <w:tcPr>
            <w:tcW w:w="9923" w:type="dxa"/>
            <w:shd w:val="pct10" w:color="auto" w:fill="auto"/>
            <w:vAlign w:val="center"/>
          </w:tcPr>
          <w:p w14:paraId="028EB84B" w14:textId="3E0CF351" w:rsidR="00C91D12" w:rsidRPr="00C91D12" w:rsidRDefault="00C91D12" w:rsidP="00C336CD">
            <w:pPr>
              <w:rPr>
                <w:rFonts w:ascii="Helvetica Neue" w:hAnsi="Helvetica Neue"/>
                <w:color w:val="000000" w:themeColor="text1"/>
                <w:sz w:val="18"/>
                <w:szCs w:val="18"/>
              </w:rPr>
            </w:pPr>
            <w:r w:rsidRPr="00C91D12">
              <w:rPr>
                <w:rFonts w:ascii="Helvetica Neue" w:hAnsi="Helvetica Neue"/>
                <w:b/>
                <w:bCs/>
                <w:noProof/>
                <w:color w:val="000000" w:themeColor="text1"/>
                <w:sz w:val="18"/>
                <w:szCs w:val="18"/>
              </w:rPr>
              <w:t>Number of studies</w:t>
            </w:r>
            <w:r w:rsidR="00C336CD">
              <w:rPr>
                <w:rFonts w:ascii="Helvetica Neue" w:hAnsi="Helvetica Neue"/>
                <w:b/>
                <w:bCs/>
                <w:noProof/>
                <w:color w:val="000000" w:themeColor="text1"/>
                <w:sz w:val="18"/>
                <w:szCs w:val="18"/>
              </w:rPr>
              <w:t xml:space="preserve"> (</w:t>
            </w:r>
            <w:r w:rsidR="00D22A9A">
              <w:rPr>
                <w:rFonts w:ascii="Helvetica Neue" w:hAnsi="Helvetica Neue"/>
                <w:b/>
                <w:bCs/>
                <w:noProof/>
                <w:color w:val="000000" w:themeColor="text1"/>
                <w:sz w:val="18"/>
                <w:szCs w:val="18"/>
              </w:rPr>
              <w:t xml:space="preserve">N </w:t>
            </w:r>
            <w:r w:rsidR="00C336CD">
              <w:rPr>
                <w:rFonts w:ascii="Helvetica Neue" w:hAnsi="Helvetica Neue"/>
                <w:b/>
                <w:bCs/>
                <w:noProof/>
                <w:color w:val="000000" w:themeColor="text1"/>
                <w:sz w:val="18"/>
                <w:szCs w:val="18"/>
              </w:rPr>
              <w:t>=</w:t>
            </w:r>
            <w:r w:rsidR="00D22A9A">
              <w:rPr>
                <w:rFonts w:ascii="Helvetica Neue" w:hAnsi="Helvetica Neue"/>
                <w:b/>
                <w:bCs/>
                <w:noProof/>
                <w:color w:val="000000" w:themeColor="text1"/>
                <w:sz w:val="18"/>
                <w:szCs w:val="18"/>
              </w:rPr>
              <w:t xml:space="preserve"> </w:t>
            </w:r>
            <w:r w:rsidR="00C336CD">
              <w:rPr>
                <w:rFonts w:ascii="Helvetica Neue" w:hAnsi="Helvetica Neue"/>
                <w:b/>
                <w:bCs/>
                <w:noProof/>
                <w:color w:val="000000" w:themeColor="text1"/>
                <w:sz w:val="18"/>
                <w:szCs w:val="18"/>
              </w:rPr>
              <w:t>9)</w:t>
            </w:r>
          </w:p>
        </w:tc>
      </w:tr>
      <w:tr w:rsidR="00C91D12" w:rsidRPr="00C91D12" w14:paraId="7D0F602E" w14:textId="77777777" w:rsidTr="00C91D12">
        <w:trPr>
          <w:trHeight w:val="412"/>
        </w:trPr>
        <w:tc>
          <w:tcPr>
            <w:tcW w:w="5387" w:type="dxa"/>
            <w:shd w:val="clear" w:color="auto" w:fill="auto"/>
            <w:vAlign w:val="center"/>
          </w:tcPr>
          <w:p w14:paraId="52FE8074" w14:textId="77777777" w:rsidR="00C91D12" w:rsidRPr="00C91D12" w:rsidRDefault="00C91D12" w:rsidP="00C91D12">
            <w:pPr>
              <w:rPr>
                <w:rFonts w:ascii="Helvetica Neue" w:hAnsi="Helvetica Neue"/>
                <w:color w:val="000000" w:themeColor="text1"/>
                <w:sz w:val="18"/>
                <w:szCs w:val="18"/>
              </w:rPr>
            </w:pPr>
            <w:r w:rsidRPr="00C91D12">
              <w:rPr>
                <w:rFonts w:ascii="Helvetica Neue" w:hAnsi="Helvetica Neue"/>
                <w:color w:val="000000" w:themeColor="text1"/>
                <w:sz w:val="18"/>
                <w:szCs w:val="18"/>
              </w:rPr>
              <w:t>Energy expenditure average daily kcal, estimated using accelerometer</w:t>
            </w:r>
          </w:p>
          <w:p w14:paraId="704A6D35" w14:textId="77777777" w:rsidR="00C91D12" w:rsidRPr="00C91D12" w:rsidRDefault="00C91D12" w:rsidP="00C91D12">
            <w:pPr>
              <w:rPr>
                <w:rFonts w:ascii="Helvetica Neue" w:hAnsi="Helvetica Neue"/>
                <w:color w:val="000000" w:themeColor="text1"/>
                <w:sz w:val="18"/>
                <w:szCs w:val="18"/>
              </w:rPr>
            </w:pPr>
          </w:p>
        </w:tc>
        <w:tc>
          <w:tcPr>
            <w:tcW w:w="9923" w:type="dxa"/>
            <w:shd w:val="clear" w:color="auto" w:fill="auto"/>
            <w:vAlign w:val="center"/>
          </w:tcPr>
          <w:p w14:paraId="0892CDAB" w14:textId="77777777" w:rsidR="00C91D12" w:rsidRPr="00C91D12" w:rsidRDefault="00C91D12" w:rsidP="00C91D12">
            <w:pPr>
              <w:ind w:left="175"/>
              <w:rPr>
                <w:rFonts w:ascii="Helvetica Neue" w:hAnsi="Helvetica Neue"/>
                <w:color w:val="000000" w:themeColor="text1"/>
                <w:sz w:val="18"/>
                <w:szCs w:val="18"/>
              </w:rPr>
            </w:pPr>
          </w:p>
          <w:p w14:paraId="02E8BF57" w14:textId="77777777" w:rsidR="00C91D12" w:rsidRPr="00C91D12" w:rsidRDefault="00C91D12" w:rsidP="00C91D12">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4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Failure.","type":"article-journal","volume":"33"},{"DOI":"10.1249/MSS.0000000000002104","First":false,"Last":false,"PMID":"31356508","abstract":"&lt;strong&gt;PURPOSE:&lt;/strong&gt; Left ventricular assist devices (LVADs) are associated with an increased aerobic capacity in patients with chronic heart failure (CHF). However, studies evaluating the impact of LVAD implantation on physical activity (PA) are lacking. The aim of this study was to compare daily PA levels in participants with LVADs with well-matched CHF participants.&lt;br&gt;&lt;br&gt;&lt;strong&gt;METHODS:&lt;/strong&gt; Sixteen participants with an LVAD (age: 59.1 ± 10.8 years) were case-matched to 16 participants with advanced CHF (age: 58.3 ± 8.7 years), who were listed or being considered for cardiac transplantation. Participants underwent a cardiopulmonary exercise test to determine peak oxygen consumption (V[Combining Dot Above]O2 peak). PA was monitored continuously for seven consecutive days with an Actiheart monitor.&lt;br&gt;&lt;br&gt;&lt;strong&gt;RESULTS:&lt;/strong&gt; V[Combining Dot Above]O2 peak in the CHF group (12.3 ± 3.5 ml·kg·min) was not significantly different to the LVAD group prior to LVAD implantation (10.4 ± 2.1 ml·kg·min), but was lower than in the LVAD group following implantation (15.8 ± 4.3 ml·kg·min; p &lt;  0.05). PA was higher in the LVAD (19.7 ± 6.4 kJ·kg·day) compared with the CHF group (11.6 ± 6.9 kJ·kg·day; p = 0.001). LVAD participants spent more time performing moderate intensity PA than their CHF counterparts, 26 (24-40) [median (IQR)] vs. 12 (9-16) min/day; p &lt;  0.001. PA was correlated with V[Combining Dot Above]O2 peak (r = 0.582; p = 0.001) across participants in the CHF and LVAD groups.&lt;br&gt;&lt;br&gt;&lt;strong&gt;CONCLUSION:&lt;/strong&gt; Higher levels of PA were observed in participants with LVAD compared with patients with advanced CHF. This may be due to a higher V[Combining Dot Above]O2 peak, resulting in an improved capacity to perform activities of daily living with less symptoms.","author":[{"family":"Moreno-Suarez","given":"Ignacio"},{"family":"Liew","given":"Sylvia"},{"family":"Dembo","given":"Lawrence G"},{"family":"Larbalestier","given":"Robert"},{"family":"Maiorana","given":"Andrew"}],"authorYearDisplayFormat":false,"citation-label":"8493452","container-title":"Medicine and Science in Sports and Exercise","container-title-short":"Med. Sci. Sports Exerc.","id":"8493452","invisible":false,"issued":{"date-parts":[["2019","7","24"]]},"journalAbbreviation":"Med. Sci. Sports Exerc.","suppress-author":false,"title":"Physical Activity Is Higher in Patients with LVADs Compared to Chronic Heart Failure.","type":"article-journal"}]</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(Chien et al., 2014; Lee et al., 2016; Moreno-Suarez, Liew, Dembo, Larbalestier, &amp; Maiorana, 2019; Pozehl et al., 2018)</w:t>
            </w:r>
            <w:r w:rsidRPr="00C91D12">
              <w:rPr>
                <w:rFonts w:ascii="Helvetica Neue" w:hAnsi="Helvetica Neue"/>
                <w:color w:val="000000" w:themeColor="text1"/>
                <w:sz w:val="18"/>
                <w:szCs w:val="18"/>
              </w:rPr>
              <w:fldChar w:fldCharType="end"/>
            </w:r>
          </w:p>
          <w:p w14:paraId="724C8821" w14:textId="77777777" w:rsidR="00C91D12" w:rsidRPr="00C91D12" w:rsidRDefault="00C91D12" w:rsidP="00C91D12">
            <w:pPr>
              <w:rPr>
                <w:rFonts w:ascii="Helvetica Neue" w:hAnsi="Helvetica Neue"/>
                <w:color w:val="000000" w:themeColor="text1"/>
                <w:sz w:val="18"/>
                <w:szCs w:val="18"/>
              </w:rPr>
            </w:pPr>
          </w:p>
        </w:tc>
      </w:tr>
      <w:tr w:rsidR="00CC30D0" w:rsidRPr="00C91D12" w14:paraId="47C20278" w14:textId="172D3199" w:rsidTr="00C91D12">
        <w:trPr>
          <w:trHeight w:val="412"/>
        </w:trPr>
        <w:tc>
          <w:tcPr>
            <w:tcW w:w="5387" w:type="dxa"/>
            <w:shd w:val="clear" w:color="auto" w:fill="auto"/>
            <w:vAlign w:val="center"/>
          </w:tcPr>
          <w:p w14:paraId="462059F5" w14:textId="77777777" w:rsidR="00C91D12" w:rsidRPr="00C91D12" w:rsidRDefault="00C91D12" w:rsidP="00C91D12">
            <w:pPr>
              <w:rPr>
                <w:rFonts w:ascii="Helvetica Neue" w:hAnsi="Helvetica Neue"/>
                <w:color w:val="000000" w:themeColor="text1"/>
                <w:sz w:val="18"/>
                <w:szCs w:val="18"/>
              </w:rPr>
            </w:pPr>
          </w:p>
          <w:p w14:paraId="2A05B98E" w14:textId="4D36B090" w:rsidR="00CC30D0" w:rsidRPr="00C91D12" w:rsidRDefault="00CC30D0" w:rsidP="00C91D12">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Daily accelerometry units – lowest tertile vs highest tertile </w:t>
            </w:r>
          </w:p>
          <w:p w14:paraId="3325AF47" w14:textId="006E7EDE" w:rsidR="002B449C" w:rsidRPr="00C91D12" w:rsidRDefault="002B449C" w:rsidP="002B449C">
            <w:pPr>
              <w:ind w:left="175"/>
              <w:rPr>
                <w:rFonts w:ascii="Helvetica Neue" w:hAnsi="Helvetica Neue"/>
                <w:color w:val="000000" w:themeColor="text1"/>
                <w:sz w:val="18"/>
                <w:szCs w:val="18"/>
              </w:rPr>
            </w:pPr>
          </w:p>
        </w:tc>
        <w:tc>
          <w:tcPr>
            <w:tcW w:w="9923" w:type="dxa"/>
            <w:shd w:val="clear" w:color="auto" w:fill="auto"/>
            <w:vAlign w:val="center"/>
          </w:tcPr>
          <w:p w14:paraId="3BD480DE" w14:textId="6629A7E5" w:rsidR="00CC30D0" w:rsidRPr="00C91D12" w:rsidRDefault="001253C7"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1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sidRPr="00C91D12">
              <w:rPr>
                <w:rFonts w:ascii="Helvetica Neue" w:hAnsi="Helvetica Neue" w:hint="eastAsia"/>
                <w:color w:val="000000" w:themeColor="text1"/>
                <w:sz w:val="18"/>
                <w:szCs w:val="18"/>
              </w:rPr>
              <w:instrText>β</w:instrText>
            </w:r>
            <w:r w:rsidRPr="00C91D12">
              <w:rPr>
                <w:rFonts w:ascii="Helvetica Neue" w:hAnsi="Helvetica Neue"/>
                <w:color w:val="000000" w:themeColor="text1"/>
                <w:sz w:val="18"/>
                <w:szCs w:val="18"/>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(Snipelisky et al., 2017)</w:t>
            </w:r>
            <w:r w:rsidRPr="00C91D12">
              <w:rPr>
                <w:rFonts w:ascii="Helvetica Neue" w:hAnsi="Helvetica Neue"/>
                <w:color w:val="000000" w:themeColor="text1"/>
                <w:sz w:val="18"/>
                <w:szCs w:val="18"/>
              </w:rPr>
              <w:fldChar w:fldCharType="end"/>
            </w:r>
          </w:p>
        </w:tc>
      </w:tr>
      <w:tr w:rsidR="00CC30D0" w:rsidRPr="00C91D12" w14:paraId="0AC339EA" w14:textId="77777777" w:rsidTr="00C91D12">
        <w:trPr>
          <w:trHeight w:val="260"/>
        </w:trPr>
        <w:tc>
          <w:tcPr>
            <w:tcW w:w="5387" w:type="dxa"/>
            <w:shd w:val="clear" w:color="auto" w:fill="auto"/>
            <w:vAlign w:val="center"/>
          </w:tcPr>
          <w:p w14:paraId="4BF5D412" w14:textId="37068ACD" w:rsidR="00CC30D0" w:rsidRPr="00C91D12" w:rsidRDefault="00CC30D0" w:rsidP="00C91D12">
            <w:pPr>
              <w:rPr>
                <w:rFonts w:ascii="Helvetica Neue" w:hAnsi="Helvetica Neue"/>
                <w:color w:val="000000" w:themeColor="text1"/>
                <w:sz w:val="18"/>
                <w:szCs w:val="18"/>
              </w:rPr>
            </w:pPr>
            <w:r w:rsidRPr="00C91D12">
              <w:rPr>
                <w:rFonts w:ascii="Helvetica Neue" w:hAnsi="Helvetica Neue"/>
                <w:sz w:val="18"/>
                <w:szCs w:val="18"/>
              </w:rPr>
              <w:t>Average daily accelerometer units</w:t>
            </w:r>
          </w:p>
        </w:tc>
        <w:tc>
          <w:tcPr>
            <w:tcW w:w="9923" w:type="dxa"/>
            <w:shd w:val="clear" w:color="auto" w:fill="auto"/>
            <w:vAlign w:val="center"/>
          </w:tcPr>
          <w:p w14:paraId="1F7229E1" w14:textId="77777777" w:rsidR="00967DB2" w:rsidRPr="00C91D12" w:rsidRDefault="00967DB2" w:rsidP="002B449C">
            <w:pPr>
              <w:ind w:left="175"/>
              <w:rPr>
                <w:rFonts w:ascii="Helvetica Neue" w:hAnsi="Helvetica Neue"/>
                <w:sz w:val="18"/>
                <w:szCs w:val="18"/>
              </w:rPr>
            </w:pPr>
          </w:p>
          <w:p w14:paraId="54657D94" w14:textId="548F7B18" w:rsidR="00CC30D0" w:rsidRPr="00C91D12" w:rsidRDefault="00CC30D0" w:rsidP="002B449C">
            <w:pPr>
              <w:rPr>
                <w:rFonts w:ascii="Helvetica Neue" w:hAnsi="Helvetica Neue"/>
                <w:sz w:val="18"/>
                <w:szCs w:val="18"/>
              </w:rPr>
            </w:pPr>
            <w:r w:rsidRPr="00C91D12">
              <w:rPr>
                <w:rFonts w:ascii="Helvetica Neue" w:hAnsi="Helvetica Neue"/>
                <w:sz w:val="18"/>
                <w:szCs w:val="18"/>
              </w:rPr>
              <w:t xml:space="preserve">N = 1 </w:t>
            </w:r>
            <w:r w:rsidRPr="00C91D12">
              <w:rPr>
                <w:rFonts w:ascii="Helvetica Neue" w:hAnsi="Helvetica Neue"/>
                <w:sz w:val="18"/>
                <w:szCs w:val="18"/>
              </w:rPr>
              <w:fldChar w:fldCharType="begin"/>
            </w:r>
            <w:r w:rsidRPr="00C91D12">
              <w:rPr>
                <w:rFonts w:ascii="Helvetica Neue" w:hAnsi="Helvetica Neue"/>
                <w:sz w:val="18"/>
                <w:szCs w:val="18"/>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C91D12">
              <w:rPr>
                <w:rFonts w:ascii="Helvetica Neue" w:hAnsi="Helvetica Neue"/>
                <w:sz w:val="18"/>
                <w:szCs w:val="18"/>
              </w:rPr>
              <w:fldChar w:fldCharType="separate"/>
            </w:r>
            <w:r w:rsidRPr="00C91D12">
              <w:rPr>
                <w:rFonts w:ascii="Helvetica Neue" w:hAnsi="Helvetica Neue"/>
                <w:noProof/>
                <w:sz w:val="18"/>
                <w:szCs w:val="18"/>
              </w:rPr>
              <w:t>(Witham, Argo, Johnston, Struthers, &amp; McMurdo, 2006)</w:t>
            </w:r>
            <w:r w:rsidRPr="00C91D12">
              <w:rPr>
                <w:rFonts w:ascii="Helvetica Neue" w:hAnsi="Helvetica Neue"/>
                <w:sz w:val="18"/>
                <w:szCs w:val="18"/>
              </w:rPr>
              <w:fldChar w:fldCharType="end"/>
            </w:r>
          </w:p>
          <w:p w14:paraId="30D587B0" w14:textId="4B173553" w:rsidR="00967DB2" w:rsidRPr="00C91D12" w:rsidRDefault="00967DB2" w:rsidP="002B449C">
            <w:pPr>
              <w:ind w:left="175"/>
              <w:rPr>
                <w:rFonts w:ascii="Helvetica Neue" w:hAnsi="Helvetica Neue"/>
                <w:color w:val="000000" w:themeColor="text1"/>
                <w:sz w:val="18"/>
                <w:szCs w:val="18"/>
              </w:rPr>
            </w:pPr>
          </w:p>
        </w:tc>
      </w:tr>
      <w:tr w:rsidR="00CC30D0" w:rsidRPr="00C91D12" w14:paraId="4CD8EDAA" w14:textId="626086A9" w:rsidTr="00C91D12">
        <w:trPr>
          <w:trHeight w:val="260"/>
        </w:trPr>
        <w:tc>
          <w:tcPr>
            <w:tcW w:w="5387" w:type="dxa"/>
            <w:shd w:val="clear" w:color="auto" w:fill="auto"/>
            <w:vAlign w:val="center"/>
          </w:tcPr>
          <w:p w14:paraId="7AF61036" w14:textId="61982C54" w:rsidR="00CC30D0" w:rsidRPr="00C91D12" w:rsidRDefault="00CC30D0" w:rsidP="002B449C">
            <w:pPr>
              <w:rPr>
                <w:rFonts w:ascii="Helvetica Neue" w:hAnsi="Helvetica Neue"/>
                <w:color w:val="000000"/>
                <w:sz w:val="18"/>
                <w:szCs w:val="18"/>
              </w:rPr>
            </w:pPr>
            <w:r w:rsidRPr="00C91D12">
              <w:rPr>
                <w:rFonts w:ascii="Helvetica Neue" w:hAnsi="Helvetica Neue"/>
                <w:color w:val="000000" w:themeColor="text1"/>
                <w:sz w:val="18"/>
                <w:szCs w:val="18"/>
              </w:rPr>
              <w:t>Steps per day total</w:t>
            </w:r>
            <w:r w:rsidR="00967DB2" w:rsidRPr="00C91D12">
              <w:rPr>
                <w:rFonts w:ascii="Helvetica Neue" w:hAnsi="Helvetica Neue"/>
                <w:color w:val="000000" w:themeColor="text1"/>
                <w:sz w:val="18"/>
                <w:szCs w:val="18"/>
              </w:rPr>
              <w:t>, measured using accelerometer</w:t>
            </w:r>
          </w:p>
        </w:tc>
        <w:tc>
          <w:tcPr>
            <w:tcW w:w="9923" w:type="dxa"/>
            <w:shd w:val="clear" w:color="auto" w:fill="auto"/>
            <w:vAlign w:val="center"/>
          </w:tcPr>
          <w:p w14:paraId="6E706303" w14:textId="77777777" w:rsidR="00967DB2" w:rsidRPr="00C91D12" w:rsidRDefault="00967DB2" w:rsidP="002B449C">
            <w:pPr>
              <w:rPr>
                <w:rFonts w:ascii="Helvetica Neue" w:hAnsi="Helvetica Neue"/>
                <w:color w:val="000000" w:themeColor="text1"/>
                <w:sz w:val="18"/>
                <w:szCs w:val="18"/>
              </w:rPr>
            </w:pPr>
          </w:p>
          <w:p w14:paraId="791F9F79" w14:textId="45CFD210" w:rsidR="00CC30D0" w:rsidRPr="00C91D12" w:rsidRDefault="00967DB2"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3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(Alosco et al., 2012; Dontje et al., 2014; Werhahn et al., 2019)</w:t>
            </w:r>
            <w:r w:rsidRPr="00C91D12">
              <w:rPr>
                <w:rFonts w:ascii="Helvetica Neue" w:hAnsi="Helvetica Neue"/>
                <w:color w:val="000000" w:themeColor="text1"/>
                <w:sz w:val="18"/>
                <w:szCs w:val="18"/>
              </w:rPr>
              <w:fldChar w:fldCharType="end"/>
            </w:r>
          </w:p>
          <w:p w14:paraId="2C1ADC36" w14:textId="689361E6" w:rsidR="00967DB2" w:rsidRPr="00C91D12" w:rsidRDefault="00967DB2" w:rsidP="002B449C">
            <w:pPr>
              <w:rPr>
                <w:rFonts w:ascii="Helvetica Neue" w:hAnsi="Helvetica Neue"/>
                <w:color w:val="000000"/>
                <w:sz w:val="18"/>
                <w:szCs w:val="18"/>
              </w:rPr>
            </w:pPr>
          </w:p>
        </w:tc>
      </w:tr>
      <w:tr w:rsidR="00CC30D0" w:rsidRPr="00C91D12" w14:paraId="08D4587C" w14:textId="5B4E7668" w:rsidTr="00C91D12">
        <w:trPr>
          <w:trHeight w:val="260"/>
        </w:trPr>
        <w:tc>
          <w:tcPr>
            <w:tcW w:w="5387" w:type="dxa"/>
            <w:shd w:val="clear" w:color="auto" w:fill="auto"/>
            <w:vAlign w:val="center"/>
          </w:tcPr>
          <w:p w14:paraId="2D731A9F" w14:textId="77777777" w:rsidR="00C91D12" w:rsidRPr="00C91D12" w:rsidRDefault="00C91D12" w:rsidP="002B449C">
            <w:pPr>
              <w:rPr>
                <w:rFonts w:ascii="Helvetica Neue" w:hAnsi="Helvetica Neue"/>
                <w:color w:val="000000" w:themeColor="text1"/>
                <w:sz w:val="18"/>
                <w:szCs w:val="18"/>
              </w:rPr>
            </w:pPr>
          </w:p>
          <w:p w14:paraId="45FF6B6D" w14:textId="50927698" w:rsidR="00CC30D0" w:rsidRPr="00C91D12" w:rsidRDefault="00CC30D0"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Duration, hours/day</w:t>
            </w:r>
            <w:r w:rsidR="00C91D12">
              <w:rPr>
                <w:rFonts w:ascii="Helvetica Neue" w:hAnsi="Helvetica Neue"/>
                <w:color w:val="000000" w:themeColor="text1"/>
                <w:sz w:val="18"/>
                <w:szCs w:val="18"/>
              </w:rPr>
              <w:t xml:space="preserve">, </w:t>
            </w:r>
            <w:r w:rsidR="00C91D12" w:rsidRPr="00C91D12">
              <w:rPr>
                <w:rFonts w:ascii="Helvetica Neue" w:hAnsi="Helvetica Neue"/>
                <w:color w:val="000000" w:themeColor="text1"/>
                <w:sz w:val="18"/>
                <w:szCs w:val="18"/>
              </w:rPr>
              <w:t>measured using accelerometer</w:t>
            </w:r>
          </w:p>
          <w:p w14:paraId="3F67B695" w14:textId="01F8EF42" w:rsidR="005D0909" w:rsidRPr="00C91D12" w:rsidRDefault="005D0909" w:rsidP="002B449C">
            <w:pPr>
              <w:rPr>
                <w:rFonts w:ascii="Helvetica Neue" w:hAnsi="Helvetica Neue"/>
                <w:color w:val="000000"/>
                <w:sz w:val="18"/>
                <w:szCs w:val="18"/>
              </w:rPr>
            </w:pPr>
          </w:p>
        </w:tc>
        <w:tc>
          <w:tcPr>
            <w:tcW w:w="9923" w:type="dxa"/>
            <w:shd w:val="clear" w:color="auto" w:fill="auto"/>
            <w:vAlign w:val="center"/>
          </w:tcPr>
          <w:p w14:paraId="6C215E7A" w14:textId="6365295B" w:rsidR="00CC30D0" w:rsidRPr="00C91D12" w:rsidRDefault="005D0909"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w:t>
            </w:r>
            <w:r w:rsidR="00A47A6C">
              <w:rPr>
                <w:rFonts w:ascii="Helvetica Neue" w:hAnsi="Helvetica Neue"/>
                <w:color w:val="000000" w:themeColor="text1"/>
                <w:sz w:val="18"/>
                <w:szCs w:val="18"/>
              </w:rPr>
              <w:t>1</w:t>
            </w:r>
            <w:r w:rsidRPr="00C91D12">
              <w:rPr>
                <w:rFonts w:ascii="Helvetica Neue" w:hAnsi="Helvetica Neue"/>
                <w:color w:val="000000" w:themeColor="text1"/>
                <w:sz w:val="18"/>
                <w:szCs w:val="18"/>
              </w:rPr>
              <w:t xml:space="preserve">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(Werhahn et al., 2019)</w:t>
            </w:r>
            <w:r w:rsidRPr="00C91D12">
              <w:rPr>
                <w:rFonts w:ascii="Helvetica Neue" w:hAnsi="Helvetica Neue"/>
                <w:color w:val="000000" w:themeColor="text1"/>
                <w:sz w:val="18"/>
                <w:szCs w:val="18"/>
              </w:rPr>
              <w:fldChar w:fldCharType="end"/>
            </w:r>
          </w:p>
        </w:tc>
      </w:tr>
    </w:tbl>
    <w:p w14:paraId="5D7570FE" w14:textId="7EF10ADC" w:rsidR="002B3DD4" w:rsidRDefault="002B3DD4"/>
    <w:p w14:paraId="35473DE6" w14:textId="77777777" w:rsidR="003E2B76" w:rsidRDefault="002B3DD4">
      <w:pPr>
        <w:sectPr w:rsidR="003E2B76" w:rsidSect="00E12DB9">
          <w:footerReference w:type="even" r:id="rId7"/>
          <w:footerReference w:type="default" r:id="rId8"/>
          <w:pgSz w:w="16840" w:h="11900" w:orient="landscape"/>
          <w:pgMar w:top="1440" w:right="1440" w:bottom="1440" w:left="1440" w:header="708" w:footer="708" w:gutter="0"/>
          <w:cols w:space="708"/>
          <w:docGrid w:linePitch="360"/>
        </w:sectPr>
      </w:pPr>
      <w:r>
        <w:br w:type="page"/>
      </w:r>
    </w:p>
    <w:p w14:paraId="14260E26" w14:textId="3192ECCE" w:rsidR="009A63E7" w:rsidRDefault="00662FA0" w:rsidP="00662FA0">
      <w:pPr>
        <w:rPr>
          <w:rStyle w:val="Strong"/>
        </w:rPr>
      </w:pPr>
      <w:r w:rsidRPr="00662FA0">
        <w:rPr>
          <w:rStyle w:val="Strong"/>
        </w:rPr>
        <w:lastRenderedPageBreak/>
        <w:t xml:space="preserve">The assessment of barriers and enablers across included studies. </w:t>
      </w:r>
    </w:p>
    <w:p w14:paraId="6C9366D0" w14:textId="77777777" w:rsidR="00662FA0" w:rsidRPr="00662FA0" w:rsidRDefault="00662FA0" w:rsidP="00662FA0">
      <w:pPr>
        <w:rPr>
          <w:rStyle w:val="Strong"/>
        </w:rPr>
      </w:pPr>
    </w:p>
    <w:tbl>
      <w:tblPr>
        <w:tblW w:w="13320" w:type="dxa"/>
        <w:tblInd w:w="-851" w:type="dxa"/>
        <w:tblLayout w:type="fixed"/>
        <w:tblLook w:val="04A0" w:firstRow="1" w:lastRow="0" w:firstColumn="1" w:lastColumn="0" w:noHBand="0" w:noVBand="1"/>
      </w:tblPr>
      <w:tblGrid>
        <w:gridCol w:w="3109"/>
        <w:gridCol w:w="1418"/>
        <w:gridCol w:w="8793"/>
      </w:tblGrid>
      <w:tr w:rsidR="00E24E43" w:rsidRPr="004B7867" w14:paraId="5B207A35" w14:textId="77777777" w:rsidTr="00E24E43">
        <w:trPr>
          <w:trHeight w:val="260"/>
          <w:tblHeader/>
        </w:trPr>
        <w:tc>
          <w:tcPr>
            <w:tcW w:w="3109" w:type="dxa"/>
            <w:tcBorders>
              <w:top w:val="single" w:sz="8" w:space="0" w:color="auto"/>
              <w:left w:val="single" w:sz="8" w:space="0" w:color="auto"/>
              <w:bottom w:val="nil"/>
            </w:tcBorders>
            <w:shd w:val="clear" w:color="auto" w:fill="auto"/>
            <w:vAlign w:val="center"/>
            <w:hideMark/>
          </w:tcPr>
          <w:p w14:paraId="091E7DEB" w14:textId="77777777" w:rsidR="00E24E43" w:rsidRDefault="00E24E43" w:rsidP="00D94744">
            <w:pPr>
              <w:spacing w:line="276" w:lineRule="auto"/>
              <w:rPr>
                <w:rFonts w:ascii="Helvetica Neue" w:hAnsi="Helvetica Neue"/>
                <w:b/>
                <w:bCs/>
                <w:color w:val="000000"/>
                <w:sz w:val="16"/>
                <w:szCs w:val="16"/>
              </w:rPr>
            </w:pPr>
            <w:r>
              <w:rPr>
                <w:rFonts w:ascii="Helvetica Neue" w:hAnsi="Helvetica Neue"/>
                <w:b/>
                <w:bCs/>
                <w:color w:val="000000"/>
                <w:sz w:val="16"/>
                <w:szCs w:val="16"/>
              </w:rPr>
              <w:t>Construct</w:t>
            </w:r>
          </w:p>
          <w:p w14:paraId="71D16048" w14:textId="77777777" w:rsidR="00E24E43" w:rsidRPr="004B7867" w:rsidRDefault="00E24E43" w:rsidP="00D94744">
            <w:pPr>
              <w:spacing w:line="276" w:lineRule="auto"/>
              <w:jc w:val="center"/>
              <w:rPr>
                <w:sz w:val="16"/>
                <w:szCs w:val="16"/>
              </w:rPr>
            </w:pPr>
          </w:p>
        </w:tc>
        <w:tc>
          <w:tcPr>
            <w:tcW w:w="1418" w:type="dxa"/>
            <w:tcBorders>
              <w:top w:val="single" w:sz="8" w:space="0" w:color="auto"/>
              <w:left w:val="nil"/>
              <w:bottom w:val="nil"/>
              <w:right w:val="nil"/>
            </w:tcBorders>
          </w:tcPr>
          <w:p w14:paraId="4B1C565E" w14:textId="283B5DF8" w:rsidR="00E24E43" w:rsidRDefault="00E24E43" w:rsidP="00D94744">
            <w:pPr>
              <w:spacing w:line="276" w:lineRule="auto"/>
              <w:ind w:left="175"/>
              <w:rPr>
                <w:rFonts w:ascii="Helvetica Neue" w:hAnsi="Helvetica Neue"/>
                <w:b/>
                <w:bCs/>
                <w:i/>
                <w:iCs/>
                <w:color w:val="000000"/>
                <w:sz w:val="16"/>
                <w:szCs w:val="16"/>
              </w:rPr>
            </w:pPr>
            <w:r>
              <w:rPr>
                <w:rFonts w:ascii="Helvetica Neue" w:hAnsi="Helvetica Neue"/>
                <w:b/>
                <w:bCs/>
                <w:i/>
                <w:iCs/>
                <w:color w:val="000000"/>
                <w:sz w:val="16"/>
                <w:szCs w:val="16"/>
              </w:rPr>
              <w:t xml:space="preserve">PA outcome </w:t>
            </w:r>
          </w:p>
        </w:tc>
        <w:tc>
          <w:tcPr>
            <w:tcW w:w="8793" w:type="dxa"/>
            <w:tcBorders>
              <w:top w:val="single" w:sz="8" w:space="0" w:color="auto"/>
              <w:left w:val="nil"/>
              <w:bottom w:val="nil"/>
              <w:right w:val="single" w:sz="8" w:space="0" w:color="auto"/>
            </w:tcBorders>
            <w:vAlign w:val="center"/>
          </w:tcPr>
          <w:p w14:paraId="0867A80A" w14:textId="0F18F283" w:rsidR="00E24E43" w:rsidRPr="004B7867" w:rsidRDefault="00E24E43" w:rsidP="00D94744">
            <w:pPr>
              <w:spacing w:line="276" w:lineRule="auto"/>
              <w:ind w:left="175"/>
              <w:rPr>
                <w:rFonts w:ascii="Helvetica Neue" w:hAnsi="Helvetica Neue"/>
                <w:b/>
                <w:bCs/>
                <w:color w:val="000000"/>
                <w:sz w:val="16"/>
                <w:szCs w:val="16"/>
              </w:rPr>
            </w:pPr>
            <w:r>
              <w:rPr>
                <w:rFonts w:ascii="Helvetica Neue" w:hAnsi="Helvetica Neue"/>
                <w:b/>
                <w:bCs/>
                <w:i/>
                <w:iCs/>
                <w:color w:val="000000"/>
                <w:sz w:val="16"/>
                <w:szCs w:val="16"/>
              </w:rPr>
              <w:t>Construct and p</w:t>
            </w:r>
            <w:r w:rsidRPr="00FD13E5">
              <w:rPr>
                <w:rFonts w:ascii="Helvetica Neue" w:hAnsi="Helvetica Neue"/>
                <w:b/>
                <w:bCs/>
                <w:i/>
                <w:iCs/>
                <w:color w:val="000000"/>
                <w:sz w:val="16"/>
                <w:szCs w:val="16"/>
              </w:rPr>
              <w:t>hysical activity assessment</w:t>
            </w:r>
          </w:p>
        </w:tc>
      </w:tr>
      <w:tr w:rsidR="00E24E43" w:rsidRPr="004B7867" w14:paraId="2E6E8838" w14:textId="77777777" w:rsidTr="00E24E43">
        <w:trPr>
          <w:trHeight w:val="260"/>
          <w:tblHeader/>
        </w:trPr>
        <w:tc>
          <w:tcPr>
            <w:tcW w:w="3109" w:type="dxa"/>
            <w:tcBorders>
              <w:top w:val="nil"/>
              <w:left w:val="single" w:sz="8" w:space="0" w:color="auto"/>
              <w:bottom w:val="single" w:sz="8" w:space="0" w:color="auto"/>
            </w:tcBorders>
            <w:shd w:val="clear" w:color="auto" w:fill="auto"/>
            <w:noWrap/>
            <w:vAlign w:val="center"/>
            <w:hideMark/>
          </w:tcPr>
          <w:p w14:paraId="07FD1E72" w14:textId="77777777" w:rsidR="00E24E43" w:rsidRPr="004B7867" w:rsidRDefault="00E24E43" w:rsidP="00D94744">
            <w:pPr>
              <w:spacing w:line="276" w:lineRule="auto"/>
              <w:jc w:val="center"/>
              <w:rPr>
                <w:rFonts w:ascii="Helvetica Neue" w:hAnsi="Helvetica Neue"/>
                <w:b/>
                <w:bCs/>
                <w:color w:val="000000"/>
                <w:sz w:val="16"/>
                <w:szCs w:val="16"/>
              </w:rPr>
            </w:pPr>
          </w:p>
        </w:tc>
        <w:tc>
          <w:tcPr>
            <w:tcW w:w="1418" w:type="dxa"/>
            <w:tcBorders>
              <w:top w:val="nil"/>
              <w:left w:val="nil"/>
              <w:bottom w:val="single" w:sz="8" w:space="0" w:color="auto"/>
              <w:right w:val="nil"/>
            </w:tcBorders>
          </w:tcPr>
          <w:p w14:paraId="03CB4239" w14:textId="77777777" w:rsidR="00E24E43" w:rsidRPr="004B7867" w:rsidRDefault="00E24E43" w:rsidP="00D94744">
            <w:pPr>
              <w:spacing w:line="276" w:lineRule="auto"/>
              <w:jc w:val="center"/>
              <w:rPr>
                <w:rFonts w:ascii="Helvetica Neue" w:hAnsi="Helvetica Neue"/>
                <w:b/>
                <w:bCs/>
                <w:color w:val="000000"/>
                <w:sz w:val="16"/>
                <w:szCs w:val="16"/>
              </w:rPr>
            </w:pPr>
          </w:p>
        </w:tc>
        <w:tc>
          <w:tcPr>
            <w:tcW w:w="8793" w:type="dxa"/>
            <w:tcBorders>
              <w:top w:val="nil"/>
              <w:left w:val="nil"/>
              <w:bottom w:val="single" w:sz="8" w:space="0" w:color="auto"/>
              <w:right w:val="single" w:sz="8" w:space="0" w:color="auto"/>
            </w:tcBorders>
            <w:vAlign w:val="center"/>
          </w:tcPr>
          <w:p w14:paraId="1485B111" w14:textId="192A38A1" w:rsidR="00E24E43" w:rsidRPr="004B7867" w:rsidRDefault="00E24E43" w:rsidP="00D94744">
            <w:pPr>
              <w:spacing w:line="276" w:lineRule="auto"/>
              <w:jc w:val="center"/>
              <w:rPr>
                <w:rFonts w:ascii="Helvetica Neue" w:hAnsi="Helvetica Neue"/>
                <w:b/>
                <w:bCs/>
                <w:color w:val="000000"/>
                <w:sz w:val="16"/>
                <w:szCs w:val="16"/>
              </w:rPr>
            </w:pPr>
          </w:p>
        </w:tc>
      </w:tr>
      <w:tr w:rsidR="00E24E43" w:rsidRPr="004B7867" w14:paraId="79292497"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616C9F96" w14:textId="77777777" w:rsidR="00E24E43" w:rsidRPr="004B7867" w:rsidRDefault="00E24E43"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Age</w:t>
            </w:r>
          </w:p>
        </w:tc>
        <w:tc>
          <w:tcPr>
            <w:tcW w:w="1418" w:type="dxa"/>
            <w:tcBorders>
              <w:top w:val="single" w:sz="8" w:space="0" w:color="auto"/>
              <w:left w:val="nil"/>
              <w:right w:val="nil"/>
            </w:tcBorders>
          </w:tcPr>
          <w:p w14:paraId="7BA11478" w14:textId="77777777" w:rsidR="00E24E43" w:rsidRDefault="00E24E43" w:rsidP="00D94744">
            <w:pPr>
              <w:spacing w:line="276" w:lineRule="auto"/>
              <w:rPr>
                <w:rFonts w:ascii="Helvetica Neue" w:hAnsi="Helvetica Neue"/>
                <w:i/>
                <w:iCs/>
                <w:color w:val="000000"/>
                <w:sz w:val="15"/>
                <w:szCs w:val="15"/>
              </w:rPr>
            </w:pPr>
          </w:p>
          <w:p w14:paraId="5FC94655" w14:textId="44B408C3" w:rsidR="00E24E43" w:rsidRPr="0081423E" w:rsidRDefault="00E24E43" w:rsidP="00D94744">
            <w:pPr>
              <w:spacing w:line="276" w:lineRule="auto"/>
              <w:rPr>
                <w:rFonts w:ascii="Helvetica Neue" w:hAnsi="Helvetica Neue"/>
                <w:i/>
                <w:iCs/>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1F333621" w14:textId="27B82DFF" w:rsidR="00E24E43" w:rsidRPr="0081423E" w:rsidRDefault="00E24E43" w:rsidP="00D94744">
            <w:pPr>
              <w:spacing w:line="276" w:lineRule="auto"/>
              <w:rPr>
                <w:rFonts w:ascii="Helvetica Neue" w:hAnsi="Helvetica Neue"/>
                <w:i/>
                <w:iCs/>
                <w:color w:val="000000"/>
                <w:sz w:val="15"/>
                <w:szCs w:val="15"/>
              </w:rPr>
            </w:pPr>
            <w:r w:rsidRPr="0081423E">
              <w:rPr>
                <w:rFonts w:ascii="Helvetica Neue" w:hAnsi="Helvetica Neue"/>
                <w:i/>
                <w:iCs/>
                <w:color w:val="000000"/>
                <w:sz w:val="15"/>
                <w:szCs w:val="15"/>
              </w:rPr>
              <w:t>Years</w:t>
            </w:r>
          </w:p>
          <w:p w14:paraId="0AB05467" w14:textId="77777777" w:rsidR="00E24E43" w:rsidRDefault="00E24E43" w:rsidP="00D94744">
            <w:pPr>
              <w:spacing w:line="276" w:lineRule="auto"/>
              <w:ind w:left="175"/>
              <w:rPr>
                <w:rFonts w:ascii="Helvetica Neue" w:hAnsi="Helvetica Neue"/>
                <w:i/>
                <w:iCs/>
                <w:color w:val="000000"/>
                <w:sz w:val="15"/>
                <w:szCs w:val="15"/>
                <w:vertAlign w:val="superscript"/>
              </w:rPr>
            </w:pPr>
            <w:r w:rsidRPr="00C77C40">
              <w:rPr>
                <w:rFonts w:ascii="Helvetica Neue" w:hAnsi="Helvetica Neue"/>
                <w:i/>
                <w:iCs/>
                <w:color w:val="000000"/>
                <w:sz w:val="15"/>
                <w:szCs w:val="15"/>
              </w:rPr>
              <w:t>Compliant vs non-compliant with exercise prescription</w:t>
            </w:r>
            <w:r w:rsidRPr="0081423E">
              <w:rPr>
                <w:rFonts w:ascii="Helvetica Neue" w:hAnsi="Helvetica Neue"/>
                <w:i/>
                <w:iCs/>
                <w:color w:val="000000"/>
                <w:sz w:val="15"/>
                <w:szCs w:val="15"/>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F1000_CSL_CITATION&lt;~#@#~&gt;[{"DOI":"10.1097/00005082-200307000-00005","First":false,"Last":false,"PMID":"12837010","abstract":"Although compliance behaviors of heart failure (HF) patients have become the focus of increasing scrutiny in the last decade, the prevalence of noncompliance among elderly patients with HF is poorly understood. We conducted this study to describe and compare the compliance behaviors of elderly patients (&gt; or = 65 years) and younger patients (&lt;  65 years) with HF on 6 prescribed activities: medical appointments, medications, diet, exercise, smoking cessation, and alcohol abstinence. Data from a sample of 140 older (50%) and younger (50%) HF patients matched for genderand disease severity were collected with the HF Compliance Questionnaire and analyzed via descriptive statistics, chi-square, paired t-tests, and Pearson correlations. We found that elderly patients were more compliant with diet (77% vs 65%, p = .001) and exercise (67% vs 55%, p = .021) than were their younger counterparts. There was no difference in the other health care behaviors. Of the 70 elderly patients, 51% reported some degree of difficulty complying with exercise while 37%, 24%, and 23% had difficulty following diet, keeping follow-up appointments, and taking medications, respectively. A smaller percentage of elders continued to smoke (9%) and drink alcohol (18%). Patients were asked why they had difficulty following their health care regimens; responses varied by prescribed activity. Lastly, we found inverse relationships between perceived difficulty following and compliance with all of the 6 behaviors measured (p &lt;  .001); as difficulty increased, compliance decreased. Strategies to help older patients minimize perceived difficulties associated with health care regimens may improve compliance and long-term morbidity and mortality from HF. Assumptions about older age being related to noncompliance appear invalid in patients with HF.","author":[{"family":"Evangelista","given":"Lorraine"},{"family":"Doering","given":"Lynn V"},{"family":"Dracup","given":"Kathleen"},{"family":"Westlake","given":"Cheryl"},{"family":"Hamilton","given":"Michele"},{"family":"Fonarow","given":"Gregg C"}],"authorYearDisplayFormat":false,"citation-label":"8140309","container-title":"The Journal of Cardiovascular Nursing","container-title-short":"J. Cardiovasc. Nurs.","id":"8140309","invisible":false,"issue":"3","issued":{"date-parts":[["2003","8"]]},"journalAbbreviation":"J. Cardiovasc. Nurs.","page":"197-206; quiz 207","suppress-author":false,"title":"Compliance behaviors of elderly patients with advanced heart failure.","type":"article-journal","volume":"18"},{"DOI":"10.1067/mhl.2001.116011","First":false,"Last":false,"PMID":"11449216","abstract":"&lt;strong&gt;OBJECTIVE:&lt;/strong&gt;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color w:val="000000"/>
                <w:sz w:val="15"/>
                <w:szCs w:val="15"/>
              </w:rPr>
              <w:t>(Chien, Chen, Garet, &amp; Wang, 2014; L. Evangelista et al., 2003; L. S. Evangelista, Berg, &amp; Dracup, 2001)</w:t>
            </w:r>
            <w:r w:rsidRPr="00D455C3">
              <w:rPr>
                <w:rFonts w:ascii="Helvetica Neue" w:hAnsi="Helvetica Neue"/>
                <w:i/>
                <w:iCs/>
                <w:color w:val="000000"/>
                <w:sz w:val="15"/>
                <w:szCs w:val="15"/>
                <w:vertAlign w:val="superscript"/>
              </w:rPr>
              <w:fldChar w:fldCharType="end"/>
            </w:r>
          </w:p>
          <w:p w14:paraId="29A2A0AD" w14:textId="77777777" w:rsidR="00E24E43" w:rsidRPr="00D455C3" w:rsidRDefault="00E24E43" w:rsidP="00D94744">
            <w:pPr>
              <w:spacing w:line="276" w:lineRule="auto"/>
              <w:ind w:left="175"/>
              <w:rPr>
                <w:rFonts w:ascii="Helvetica Neue" w:hAnsi="Helvetica Neue"/>
                <w:i/>
                <w:iCs/>
                <w:color w:val="000000"/>
                <w:sz w:val="15"/>
                <w:szCs w:val="15"/>
                <w:vertAlign w:val="superscript"/>
              </w:rPr>
            </w:pPr>
            <w:r>
              <w:rPr>
                <w:rFonts w:ascii="Helvetica Neue" w:hAnsi="Helvetica Neue"/>
                <w:i/>
                <w:iCs/>
                <w:color w:val="000000"/>
                <w:sz w:val="15"/>
                <w:szCs w:val="15"/>
                <w:vertAlign w:val="superscript"/>
              </w:rPr>
              <w:t xml:space="preserve"> </w:t>
            </w:r>
          </w:p>
          <w:p w14:paraId="5EFADB99" w14:textId="77777777" w:rsidR="00E24E43" w:rsidRDefault="00E24E43" w:rsidP="00D94744">
            <w:pPr>
              <w:spacing w:line="276" w:lineRule="auto"/>
              <w:ind w:left="175"/>
              <w:rPr>
                <w:rFonts w:ascii="Helvetica Neue" w:hAnsi="Helvetica Neue"/>
                <w:i/>
                <w:iCs/>
                <w:color w:val="000000"/>
                <w:sz w:val="15"/>
                <w:szCs w:val="15"/>
              </w:rPr>
            </w:pPr>
            <w:r>
              <w:rPr>
                <w:rFonts w:ascii="Helvetica Neue" w:hAnsi="Helvetica Neue"/>
                <w:i/>
                <w:iCs/>
                <w:color w:val="000000"/>
                <w:sz w:val="15"/>
                <w:szCs w:val="15"/>
              </w:rPr>
              <w:t xml:space="preserve"> </w:t>
            </w:r>
          </w:p>
          <w:p w14:paraId="58C752C0" w14:textId="77777777" w:rsidR="00E24E43" w:rsidRPr="00C77C40" w:rsidRDefault="00E24E43" w:rsidP="00D94744">
            <w:pPr>
              <w:spacing w:line="276" w:lineRule="auto"/>
              <w:ind w:left="175"/>
              <w:rPr>
                <w:rFonts w:ascii="Helvetica Neue" w:hAnsi="Helvetica Neue"/>
                <w:i/>
                <w:iCs/>
                <w:color w:val="000000"/>
                <w:sz w:val="15"/>
                <w:szCs w:val="15"/>
              </w:rPr>
            </w:pPr>
            <w:r w:rsidRPr="0081423E">
              <w:rPr>
                <w:rFonts w:ascii="Helvetica Neue" w:hAnsi="Helvetica Neue"/>
                <w:i/>
                <w:iCs/>
                <w:color w:val="000000"/>
                <w:sz w:val="15"/>
                <w:szCs w:val="15"/>
              </w:rPr>
              <w:t xml:space="preserve">Daily accelerometry units – lowest </w:t>
            </w:r>
            <w:proofErr w:type="spellStart"/>
            <w:r w:rsidRPr="0081423E">
              <w:rPr>
                <w:rFonts w:ascii="Helvetica Neue" w:hAnsi="Helvetica Neue"/>
                <w:i/>
                <w:iCs/>
                <w:color w:val="000000"/>
                <w:sz w:val="15"/>
                <w:szCs w:val="15"/>
              </w:rPr>
              <w:t>tertile</w:t>
            </w:r>
            <w:proofErr w:type="spellEnd"/>
            <w:r w:rsidRPr="0081423E">
              <w:rPr>
                <w:rFonts w:ascii="Helvetica Neue" w:hAnsi="Helvetica Neue"/>
                <w:i/>
                <w:iCs/>
                <w:color w:val="000000"/>
                <w:sz w:val="15"/>
                <w:szCs w:val="15"/>
              </w:rPr>
              <w:t xml:space="preserve"> vs highest </w:t>
            </w:r>
            <w:proofErr w:type="spellStart"/>
            <w:r w:rsidRPr="0081423E">
              <w:rPr>
                <w:rFonts w:ascii="Helvetica Neue" w:hAnsi="Helvetica Neue"/>
                <w:i/>
                <w:iCs/>
                <w:color w:val="000000"/>
                <w:sz w:val="15"/>
                <w:szCs w:val="15"/>
              </w:rPr>
              <w:t>tertile</w:t>
            </w:r>
            <w:proofErr w:type="spellEnd"/>
            <w:r w:rsidRPr="0081423E">
              <w:rPr>
                <w:rFonts w:ascii="Helvetica Neue" w:hAnsi="Helvetica Neue"/>
                <w:i/>
                <w:iCs/>
                <w:color w:val="000000"/>
                <w:sz w:val="15"/>
                <w:szCs w:val="15"/>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color w:val="000000"/>
                <w:sz w:val="15"/>
                <w:szCs w:val="15"/>
              </w:rPr>
              <w:t>(Snipelisky et al., 2017)</w:t>
            </w:r>
            <w:r w:rsidRPr="00D455C3">
              <w:rPr>
                <w:rFonts w:ascii="Helvetica Neue" w:hAnsi="Helvetica Neue"/>
                <w:i/>
                <w:iCs/>
                <w:color w:val="000000"/>
                <w:sz w:val="15"/>
                <w:szCs w:val="15"/>
                <w:vertAlign w:val="superscript"/>
              </w:rPr>
              <w:fldChar w:fldCharType="end"/>
            </w:r>
            <w:r>
              <w:rPr>
                <w:rFonts w:ascii="Helvetica Neue" w:hAnsi="Helvetica Neue"/>
                <w:i/>
                <w:iCs/>
                <w:color w:val="000000"/>
                <w:sz w:val="15"/>
                <w:szCs w:val="15"/>
                <w:vertAlign w:val="superscript"/>
              </w:rPr>
              <w:t xml:space="preserve"> </w:t>
            </w:r>
          </w:p>
        </w:tc>
      </w:tr>
      <w:tr w:rsidR="00E24E43" w:rsidRPr="004B7867" w14:paraId="0C52F24D"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3A6DB283" w14:textId="77777777" w:rsidR="00E24E43" w:rsidRPr="00240384" w:rsidRDefault="00E24E43" w:rsidP="00D94744">
            <w:pPr>
              <w:spacing w:line="276" w:lineRule="auto"/>
              <w:jc w:val="center"/>
              <w:rPr>
                <w:rFonts w:ascii="Helvetica Neue" w:hAnsi="Helvetica Neue"/>
                <w:color w:val="000000" w:themeColor="text1"/>
                <w:sz w:val="16"/>
                <w:szCs w:val="16"/>
              </w:rPr>
            </w:pPr>
          </w:p>
        </w:tc>
        <w:tc>
          <w:tcPr>
            <w:tcW w:w="1418" w:type="dxa"/>
            <w:tcBorders>
              <w:bottom w:val="single" w:sz="8" w:space="0" w:color="auto"/>
            </w:tcBorders>
          </w:tcPr>
          <w:p w14:paraId="4ADD70F1" w14:textId="2028804C" w:rsidR="00E24E43" w:rsidRPr="002C5B58" w:rsidRDefault="00E24E43" w:rsidP="00D94744">
            <w:pPr>
              <w:spacing w:line="276" w:lineRule="auto"/>
              <w:rPr>
                <w:rFonts w:ascii="Helvetica Neue" w:hAnsi="Helvetica Neue"/>
                <w:sz w:val="15"/>
                <w:szCs w:val="15"/>
              </w:rPr>
            </w:pPr>
            <w:r w:rsidRPr="00E24E43">
              <w:rPr>
                <w:rFonts w:ascii="Helvetica Neue" w:hAnsi="Helvetica Neue"/>
                <w:i/>
                <w:iCs/>
                <w:color w:val="000000"/>
                <w:sz w:val="15"/>
                <w:szCs w:val="15"/>
              </w:rPr>
              <w:t>Continuous</w:t>
            </w:r>
          </w:p>
        </w:tc>
        <w:tc>
          <w:tcPr>
            <w:tcW w:w="8793" w:type="dxa"/>
            <w:tcBorders>
              <w:top w:val="dotted" w:sz="4" w:space="0" w:color="auto"/>
              <w:bottom w:val="single" w:sz="8" w:space="0" w:color="auto"/>
              <w:right w:val="single" w:sz="8" w:space="0" w:color="auto"/>
            </w:tcBorders>
            <w:shd w:val="clear" w:color="auto" w:fill="auto"/>
            <w:vAlign w:val="center"/>
          </w:tcPr>
          <w:p w14:paraId="1D661698" w14:textId="479C1BA5" w:rsidR="00E24E43" w:rsidRPr="002C5B58" w:rsidRDefault="00E24E43" w:rsidP="00D94744">
            <w:pPr>
              <w:spacing w:line="276" w:lineRule="auto"/>
              <w:rPr>
                <w:rFonts w:ascii="Helvetica Neue" w:hAnsi="Helvetica Neue"/>
                <w:sz w:val="15"/>
                <w:szCs w:val="15"/>
              </w:rPr>
            </w:pPr>
            <w:r w:rsidRPr="002C5B58">
              <w:rPr>
                <w:rFonts w:ascii="Helvetica Neue" w:hAnsi="Helvetica Neue"/>
                <w:sz w:val="15"/>
                <w:szCs w:val="15"/>
              </w:rPr>
              <w:t>Years</w:t>
            </w:r>
          </w:p>
          <w:p w14:paraId="707D983D" w14:textId="77777777" w:rsidR="00E24E43" w:rsidRPr="002C5B58" w:rsidRDefault="00E24E43" w:rsidP="00D94744">
            <w:pPr>
              <w:spacing w:line="276" w:lineRule="auto"/>
              <w:ind w:left="175"/>
              <w:rPr>
                <w:rFonts w:ascii="Helvetica Neue" w:hAnsi="Helvetica Neue"/>
                <w:i/>
                <w:iCs/>
                <w:sz w:val="15"/>
                <w:szCs w:val="15"/>
              </w:rPr>
            </w:pPr>
            <w:r w:rsidRPr="002C5B58">
              <w:rPr>
                <w:rFonts w:ascii="Helvetica Neue" w:hAnsi="Helvetica Neue"/>
                <w:i/>
                <w:iCs/>
                <w:sz w:val="15"/>
                <w:szCs w:val="15"/>
              </w:rPr>
              <w:t>Average daily accelerometer units</w:t>
            </w:r>
            <w:r w:rsidRPr="005D1E89">
              <w:rPr>
                <w:rFonts w:ascii="Helvetica Neue" w:hAnsi="Helvetica Neue"/>
                <w:i/>
                <w:iCs/>
                <w:sz w:val="15"/>
                <w:szCs w:val="15"/>
                <w:vertAlign w:val="superscript"/>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(Witham, Argo, Johnston, Struthers, &amp; McMurdo, 2006)</w:t>
            </w:r>
            <w:r w:rsidRPr="00D455C3">
              <w:rPr>
                <w:rFonts w:ascii="Helvetica Neue" w:hAnsi="Helvetica Neue"/>
                <w:i/>
                <w:iCs/>
                <w:sz w:val="15"/>
                <w:szCs w:val="15"/>
                <w:vertAlign w:val="superscript"/>
              </w:rPr>
              <w:fldChar w:fldCharType="end"/>
            </w:r>
          </w:p>
          <w:p w14:paraId="1D463FE4" w14:textId="77777777" w:rsidR="00E24E43" w:rsidRPr="00C77C40" w:rsidRDefault="00E24E43"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 xml:space="preserve">Energy expenditure average daily kcal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(Chien et al., 2014; Lee et al., 2016; Pozehl, Mcguire, et al., 2018)</w:t>
            </w:r>
            <w:r w:rsidRPr="00D455C3">
              <w:rPr>
                <w:rFonts w:ascii="Helvetica Neue" w:hAnsi="Helvetica Neue"/>
                <w:i/>
                <w:iCs/>
                <w:color w:val="000000" w:themeColor="text1"/>
                <w:sz w:val="15"/>
                <w:szCs w:val="15"/>
                <w:vertAlign w:val="superscript"/>
              </w:rPr>
              <w:fldChar w:fldCharType="end"/>
            </w:r>
          </w:p>
          <w:p w14:paraId="2B0DDEAD" w14:textId="77777777" w:rsidR="00E24E43" w:rsidRPr="00C77C40" w:rsidRDefault="00E24E43"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Steps per day total</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(Alosco et al., 2012; Dontje et al., 2014)</w:t>
            </w:r>
            <w:r w:rsidRPr="00D455C3">
              <w:rPr>
                <w:rFonts w:ascii="Helvetica Neue" w:hAnsi="Helvetica Neue"/>
                <w:i/>
                <w:iCs/>
                <w:color w:val="000000" w:themeColor="text1"/>
                <w:sz w:val="15"/>
                <w:szCs w:val="15"/>
                <w:vertAlign w:val="superscript"/>
              </w:rPr>
              <w:fldChar w:fldCharType="end"/>
            </w:r>
            <w:r w:rsidRPr="00C77C40">
              <w:rPr>
                <w:rFonts w:ascii="Helvetica Neue" w:hAnsi="Helvetica Neue"/>
                <w:i/>
                <w:iCs/>
                <w:color w:val="000000" w:themeColor="text1"/>
                <w:sz w:val="15"/>
                <w:szCs w:val="15"/>
              </w:rPr>
              <w:t>, IPAQ scale</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F1000_CSL_CITATION&lt;~#@#~&gt;[{"DOI":"10.1097/JCN.0000000000000456","First":false,"Last":false,"PMCID":"PMC5908261","PMID":"29189427","abstract":"&lt;strong&gt;BACKGROUND:&lt;/strong&gt; Motivation is necessary in patients with heart failure (HF) who are attempting to become more physically active but may not be sufficient to initiate physical activity. Self-efficacy might explain the relationship between motivation and physical activity.&lt;br&gt;&lt;br&gt;&lt;strong&gt;OBJECTIVE:&lt;/strong&gt; The aim of this study was to examine the role of exercise self-efficacy in the relationship between exercise motivation and physical activity in patients with HF.&lt;br&gt;&lt;br&gt;&lt;strong&gt;METHODS:&lt;/strong&gt; A total of 100 stable patients with HF (88% in New York Heart Association class II/III; mean age, 67 ± 13 years; 62% men) were studied. Self-efficacy was measured with the Exercise Self-Efficacy Scale; motivation, with the Exercise Motivation Index; and physical activity, with a self-report questionnaire. Logistic regression analyses were made to examine the mediation effect of exercise self-efficacy on the relationship between exercise motivation and physical activity.&lt;br&gt;&lt;br&gt;&lt;strong&gt;RESULTS:&lt;/strong&gt; Forty-two percent of the 100 patients reported engaging in less than 60 minutes per week of physical activity. Motivation predicted physical activity (b = 0.58, P &lt;  .05), but after controlling for self-efficacy, the relationship between motivation and physical activity was no longer significant (b = 0.76, P = .06), indicating full mediation.&lt;br&gt;&lt;br&gt;&lt;strong&gt;CONCLUSION:&lt;/strong&gt; Motivation to be physically active is important but not sufficient. In addition to a high level of motivation to be physically active, it is important that patients with HF have a high degree of self-efficacy.","author":[{"family":"Klompstra","given":"Leonie"},{"family":"Jaarsma","given":"Tiny"},{"family":"Strömberg","given":"Anna"}],"authorYearDisplayFormat":false,"citation-label":"8493447","container-title":"The Journal of Cardiovascular Nursing","container-title-short":"J. Cardiovasc. Nurs.","id":"8493447","invisible":false,"issue":"3","issued":{"date-parts":[["2018"]]},"journalAbbreviation":"J. Cardiovasc. Nurs.","page":"211-216","suppress-author":false,"title":"Self-efficacy Mediates the Relationship Between Motivation and Physical Activity in Patients With Heart Failure.","type":"article-journal","volume":"33"}]</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(Klompstra, Jaarsma, &amp; Strömberg, 2018)</w:t>
            </w:r>
            <w:r w:rsidRPr="00D455C3">
              <w:rPr>
                <w:rFonts w:ascii="Helvetica Neue" w:hAnsi="Helvetica Neue"/>
                <w:i/>
                <w:iCs/>
                <w:color w:val="000000" w:themeColor="text1"/>
                <w:sz w:val="15"/>
                <w:szCs w:val="15"/>
                <w:vertAlign w:val="superscript"/>
              </w:rPr>
              <w:fldChar w:fldCharType="end"/>
            </w:r>
          </w:p>
        </w:tc>
      </w:tr>
      <w:tr w:rsidR="00E24E43" w:rsidRPr="004B7867" w14:paraId="12DCBD3A"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65262EF0"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Comorbidity</w:t>
            </w:r>
          </w:p>
        </w:tc>
        <w:tc>
          <w:tcPr>
            <w:tcW w:w="1418" w:type="dxa"/>
            <w:tcBorders>
              <w:top w:val="single" w:sz="8" w:space="0" w:color="auto"/>
              <w:left w:val="nil"/>
              <w:right w:val="nil"/>
            </w:tcBorders>
          </w:tcPr>
          <w:p w14:paraId="306C8566" w14:textId="77777777" w:rsidR="00E24E43" w:rsidRDefault="00E24E43" w:rsidP="00E24E43">
            <w:pPr>
              <w:spacing w:line="276" w:lineRule="auto"/>
              <w:rPr>
                <w:rFonts w:ascii="Helvetica Neue" w:hAnsi="Helvetica Neue"/>
                <w:i/>
                <w:iCs/>
                <w:color w:val="000000"/>
                <w:sz w:val="15"/>
                <w:szCs w:val="15"/>
              </w:rPr>
            </w:pPr>
          </w:p>
          <w:p w14:paraId="14C8F13E" w14:textId="4E465493" w:rsidR="00E24E43" w:rsidRPr="00C77C40" w:rsidRDefault="00E24E43" w:rsidP="00E24E43">
            <w:pPr>
              <w:spacing w:line="276" w:lineRule="auto"/>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04E3AB85" w14:textId="2C42ABE3"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Charlson Comorbidity Index</w:t>
            </w:r>
          </w:p>
          <w:p w14:paraId="2D37CA3C"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(Corvera-Tindel, Doering, Gomez, &amp; Dracup, 2004)</w:t>
            </w:r>
            <w:r w:rsidRPr="00D455C3">
              <w:rPr>
                <w:rFonts w:ascii="Helvetica Neue" w:hAnsi="Helvetica Neue"/>
                <w:i/>
                <w:iCs/>
                <w:color w:val="000000"/>
                <w:sz w:val="15"/>
                <w:szCs w:val="15"/>
                <w:vertAlign w:val="superscript"/>
              </w:rPr>
              <w:fldChar w:fldCharType="end"/>
            </w:r>
          </w:p>
          <w:p w14:paraId="50562D1F" w14:textId="77777777" w:rsidR="00E24E43" w:rsidRPr="00C77C40" w:rsidRDefault="00E24E43" w:rsidP="00E24E43">
            <w:pPr>
              <w:spacing w:line="276" w:lineRule="auto"/>
              <w:rPr>
                <w:rFonts w:ascii="Helvetica Neue" w:hAnsi="Helvetica Neue"/>
                <w:i/>
                <w:iCs/>
                <w:color w:val="000000"/>
                <w:sz w:val="15"/>
                <w:szCs w:val="15"/>
              </w:rPr>
            </w:pPr>
          </w:p>
        </w:tc>
      </w:tr>
      <w:tr w:rsidR="00E24E43" w:rsidRPr="004B7867" w14:paraId="60AB49E6"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39540B26"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338F6CB8" w14:textId="7B275FEB" w:rsidR="00E24E43" w:rsidRPr="00C77C40"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683C89AB" w14:textId="7BDB9FD3"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Charlson Comorbidity Index</w:t>
            </w:r>
          </w:p>
          <w:p w14:paraId="757A4F4B"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average daily kcal</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p w14:paraId="7040D8D8" w14:textId="77777777" w:rsidR="00E24E43" w:rsidRPr="00C77C40" w:rsidRDefault="00E24E43" w:rsidP="00E24E43">
            <w:pPr>
              <w:spacing w:line="276" w:lineRule="auto"/>
              <w:rPr>
                <w:rFonts w:ascii="Helvetica Neue" w:hAnsi="Helvetica Neue"/>
                <w:i/>
                <w:iCs/>
                <w:color w:val="000000"/>
                <w:sz w:val="15"/>
                <w:szCs w:val="15"/>
              </w:rPr>
            </w:pPr>
          </w:p>
        </w:tc>
      </w:tr>
      <w:tr w:rsidR="00E24E43" w:rsidRPr="004B7867" w14:paraId="21A6AD97" w14:textId="77777777" w:rsidTr="00E24E43">
        <w:trPr>
          <w:trHeight w:val="76"/>
        </w:trPr>
        <w:tc>
          <w:tcPr>
            <w:tcW w:w="3109" w:type="dxa"/>
            <w:vMerge w:val="restart"/>
            <w:tcBorders>
              <w:top w:val="single" w:sz="8" w:space="0" w:color="auto"/>
              <w:left w:val="single" w:sz="8" w:space="0" w:color="auto"/>
            </w:tcBorders>
            <w:shd w:val="clear" w:color="auto" w:fill="auto"/>
            <w:noWrap/>
            <w:vAlign w:val="center"/>
            <w:hideMark/>
          </w:tcPr>
          <w:p w14:paraId="263EE96D"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Social </w:t>
            </w:r>
            <w:r>
              <w:rPr>
                <w:rFonts w:ascii="Helvetica Neue" w:hAnsi="Helvetica Neue"/>
                <w:b/>
                <w:bCs/>
                <w:color w:val="000000"/>
                <w:sz w:val="16"/>
                <w:szCs w:val="16"/>
              </w:rPr>
              <w:t>s</w:t>
            </w:r>
            <w:r w:rsidRPr="004B7867">
              <w:rPr>
                <w:rFonts w:ascii="Helvetica Neue" w:hAnsi="Helvetica Neue"/>
                <w:b/>
                <w:bCs/>
                <w:color w:val="000000"/>
                <w:sz w:val="16"/>
                <w:szCs w:val="16"/>
              </w:rPr>
              <w:t>upport</w:t>
            </w:r>
          </w:p>
        </w:tc>
        <w:tc>
          <w:tcPr>
            <w:tcW w:w="1418" w:type="dxa"/>
            <w:tcBorders>
              <w:top w:val="single" w:sz="8" w:space="0" w:color="auto"/>
              <w:left w:val="nil"/>
              <w:right w:val="nil"/>
            </w:tcBorders>
          </w:tcPr>
          <w:p w14:paraId="4C41F953" w14:textId="77777777" w:rsidR="00E24E43" w:rsidRDefault="00E24E43" w:rsidP="00E24E43">
            <w:pPr>
              <w:spacing w:line="276" w:lineRule="auto"/>
              <w:rPr>
                <w:rFonts w:ascii="Helvetica Neue" w:hAnsi="Helvetica Neue"/>
                <w:i/>
                <w:iCs/>
                <w:color w:val="000000"/>
                <w:sz w:val="15"/>
                <w:szCs w:val="15"/>
              </w:rPr>
            </w:pPr>
          </w:p>
          <w:p w14:paraId="6BEE0AF8" w14:textId="1A06B793" w:rsidR="00E24E43" w:rsidRPr="00C77C40" w:rsidRDefault="00E24E43" w:rsidP="00E24E43">
            <w:pPr>
              <w:spacing w:line="276" w:lineRule="auto"/>
              <w:ind w:left="30"/>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568DD183" w14:textId="204AAD7B" w:rsidR="00E24E43" w:rsidRPr="005703BA" w:rsidRDefault="00E24E43" w:rsidP="00E24E43">
            <w:pPr>
              <w:spacing w:line="276" w:lineRule="auto"/>
              <w:ind w:left="30"/>
              <w:rPr>
                <w:rFonts w:ascii="Helvetica Neue" w:hAnsi="Helvetica Neue"/>
                <w:i/>
                <w:iCs/>
                <w:color w:val="000000"/>
                <w:sz w:val="15"/>
                <w:szCs w:val="15"/>
              </w:rPr>
            </w:pPr>
            <w:proofErr w:type="gramStart"/>
            <w:r w:rsidRPr="00C77C40">
              <w:rPr>
                <w:rFonts w:ascii="Helvetica Neue" w:hAnsi="Helvetica Neue"/>
                <w:color w:val="000000"/>
                <w:sz w:val="15"/>
                <w:szCs w:val="15"/>
              </w:rPr>
              <w:t>High(</w:t>
            </w:r>
            <w:proofErr w:type="gramEnd"/>
            <w:r w:rsidRPr="00C77C40">
              <w:rPr>
                <w:rFonts w:ascii="Helvetica Neue" w:hAnsi="Helvetica Neue"/>
                <w:color w:val="000000"/>
                <w:sz w:val="15"/>
                <w:szCs w:val="15"/>
              </w:rPr>
              <w:t xml:space="preserve">&gt;9) vs low(&lt;=9) perceived social support </w:t>
            </w:r>
            <w:r w:rsidRPr="005703BA">
              <w:rPr>
                <w:rFonts w:ascii="Helvetica Neue" w:hAnsi="Helvetica Neue"/>
                <w:color w:val="000000"/>
                <w:sz w:val="15"/>
                <w:szCs w:val="15"/>
              </w:rPr>
              <w:t>scale score</w:t>
            </w:r>
          </w:p>
          <w:p w14:paraId="40A74F69" w14:textId="77777777" w:rsidR="00E24E43" w:rsidRDefault="00E24E43" w:rsidP="00E24E43">
            <w:pPr>
              <w:spacing w:line="276" w:lineRule="auto"/>
              <w:ind w:left="175"/>
              <w:rPr>
                <w:rFonts w:ascii="Helvetica Neue" w:hAnsi="Helvetica Neue"/>
                <w:i/>
                <w:iCs/>
                <w:color w:val="000000"/>
                <w:sz w:val="15"/>
                <w:szCs w:val="15"/>
                <w:vertAlign w:val="superscript"/>
              </w:rPr>
            </w:pPr>
            <w:r w:rsidRPr="00C77C40">
              <w:rPr>
                <w:rFonts w:ascii="Helvetica Neue" w:hAnsi="Helvetica Neue"/>
                <w:i/>
                <w:iCs/>
                <w:color w:val="000000"/>
                <w:sz w:val="15"/>
                <w:szCs w:val="15"/>
              </w:rPr>
              <w:t>The European Heart Failure Self-care Behaviour Scale score</w:t>
            </w:r>
            <w:r w:rsidRPr="002C5B58">
              <w:rPr>
                <w:rFonts w:ascii="Helvetica Neue" w:hAnsi="Helvetica Neue"/>
                <w:i/>
                <w:iCs/>
                <w:color w:val="000000"/>
                <w:sz w:val="15"/>
                <w:szCs w:val="15"/>
                <w:vertAlign w:val="superscript"/>
              </w:rPr>
              <w:t>2</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F1000_CSL_CITATION&lt;~#@#~&gt;[{"DOI":"10.1097/JCN.0b013e31820984e1","First":false,"Last":false,"PMID":"21372734","abstract":"&lt;strong&gt;BACKGROUND AND OBJECTIVE:&lt;/strong&gt; Self-care by heart failure (HF) patients is essential for optimal disease management of their condition. However, as the nature of HF is unrelenting and burdensome, self-care is usually achieved with the support of partners. It is not clear what role the level of social support by partners plays in HF self-care; therefore, this study sets out to determine the types of social support provided to HF patients and the impact of differing levels of social support on HF patients' self-care.&lt;br&gt;&lt;br&gt;&lt;strong&gt;SUBJECTS AND METHOD:&lt;/strong&gt; This is secondary analysis of a subgroup of patients experiencing their second hospital admission for HF at baseline in the COACH study, a multisite trial conducted in the Netherlands. Measures included the European Heart Failure Self-care Behaviour Scale and a multiple component assessment of social support, which categorized patients into low, moderate, and high levels of social support according to the presence of a partner and their perception of support they received from their partner.&lt;br&gt;&lt;br&gt;&lt;strong&gt;RESULTS AND CONCLUSIONS:&lt;/strong&gt; Patients (n = 333) had an average age of 72 (SD, 11) years, and 92% belonged to New York Heart Association class III or greater. Of the patients with partners (56%), only 49% had a high level of support from their partner. No demographic or clinical characteristic was associated with self-care behavior. Patients with a high level of support reported significantly better self-care (P = .002) than patients with low or moderate levels of social support. Patients with a high level of social support reported being significantly more likely to consult with a health professional for weight gain (P = .011), to limit the amount of fluids they have (P = .02), take their medication (P = .017), to get a flu shot (P = .001), and to exercise on a regular basis (P &lt;  .001) than those with medium or low levels of social support. The presence of social support by a partner is not sufficient to influence HF patients' self-care. Social support provided by partners needs to be of a quality and content that matches HF patients' perception of need to influence self-care. Caregivers, especially partners, should be considered as integral in the treatment and care of HF patients.","author":[{"family":"Gallagher","given":"Robyn"},{"family":"Luttik","given":"Marie-Louise"},{"family":"Jaarsma","given":"Tiny"}],"authorYearDisplayFormat":false,"citation-label":"8493414","container-title":"The Journal of Cardiovascular Nursing","container-title-short":"J. Cardiovasc. Nurs.","id":"8493414","invisible":false,"issue":"6","issued":{"date-parts":[["2011","12"]]},"journalAbbreviation":"J. Cardiovasc. Nurs.","page":"439-445","suppress-author":false,"title":"Social support and self-care in heart failure.","type":"article-journal","volume":"26"}]</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color w:val="000000"/>
                <w:sz w:val="15"/>
                <w:szCs w:val="15"/>
              </w:rPr>
              <w:t>(Gallagher, Luttik, &amp; Jaarsma, 2011)</w:t>
            </w:r>
            <w:r w:rsidRPr="00D455C3">
              <w:rPr>
                <w:rFonts w:ascii="Helvetica Neue" w:hAnsi="Helvetica Neue"/>
                <w:i/>
                <w:iCs/>
                <w:color w:val="000000"/>
                <w:sz w:val="15"/>
                <w:szCs w:val="15"/>
                <w:vertAlign w:val="superscript"/>
              </w:rPr>
              <w:fldChar w:fldCharType="end"/>
            </w:r>
          </w:p>
          <w:p w14:paraId="19AB8368" w14:textId="083A53A3" w:rsidR="00E24E43" w:rsidRPr="005703BA" w:rsidRDefault="00E24E43" w:rsidP="00E24E43">
            <w:pPr>
              <w:spacing w:line="276" w:lineRule="auto"/>
              <w:ind w:left="175"/>
              <w:rPr>
                <w:rFonts w:ascii="Helvetica Neue" w:hAnsi="Helvetica Neue"/>
                <w:i/>
                <w:iCs/>
                <w:color w:val="000000"/>
                <w:sz w:val="15"/>
                <w:szCs w:val="15"/>
              </w:rPr>
            </w:pPr>
          </w:p>
        </w:tc>
      </w:tr>
      <w:tr w:rsidR="00E24E43" w:rsidRPr="004B7867" w14:paraId="32A18DBF"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125E4F47"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5ABC4C12" w14:textId="0EBD54C0" w:rsidR="00E24E43" w:rsidRPr="00C77C40" w:rsidRDefault="00E24E43" w:rsidP="00E24E43">
            <w:pPr>
              <w:spacing w:line="276" w:lineRule="auto"/>
              <w:rPr>
                <w:rFonts w:ascii="Helvetica Neue" w:hAnsi="Helvetica Neue"/>
                <w:i/>
                <w:iCs/>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47140CF7" w14:textId="2627AA48"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E24E43" w:rsidRPr="004B7867" w14:paraId="200C7555"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7AC7A76F"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Negative </w:t>
            </w:r>
            <w:r>
              <w:rPr>
                <w:rFonts w:ascii="Helvetica Neue" w:hAnsi="Helvetica Neue"/>
                <w:b/>
                <w:bCs/>
                <w:color w:val="000000"/>
                <w:sz w:val="16"/>
                <w:szCs w:val="16"/>
              </w:rPr>
              <w:t>a</w:t>
            </w:r>
            <w:r w:rsidRPr="004B7867">
              <w:rPr>
                <w:rFonts w:ascii="Helvetica Neue" w:hAnsi="Helvetica Neue"/>
                <w:b/>
                <w:bCs/>
                <w:color w:val="000000"/>
                <w:sz w:val="16"/>
                <w:szCs w:val="16"/>
              </w:rPr>
              <w:t>ttitude</w:t>
            </w:r>
          </w:p>
        </w:tc>
        <w:tc>
          <w:tcPr>
            <w:tcW w:w="1418" w:type="dxa"/>
            <w:tcBorders>
              <w:top w:val="single" w:sz="8" w:space="0" w:color="auto"/>
              <w:left w:val="nil"/>
              <w:right w:val="nil"/>
            </w:tcBorders>
          </w:tcPr>
          <w:p w14:paraId="3A99BFC2" w14:textId="77777777" w:rsidR="00E24E43" w:rsidRDefault="00E24E43" w:rsidP="00E24E43">
            <w:pPr>
              <w:spacing w:line="276" w:lineRule="auto"/>
              <w:rPr>
                <w:rFonts w:ascii="Helvetica Neue" w:hAnsi="Helvetica Neue"/>
                <w:i/>
                <w:iCs/>
                <w:color w:val="000000"/>
                <w:sz w:val="15"/>
                <w:szCs w:val="15"/>
              </w:rPr>
            </w:pPr>
          </w:p>
          <w:p w14:paraId="3423C6EC" w14:textId="375E5ADB" w:rsidR="00E24E43" w:rsidRPr="00C77C40" w:rsidRDefault="00E24E43" w:rsidP="00E24E43">
            <w:pPr>
              <w:spacing w:line="276" w:lineRule="auto"/>
              <w:rPr>
                <w:rFonts w:ascii="Helvetica Neue" w:hAnsi="Helvetica Neue"/>
                <w:i/>
                <w:iCs/>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697D1E95" w14:textId="77777777" w:rsidR="00E24E43" w:rsidRDefault="00E24E43" w:rsidP="00E24E43">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p w14:paraId="586F3F5D" w14:textId="000B2EF2" w:rsidR="00E24E43" w:rsidRPr="00C77C40" w:rsidRDefault="00E24E43" w:rsidP="00E24E43">
            <w:pPr>
              <w:spacing w:line="276" w:lineRule="auto"/>
              <w:rPr>
                <w:rFonts w:ascii="Helvetica Neue" w:hAnsi="Helvetica Neue"/>
                <w:i/>
                <w:iCs/>
                <w:color w:val="000000"/>
                <w:sz w:val="15"/>
                <w:szCs w:val="15"/>
              </w:rPr>
            </w:pPr>
          </w:p>
        </w:tc>
      </w:tr>
      <w:tr w:rsidR="00E24E43" w:rsidRPr="004B7867" w14:paraId="12652B9C"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18FDFCBF"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1BA40134" w14:textId="77777777" w:rsidR="00E24E43" w:rsidRDefault="00E24E43" w:rsidP="00E24E43">
            <w:pPr>
              <w:spacing w:line="276" w:lineRule="auto"/>
              <w:rPr>
                <w:rFonts w:ascii="Helvetica Neue" w:hAnsi="Helvetica Neue"/>
                <w:i/>
                <w:iCs/>
                <w:color w:val="000000"/>
                <w:sz w:val="15"/>
                <w:szCs w:val="15"/>
              </w:rPr>
            </w:pPr>
          </w:p>
          <w:p w14:paraId="332A1736" w14:textId="3CEE4398" w:rsidR="00E24E43" w:rsidRPr="00C77C40"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665FAD0A" w14:textId="77777777" w:rsidR="00E24E43" w:rsidRDefault="00E24E43" w:rsidP="00E24E43">
            <w:pPr>
              <w:spacing w:line="276" w:lineRule="auto"/>
              <w:rPr>
                <w:rFonts w:ascii="Helvetica Neue" w:hAnsi="Helvetica Neue"/>
                <w:color w:val="000000"/>
                <w:sz w:val="15"/>
                <w:szCs w:val="15"/>
              </w:rPr>
            </w:pPr>
          </w:p>
          <w:p w14:paraId="62D5EE12" w14:textId="22C122C5" w:rsidR="00E24E43" w:rsidRPr="00C77C40" w:rsidRDefault="00E24E43" w:rsidP="00E24E43">
            <w:pPr>
              <w:spacing w:line="276" w:lineRule="auto"/>
              <w:rPr>
                <w:rFonts w:ascii="Helvetica Neue" w:hAnsi="Helvetica Neue"/>
                <w:color w:val="000000"/>
                <w:sz w:val="15"/>
                <w:szCs w:val="15"/>
              </w:rPr>
            </w:pPr>
            <w:r w:rsidRPr="00C77C40">
              <w:rPr>
                <w:rFonts w:ascii="Helvetica Neue" w:hAnsi="Helvetica Neue"/>
                <w:color w:val="000000"/>
                <w:sz w:val="15"/>
                <w:szCs w:val="15"/>
              </w:rPr>
              <w:t>Negative Attitude Scale</w:t>
            </w:r>
            <w:r w:rsidRPr="009E189A">
              <w:rPr>
                <w:rFonts w:ascii="Helvetica Neue" w:hAnsi="Helvetica Neue"/>
                <w:i/>
                <w:iCs/>
                <w:color w:val="000000"/>
                <w:sz w:val="15"/>
                <w:szCs w:val="15"/>
                <w:vertAlign w:val="superscript"/>
              </w:rPr>
              <w:t>3</w:t>
            </w:r>
          </w:p>
          <w:p w14:paraId="441B1BB4"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(average daily kcal</w:t>
            </w:r>
            <w:r>
              <w:rPr>
                <w:rFonts w:ascii="Helvetica Neue" w:hAnsi="Helvetica Neue"/>
                <w:i/>
                <w:iCs/>
                <w:color w:val="000000"/>
                <w:sz w:val="15"/>
                <w:szCs w:val="15"/>
              </w:rPr>
              <w:t>)</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0A0BCC64"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4E46C189"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Positive </w:t>
            </w:r>
            <w:r>
              <w:rPr>
                <w:rFonts w:ascii="Helvetica Neue" w:hAnsi="Helvetica Neue"/>
                <w:b/>
                <w:bCs/>
                <w:color w:val="000000"/>
                <w:sz w:val="16"/>
                <w:szCs w:val="16"/>
              </w:rPr>
              <w:t>a</w:t>
            </w:r>
            <w:r w:rsidRPr="004B7867">
              <w:rPr>
                <w:rFonts w:ascii="Helvetica Neue" w:hAnsi="Helvetica Neue"/>
                <w:b/>
                <w:bCs/>
                <w:color w:val="000000"/>
                <w:sz w:val="16"/>
                <w:szCs w:val="16"/>
              </w:rPr>
              <w:t>ttitude</w:t>
            </w:r>
          </w:p>
          <w:p w14:paraId="0B7B71A6" w14:textId="77777777" w:rsidR="00E24E43" w:rsidRPr="004B7867" w:rsidRDefault="00E24E43" w:rsidP="00E24E43">
            <w:pPr>
              <w:spacing w:line="276" w:lineRule="auto"/>
              <w:jc w:val="center"/>
              <w:rPr>
                <w:rFonts w:ascii="Helvetica Neue" w:hAnsi="Helvetica Neue"/>
                <w:b/>
                <w:bCs/>
                <w:color w:val="000000"/>
                <w:sz w:val="16"/>
                <w:szCs w:val="16"/>
              </w:rPr>
            </w:pPr>
          </w:p>
        </w:tc>
        <w:tc>
          <w:tcPr>
            <w:tcW w:w="1418" w:type="dxa"/>
            <w:tcBorders>
              <w:top w:val="single" w:sz="8" w:space="0" w:color="auto"/>
              <w:left w:val="nil"/>
              <w:right w:val="nil"/>
            </w:tcBorders>
          </w:tcPr>
          <w:p w14:paraId="1A68B7FA" w14:textId="77777777" w:rsidR="00E24E43" w:rsidRDefault="00E24E43" w:rsidP="00E24E43">
            <w:pPr>
              <w:spacing w:line="276" w:lineRule="auto"/>
              <w:rPr>
                <w:rFonts w:ascii="Helvetica Neue" w:hAnsi="Helvetica Neue"/>
                <w:i/>
                <w:iCs/>
                <w:color w:val="000000"/>
                <w:sz w:val="15"/>
                <w:szCs w:val="15"/>
              </w:rPr>
            </w:pPr>
          </w:p>
          <w:p w14:paraId="728778B4" w14:textId="3E66A239" w:rsidR="00E24E43" w:rsidRPr="00C77C40" w:rsidRDefault="00E24E43" w:rsidP="00E24E43">
            <w:pPr>
              <w:spacing w:line="276" w:lineRule="auto"/>
              <w:rPr>
                <w:rFonts w:ascii="Helvetica Neue" w:hAnsi="Helvetica Neue"/>
                <w:i/>
                <w:iCs/>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05BCFDC7" w14:textId="77777777" w:rsidR="00E24E43" w:rsidRDefault="00E24E43" w:rsidP="00E24E43">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p w14:paraId="19C3AEB8" w14:textId="3E606E9F" w:rsidR="00E24E43" w:rsidRPr="00C77C40" w:rsidRDefault="00E24E43" w:rsidP="00E24E43">
            <w:pPr>
              <w:spacing w:line="276" w:lineRule="auto"/>
              <w:rPr>
                <w:rFonts w:ascii="Helvetica Neue" w:hAnsi="Helvetica Neue"/>
                <w:i/>
                <w:iCs/>
                <w:color w:val="000000"/>
                <w:sz w:val="15"/>
                <w:szCs w:val="15"/>
              </w:rPr>
            </w:pPr>
          </w:p>
        </w:tc>
      </w:tr>
      <w:tr w:rsidR="00E24E43" w:rsidRPr="004B7867" w14:paraId="7D7CF6AA"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01ACCDE8"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1368B4B9" w14:textId="77777777" w:rsidR="00E24E43" w:rsidRDefault="00E24E43" w:rsidP="00E24E43">
            <w:pPr>
              <w:spacing w:line="276" w:lineRule="auto"/>
              <w:rPr>
                <w:rFonts w:ascii="Helvetica Neue" w:hAnsi="Helvetica Neue"/>
                <w:i/>
                <w:iCs/>
                <w:color w:val="000000"/>
                <w:sz w:val="15"/>
                <w:szCs w:val="15"/>
              </w:rPr>
            </w:pPr>
          </w:p>
          <w:p w14:paraId="5DB15BB1" w14:textId="2F6D692D" w:rsidR="00E24E43" w:rsidRPr="00C77C40"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2C14A792" w14:textId="77777777" w:rsidR="00E24E43" w:rsidRDefault="00E24E43" w:rsidP="00E24E43">
            <w:pPr>
              <w:spacing w:line="276" w:lineRule="auto"/>
              <w:rPr>
                <w:rFonts w:ascii="Helvetica Neue" w:hAnsi="Helvetica Neue"/>
                <w:color w:val="000000"/>
                <w:sz w:val="15"/>
                <w:szCs w:val="15"/>
              </w:rPr>
            </w:pPr>
          </w:p>
          <w:p w14:paraId="5D63EBE3" w14:textId="7F7E51CA" w:rsidR="00E24E43" w:rsidRPr="00C77C40" w:rsidRDefault="00E24E43" w:rsidP="00E24E43">
            <w:pPr>
              <w:spacing w:line="276" w:lineRule="auto"/>
              <w:rPr>
                <w:rFonts w:ascii="Helvetica Neue" w:hAnsi="Helvetica Neue"/>
                <w:color w:val="000000"/>
                <w:sz w:val="15"/>
                <w:szCs w:val="15"/>
                <w:vertAlign w:val="superscript"/>
              </w:rPr>
            </w:pPr>
            <w:r w:rsidRPr="00C77C40">
              <w:rPr>
                <w:rFonts w:ascii="Helvetica Neue" w:hAnsi="Helvetica Neue"/>
                <w:color w:val="000000"/>
                <w:sz w:val="15"/>
                <w:szCs w:val="15"/>
              </w:rPr>
              <w:t>Positive Attitude Scale</w:t>
            </w:r>
            <w:r w:rsidRPr="009E189A">
              <w:rPr>
                <w:rFonts w:ascii="Helvetica Neue" w:hAnsi="Helvetica Neue"/>
                <w:i/>
                <w:iCs/>
                <w:color w:val="000000"/>
                <w:sz w:val="15"/>
                <w:szCs w:val="15"/>
                <w:vertAlign w:val="superscript"/>
              </w:rPr>
              <w:t>4</w:t>
            </w:r>
          </w:p>
          <w:p w14:paraId="5D5D3C8E"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 xml:space="preserve">Energy expenditure, average daily kcal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440A0B50"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3E0FC049" w14:textId="77777777" w:rsidR="00E24E43" w:rsidRPr="004B7867" w:rsidRDefault="00E24E43" w:rsidP="00E24E43">
            <w:pPr>
              <w:spacing w:line="276" w:lineRule="auto"/>
              <w:jc w:val="center"/>
              <w:rPr>
                <w:rFonts w:ascii="Helvetica Neue" w:hAnsi="Helvetica Neue"/>
                <w:b/>
                <w:bCs/>
                <w:color w:val="000000"/>
                <w:sz w:val="16"/>
                <w:szCs w:val="16"/>
              </w:rPr>
            </w:pPr>
            <w:r>
              <w:rPr>
                <w:rFonts w:ascii="Helvetica Neue" w:hAnsi="Helvetica Neue"/>
                <w:b/>
                <w:bCs/>
                <w:color w:val="000000"/>
                <w:sz w:val="16"/>
                <w:szCs w:val="16"/>
              </w:rPr>
              <w:t>Six-minute Walking Test (6MWT)</w:t>
            </w:r>
          </w:p>
        </w:tc>
        <w:tc>
          <w:tcPr>
            <w:tcW w:w="1418" w:type="dxa"/>
            <w:tcBorders>
              <w:top w:val="single" w:sz="8" w:space="0" w:color="auto"/>
              <w:left w:val="nil"/>
              <w:right w:val="nil"/>
            </w:tcBorders>
          </w:tcPr>
          <w:p w14:paraId="3687EB5E" w14:textId="77777777" w:rsidR="00E24E43" w:rsidRDefault="00E24E43" w:rsidP="00E24E43">
            <w:pPr>
              <w:spacing w:line="276" w:lineRule="auto"/>
              <w:rPr>
                <w:rFonts w:ascii="Helvetica Neue" w:hAnsi="Helvetica Neue"/>
                <w:i/>
                <w:iCs/>
                <w:color w:val="000000"/>
                <w:sz w:val="15"/>
                <w:szCs w:val="15"/>
              </w:rPr>
            </w:pPr>
          </w:p>
          <w:p w14:paraId="374E9B65" w14:textId="175D54C2" w:rsidR="00E24E43" w:rsidRPr="00C77C40" w:rsidRDefault="00E24E43" w:rsidP="00E24E43">
            <w:pPr>
              <w:spacing w:line="276" w:lineRule="auto"/>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7D5072FA" w14:textId="78177774"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Meter/minute</w:t>
            </w:r>
          </w:p>
          <w:p w14:paraId="1257E572" w14:textId="77777777" w:rsidR="00E24E43" w:rsidRDefault="00E24E43" w:rsidP="00E24E43">
            <w:pPr>
              <w:spacing w:line="276" w:lineRule="auto"/>
              <w:ind w:left="175"/>
              <w:rPr>
                <w:rFonts w:ascii="Helvetica Neue" w:hAnsi="Helvetica Neue"/>
                <w:color w:val="00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sz w:val="15"/>
                <w:szCs w:val="15"/>
                <w:vertAlign w:val="superscript"/>
              </w:rPr>
              <w:fldChar w:fldCharType="separate"/>
            </w:r>
            <w:r w:rsidRPr="00345AA3">
              <w:rPr>
                <w:rFonts w:ascii="Helvetica Neue" w:hAnsi="Helvetica Neue"/>
                <w:noProof/>
                <w:color w:val="000000"/>
                <w:sz w:val="15"/>
                <w:szCs w:val="15"/>
              </w:rPr>
              <w:t>(Corvera-Tindel et al., 2004)</w:t>
            </w:r>
            <w:r w:rsidRPr="00D455C3">
              <w:rPr>
                <w:rFonts w:ascii="Helvetica Neue" w:hAnsi="Helvetica Neue"/>
                <w:color w:val="000000"/>
                <w:sz w:val="15"/>
                <w:szCs w:val="15"/>
                <w:vertAlign w:val="superscript"/>
              </w:rPr>
              <w:fldChar w:fldCharType="end"/>
            </w:r>
          </w:p>
          <w:p w14:paraId="510A0D5F" w14:textId="77777777" w:rsidR="00E24E43" w:rsidRPr="00C77C40" w:rsidRDefault="00E24E43" w:rsidP="00E24E43">
            <w:pPr>
              <w:spacing w:line="276" w:lineRule="auto"/>
              <w:ind w:left="175"/>
              <w:rPr>
                <w:rFonts w:ascii="Helvetica Neue" w:hAnsi="Helvetica Neue"/>
                <w:noProof/>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E24E43" w:rsidRPr="004B7867" w14:paraId="5AEA3438"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5060D53A"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7289679F" w14:textId="77777777" w:rsidR="00E24E43" w:rsidRDefault="00E24E43" w:rsidP="00E24E43">
            <w:pPr>
              <w:spacing w:line="276" w:lineRule="auto"/>
              <w:rPr>
                <w:rFonts w:ascii="Helvetica Neue" w:hAnsi="Helvetica Neue"/>
                <w:i/>
                <w:iCs/>
                <w:color w:val="000000"/>
                <w:sz w:val="15"/>
                <w:szCs w:val="15"/>
              </w:rPr>
            </w:pPr>
          </w:p>
          <w:p w14:paraId="363C2DAF" w14:textId="1C59341A" w:rsidR="00E24E43" w:rsidRPr="00C77C40"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2DE0F1C1" w14:textId="5DAC4E14"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Meter/minute</w:t>
            </w:r>
          </w:p>
          <w:p w14:paraId="29A7513B" w14:textId="77777777" w:rsidR="00E24E43" w:rsidRPr="004E2F98" w:rsidRDefault="00E24E43" w:rsidP="00E24E43">
            <w:pPr>
              <w:spacing w:line="276" w:lineRule="auto"/>
              <w:ind w:left="175"/>
              <w:rPr>
                <w:rFonts w:ascii="Helvetica Neue" w:hAnsi="Helvetica Neue"/>
                <w:i/>
                <w:iCs/>
                <w:color w:val="FF0000"/>
                <w:sz w:val="15"/>
                <w:szCs w:val="15"/>
                <w:vertAlign w:val="superscript"/>
              </w:rPr>
            </w:pPr>
            <w:r w:rsidRPr="00C77C40">
              <w:rPr>
                <w:rFonts w:ascii="Helvetica Neue" w:hAnsi="Helvetica Neue"/>
                <w:i/>
                <w:iCs/>
                <w:color w:val="000000"/>
                <w:sz w:val="15"/>
                <w:szCs w:val="15"/>
              </w:rPr>
              <w:t>Average daily accelerometer unit</w:t>
            </w:r>
            <w:r w:rsidRPr="00D13E3D">
              <w:rPr>
                <w:rFonts w:ascii="Helvetica Neue" w:hAnsi="Helvetica Neue"/>
                <w:i/>
                <w:iCs/>
                <w:sz w:val="15"/>
                <w:szCs w:val="15"/>
              </w:rPr>
              <w:t>s</w:t>
            </w:r>
            <w:r w:rsidRPr="00D455C3">
              <w:rPr>
                <w:rFonts w:ascii="Helvetica Neue" w:hAnsi="Helvetica Neue"/>
                <w:i/>
                <w:iCs/>
                <w:sz w:val="15"/>
                <w:szCs w:val="15"/>
                <w:vertAlign w:val="superscript"/>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(Witham et al., 2006)</w:t>
            </w:r>
            <w:r w:rsidRPr="00D455C3">
              <w:rPr>
                <w:rFonts w:ascii="Helvetica Neue" w:hAnsi="Helvetica Neue"/>
                <w:i/>
                <w:iCs/>
                <w:sz w:val="15"/>
                <w:szCs w:val="15"/>
                <w:vertAlign w:val="superscript"/>
              </w:rPr>
              <w:fldChar w:fldCharType="end"/>
            </w:r>
          </w:p>
          <w:p w14:paraId="12E40F4A" w14:textId="77777777" w:rsidR="00E24E43" w:rsidRPr="00C77C40" w:rsidRDefault="00E24E43" w:rsidP="00E24E43">
            <w:pPr>
              <w:spacing w:line="276" w:lineRule="auto"/>
              <w:ind w:left="175"/>
              <w:rPr>
                <w:rFonts w:ascii="Helvetica Neue" w:hAnsi="Helvetica Neue"/>
                <w:i/>
                <w:iCs/>
                <w:color w:val="FF0000"/>
                <w:sz w:val="15"/>
                <w:szCs w:val="15"/>
              </w:rPr>
            </w:pPr>
            <w:r w:rsidRPr="00C77C40">
              <w:rPr>
                <w:rFonts w:ascii="Helvetica Neue" w:hAnsi="Helvetica Neue"/>
                <w:i/>
                <w:iCs/>
                <w:color w:val="000000"/>
                <w:sz w:val="15"/>
                <w:szCs w:val="15"/>
              </w:rPr>
              <w:t>Energy expenditure (average daily kcal)</w:t>
            </w:r>
            <w:r w:rsidRPr="00C77C40">
              <w:rPr>
                <w:rFonts w:ascii="Helvetica Neue" w:hAnsi="Helvetica Neue"/>
                <w:i/>
                <w:iCs/>
                <w:color w:val="FF0000"/>
                <w:sz w:val="15"/>
                <w:szCs w:val="15"/>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(Pozehl, Mcguire, et al., 2018)</w:t>
            </w:r>
            <w:r w:rsidRPr="00D455C3">
              <w:rPr>
                <w:rFonts w:ascii="Helvetica Neue" w:hAnsi="Helvetica Neue"/>
                <w:i/>
                <w:iCs/>
                <w:sz w:val="15"/>
                <w:szCs w:val="15"/>
                <w:vertAlign w:val="superscript"/>
              </w:rPr>
              <w:fldChar w:fldCharType="end"/>
            </w:r>
          </w:p>
          <w:p w14:paraId="522B4EF7"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Steps per day total</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tru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Werhahn et al. (2019)</w:t>
            </w:r>
            <w:r w:rsidRPr="00D455C3">
              <w:rPr>
                <w:rFonts w:ascii="Helvetica Neue" w:hAnsi="Helvetica Neue"/>
                <w:i/>
                <w:iCs/>
                <w:color w:val="000000"/>
                <w:sz w:val="15"/>
                <w:szCs w:val="15"/>
                <w:vertAlign w:val="superscript"/>
              </w:rPr>
              <w:fldChar w:fldCharType="end"/>
            </w:r>
          </w:p>
        </w:tc>
      </w:tr>
      <w:tr w:rsidR="00E24E43" w:rsidRPr="004B7867" w14:paraId="64F8F7EA" w14:textId="77777777" w:rsidTr="00E24E43">
        <w:trPr>
          <w:trHeight w:val="920"/>
        </w:trPr>
        <w:tc>
          <w:tcPr>
            <w:tcW w:w="3109" w:type="dxa"/>
            <w:vMerge w:val="restart"/>
            <w:tcBorders>
              <w:top w:val="single" w:sz="8" w:space="0" w:color="auto"/>
              <w:left w:val="single" w:sz="8" w:space="0" w:color="auto"/>
            </w:tcBorders>
            <w:shd w:val="clear" w:color="auto" w:fill="auto"/>
            <w:noWrap/>
            <w:vAlign w:val="center"/>
            <w:hideMark/>
          </w:tcPr>
          <w:p w14:paraId="65E21F09" w14:textId="77777777" w:rsidR="00E24E43" w:rsidRPr="004B7867" w:rsidRDefault="00E24E43" w:rsidP="00E24E43">
            <w:pPr>
              <w:spacing w:line="276" w:lineRule="auto"/>
              <w:jc w:val="center"/>
              <w:rPr>
                <w:rFonts w:ascii="Helvetica Neue" w:hAnsi="Helvetica Neue"/>
                <w:b/>
                <w:bCs/>
                <w:color w:val="000000"/>
                <w:sz w:val="16"/>
                <w:szCs w:val="16"/>
              </w:rPr>
            </w:pPr>
            <w:r>
              <w:rPr>
                <w:rFonts w:ascii="Helvetica Neue" w:hAnsi="Helvetica Neue"/>
                <w:b/>
                <w:bCs/>
                <w:color w:val="000000"/>
                <w:sz w:val="16"/>
                <w:szCs w:val="16"/>
              </w:rPr>
              <w:lastRenderedPageBreak/>
              <w:t>Physical f</w:t>
            </w:r>
            <w:r w:rsidRPr="004B7867">
              <w:rPr>
                <w:rFonts w:ascii="Helvetica Neue" w:hAnsi="Helvetica Neue"/>
                <w:b/>
                <w:bCs/>
                <w:color w:val="000000"/>
                <w:sz w:val="16"/>
                <w:szCs w:val="16"/>
              </w:rPr>
              <w:t>unctioning</w:t>
            </w:r>
            <w:r>
              <w:rPr>
                <w:rFonts w:ascii="Helvetica Neue" w:hAnsi="Helvetica Neue"/>
                <w:b/>
                <w:bCs/>
                <w:color w:val="000000"/>
                <w:sz w:val="16"/>
                <w:szCs w:val="16"/>
              </w:rPr>
              <w:t xml:space="preserve"> (self-report)</w:t>
            </w:r>
          </w:p>
        </w:tc>
        <w:tc>
          <w:tcPr>
            <w:tcW w:w="1418" w:type="dxa"/>
            <w:tcBorders>
              <w:top w:val="single" w:sz="8" w:space="0" w:color="auto"/>
              <w:left w:val="nil"/>
              <w:right w:val="nil"/>
            </w:tcBorders>
          </w:tcPr>
          <w:p w14:paraId="34706CFA" w14:textId="77777777" w:rsidR="00E24E43" w:rsidRDefault="00E24E43" w:rsidP="00E24E43">
            <w:pPr>
              <w:spacing w:line="276" w:lineRule="auto"/>
              <w:rPr>
                <w:rFonts w:ascii="Helvetica Neue" w:hAnsi="Helvetica Neue"/>
                <w:i/>
                <w:iCs/>
                <w:color w:val="000000"/>
                <w:sz w:val="15"/>
                <w:szCs w:val="15"/>
              </w:rPr>
            </w:pPr>
          </w:p>
          <w:p w14:paraId="56C79C26" w14:textId="58118DDB" w:rsidR="00E24E43" w:rsidRPr="00C77C40" w:rsidRDefault="00E24E43" w:rsidP="00E24E43">
            <w:pPr>
              <w:spacing w:line="276" w:lineRule="auto"/>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2ECD7C2E" w14:textId="3DB152F0"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 xml:space="preserve">Scale score </w:t>
            </w:r>
            <w:r>
              <w:rPr>
                <w:rFonts w:ascii="Helvetica Neue" w:hAnsi="Helvetica Neue"/>
                <w:color w:val="000000"/>
                <w:sz w:val="15"/>
                <w:szCs w:val="15"/>
              </w:rPr>
              <w:t>(MOS SF-36)</w:t>
            </w:r>
            <w:r w:rsidRPr="009E189A">
              <w:rPr>
                <w:rFonts w:ascii="Helvetica Neue" w:hAnsi="Helvetica Neue"/>
                <w:color w:val="000000"/>
                <w:sz w:val="15"/>
                <w:szCs w:val="15"/>
                <w:vertAlign w:val="superscript"/>
              </w:rPr>
              <w:t>5</w:t>
            </w:r>
          </w:p>
          <w:p w14:paraId="1C21B75F" w14:textId="77777777" w:rsidR="00E24E43" w:rsidRPr="00FA53D3" w:rsidRDefault="00E24E43" w:rsidP="00E24E43">
            <w:pPr>
              <w:spacing w:line="276" w:lineRule="auto"/>
              <w:ind w:left="175"/>
              <w:rPr>
                <w:rFonts w:ascii="Helvetica Neue" w:hAnsi="Helvetica Neue"/>
                <w:color w:val="FF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(L. S. Evangelista et al., 2001)</w:t>
            </w:r>
            <w:r w:rsidRPr="00D455C3">
              <w:rPr>
                <w:rFonts w:ascii="Helvetica Neue" w:hAnsi="Helvetica Neue"/>
                <w:color w:val="000000" w:themeColor="text1"/>
                <w:sz w:val="15"/>
                <w:szCs w:val="15"/>
                <w:vertAlign w:val="superscript"/>
              </w:rPr>
              <w:fldChar w:fldCharType="end"/>
            </w:r>
          </w:p>
          <w:p w14:paraId="54847600" w14:textId="77777777" w:rsidR="00E24E43" w:rsidRDefault="00E24E43" w:rsidP="00E24E43">
            <w:pPr>
              <w:spacing w:line="276" w:lineRule="auto"/>
              <w:rPr>
                <w:rFonts w:ascii="Helvetica Neue" w:hAnsi="Helvetica Neue"/>
                <w:color w:val="000000"/>
                <w:sz w:val="15"/>
                <w:szCs w:val="15"/>
              </w:rPr>
            </w:pPr>
            <w:r w:rsidRPr="00C77C40">
              <w:rPr>
                <w:rFonts w:ascii="Helvetica Neue" w:hAnsi="Helvetica Neue"/>
                <w:color w:val="000000"/>
                <w:sz w:val="15"/>
                <w:szCs w:val="15"/>
              </w:rPr>
              <w:t xml:space="preserve">Scale score </w:t>
            </w:r>
            <w:r>
              <w:rPr>
                <w:rFonts w:ascii="Helvetica Neue" w:hAnsi="Helvetica Neue"/>
                <w:color w:val="000000"/>
                <w:sz w:val="15"/>
                <w:szCs w:val="15"/>
              </w:rPr>
              <w:t>(</w:t>
            </w:r>
            <w:r w:rsidRPr="00FA53D3">
              <w:rPr>
                <w:rFonts w:ascii="Helvetica Neue" w:hAnsi="Helvetica Neue"/>
                <w:color w:val="000000"/>
                <w:sz w:val="15"/>
                <w:szCs w:val="15"/>
              </w:rPr>
              <w:t>KCCQ</w:t>
            </w:r>
            <w:r>
              <w:rPr>
                <w:rFonts w:ascii="Helvetica Neue" w:hAnsi="Helvetica Neue"/>
                <w:color w:val="000000"/>
                <w:sz w:val="15"/>
                <w:szCs w:val="15"/>
              </w:rPr>
              <w:t>)</w:t>
            </w:r>
            <w:r>
              <w:rPr>
                <w:rFonts w:ascii="Helvetica Neue" w:hAnsi="Helvetica Neue"/>
                <w:color w:val="000000"/>
                <w:sz w:val="15"/>
                <w:szCs w:val="15"/>
                <w:vertAlign w:val="superscript"/>
              </w:rPr>
              <w:t>6</w:t>
            </w:r>
          </w:p>
          <w:p w14:paraId="78AFCA91" w14:textId="77777777" w:rsidR="00E24E43" w:rsidRPr="00C77C40" w:rsidRDefault="00E24E43" w:rsidP="00E24E43">
            <w:pPr>
              <w:spacing w:line="276" w:lineRule="auto"/>
              <w:ind w:left="175"/>
              <w:rPr>
                <w:rFonts w:ascii="Helvetica Neue" w:hAnsi="Helvetica Neue"/>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E24E43" w:rsidRPr="004B7867" w14:paraId="688F8651"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3E4BA852"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347BFF00" w14:textId="77777777" w:rsidR="00E24E43" w:rsidRDefault="00E24E43" w:rsidP="00E24E43">
            <w:pPr>
              <w:spacing w:line="276" w:lineRule="auto"/>
              <w:rPr>
                <w:rFonts w:ascii="Helvetica Neue" w:hAnsi="Helvetica Neue"/>
                <w:i/>
                <w:iCs/>
                <w:color w:val="000000"/>
                <w:sz w:val="15"/>
                <w:szCs w:val="15"/>
              </w:rPr>
            </w:pPr>
          </w:p>
          <w:p w14:paraId="195AA4BC" w14:textId="13F260D2" w:rsidR="00E24E43" w:rsidRPr="00C77C40"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7785233C" w14:textId="42BE4B46" w:rsidR="00E24E43" w:rsidRPr="00E75441" w:rsidRDefault="00E24E43" w:rsidP="00E24E43">
            <w:pPr>
              <w:spacing w:line="276" w:lineRule="auto"/>
              <w:rPr>
                <w:rFonts w:ascii="Helvetica Neue" w:hAnsi="Helvetica Neue"/>
                <w:color w:val="000000"/>
                <w:sz w:val="15"/>
                <w:szCs w:val="15"/>
              </w:rPr>
            </w:pPr>
            <w:r w:rsidRPr="00C77C40">
              <w:rPr>
                <w:rFonts w:ascii="Helvetica Neue" w:hAnsi="Helvetica Neue"/>
                <w:color w:val="000000"/>
                <w:sz w:val="15"/>
                <w:szCs w:val="15"/>
              </w:rPr>
              <w:t xml:space="preserve">Scale score </w:t>
            </w:r>
            <w:r>
              <w:rPr>
                <w:rFonts w:ascii="Helvetica Neue" w:hAnsi="Helvetica Neue"/>
                <w:color w:val="000000"/>
                <w:sz w:val="15"/>
                <w:szCs w:val="15"/>
              </w:rPr>
              <w:t>(</w:t>
            </w:r>
            <w:r w:rsidRPr="00FA53D3">
              <w:rPr>
                <w:rFonts w:ascii="Helvetica Neue" w:hAnsi="Helvetica Neue"/>
                <w:color w:val="000000"/>
                <w:sz w:val="15"/>
                <w:szCs w:val="15"/>
              </w:rPr>
              <w:t>KCCQ</w:t>
            </w:r>
            <w:r>
              <w:rPr>
                <w:rFonts w:ascii="Helvetica Neue" w:hAnsi="Helvetica Neue"/>
                <w:color w:val="000000"/>
                <w:sz w:val="15"/>
                <w:szCs w:val="15"/>
              </w:rPr>
              <w:t>)</w:t>
            </w:r>
            <w:r>
              <w:rPr>
                <w:rFonts w:ascii="Helvetica Neue" w:hAnsi="Helvetica Neue"/>
                <w:color w:val="000000"/>
                <w:sz w:val="15"/>
                <w:szCs w:val="15"/>
                <w:vertAlign w:val="superscript"/>
              </w:rPr>
              <w:t>6</w:t>
            </w:r>
          </w:p>
          <w:p w14:paraId="49A59FA5" w14:textId="77777777" w:rsidR="00E24E43" w:rsidRPr="00DE0C23" w:rsidRDefault="00E24E43" w:rsidP="00E24E43">
            <w:pPr>
              <w:spacing w:line="276" w:lineRule="auto"/>
              <w:ind w:left="175"/>
              <w:rPr>
                <w:rFonts w:ascii="Helvetica Neue" w:hAnsi="Helvetica Neue"/>
                <w:i/>
                <w:iCs/>
                <w:color w:val="000000" w:themeColor="text1"/>
                <w:sz w:val="15"/>
                <w:szCs w:val="15"/>
              </w:rPr>
            </w:pPr>
            <w:r w:rsidRPr="00DE0C23">
              <w:rPr>
                <w:rFonts w:ascii="Helvetica Neue" w:hAnsi="Helvetica Neue"/>
                <w:i/>
                <w:iCs/>
                <w:color w:val="000000" w:themeColor="text1"/>
                <w:sz w:val="15"/>
                <w:szCs w:val="15"/>
              </w:rPr>
              <w:t xml:space="preserve">Energy expenditure and steps per day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(Pozehl, Mcguire, et al., 2018; Werhahn et al., 2019)</w:t>
            </w:r>
            <w:r w:rsidRPr="00D455C3">
              <w:rPr>
                <w:rFonts w:ascii="Helvetica Neue" w:hAnsi="Helvetica Neue"/>
                <w:i/>
                <w:iCs/>
                <w:color w:val="000000" w:themeColor="text1"/>
                <w:sz w:val="15"/>
                <w:szCs w:val="15"/>
                <w:vertAlign w:val="superscript"/>
              </w:rPr>
              <w:fldChar w:fldCharType="end"/>
            </w:r>
          </w:p>
        </w:tc>
      </w:tr>
      <w:tr w:rsidR="00E24E43" w:rsidRPr="004B7867" w14:paraId="7FCCE7E0"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6520BF6B" w14:textId="77777777" w:rsidR="00E24E43" w:rsidRPr="005D1E89" w:rsidRDefault="00E24E43" w:rsidP="00E24E43">
            <w:pPr>
              <w:spacing w:line="276" w:lineRule="auto"/>
              <w:jc w:val="center"/>
              <w:rPr>
                <w:rFonts w:ascii="Helvetica Neue" w:hAnsi="Helvetica Neue"/>
                <w:b/>
                <w:bCs/>
                <w:color w:val="000000"/>
                <w:sz w:val="16"/>
                <w:szCs w:val="16"/>
              </w:rPr>
            </w:pPr>
            <w:r w:rsidRPr="005D1E89">
              <w:rPr>
                <w:rFonts w:ascii="Helvetica Neue" w:hAnsi="Helvetica Neue"/>
                <w:b/>
                <w:bCs/>
                <w:color w:val="000000"/>
                <w:sz w:val="16"/>
                <w:szCs w:val="16"/>
              </w:rPr>
              <w:t>Symptoms</w:t>
            </w:r>
          </w:p>
        </w:tc>
        <w:tc>
          <w:tcPr>
            <w:tcW w:w="1418" w:type="dxa"/>
            <w:tcBorders>
              <w:top w:val="single" w:sz="8" w:space="0" w:color="auto"/>
              <w:left w:val="nil"/>
              <w:right w:val="nil"/>
            </w:tcBorders>
          </w:tcPr>
          <w:p w14:paraId="1443AD0B" w14:textId="77777777" w:rsidR="00E24E43" w:rsidRDefault="00E24E43" w:rsidP="00E24E43">
            <w:pPr>
              <w:spacing w:line="276" w:lineRule="auto"/>
              <w:rPr>
                <w:rFonts w:ascii="Helvetica Neue" w:hAnsi="Helvetica Neue"/>
                <w:i/>
                <w:iCs/>
                <w:color w:val="000000"/>
                <w:sz w:val="15"/>
                <w:szCs w:val="15"/>
              </w:rPr>
            </w:pPr>
          </w:p>
          <w:p w14:paraId="38764EF3" w14:textId="03522F7B" w:rsidR="00E24E43" w:rsidRPr="005D1E89" w:rsidRDefault="00E24E43" w:rsidP="00E24E43">
            <w:pPr>
              <w:spacing w:line="276" w:lineRule="auto"/>
              <w:rPr>
                <w:rFonts w:ascii="Helvetica Neue" w:hAnsi="Helvetica Neue"/>
                <w:i/>
                <w:iCs/>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345C5E96" w14:textId="456E6DC7" w:rsidR="00E24E43" w:rsidRPr="005D1E89" w:rsidRDefault="00E24E43" w:rsidP="00E24E43">
            <w:pPr>
              <w:spacing w:line="276" w:lineRule="auto"/>
              <w:rPr>
                <w:rFonts w:ascii="Helvetica Neue" w:hAnsi="Helvetica Neue"/>
                <w:i/>
                <w:iCs/>
                <w:color w:val="000000"/>
                <w:sz w:val="15"/>
                <w:szCs w:val="15"/>
              </w:rPr>
            </w:pPr>
            <w:r w:rsidRPr="005D1E89">
              <w:rPr>
                <w:rFonts w:ascii="Helvetica Neue" w:hAnsi="Helvetica Neue"/>
                <w:i/>
                <w:iCs/>
                <w:color w:val="000000"/>
                <w:sz w:val="15"/>
                <w:szCs w:val="15"/>
              </w:rPr>
              <w:t>--</w:t>
            </w:r>
          </w:p>
        </w:tc>
      </w:tr>
      <w:tr w:rsidR="00E24E43" w:rsidRPr="004B7867" w14:paraId="51E344D5"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72E87EBF" w14:textId="77777777" w:rsidR="00E24E43" w:rsidRPr="005D1E89"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02F422CE" w14:textId="77777777" w:rsidR="00E24E43" w:rsidRDefault="00E24E43" w:rsidP="00E24E43">
            <w:pPr>
              <w:spacing w:line="276" w:lineRule="auto"/>
              <w:rPr>
                <w:rFonts w:ascii="Helvetica Neue" w:hAnsi="Helvetica Neue"/>
                <w:i/>
                <w:iCs/>
                <w:color w:val="000000"/>
                <w:sz w:val="15"/>
                <w:szCs w:val="15"/>
              </w:rPr>
            </w:pPr>
          </w:p>
          <w:p w14:paraId="28211E3F" w14:textId="6AE7F740" w:rsidR="00E24E43" w:rsidRPr="005D1E89"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5C5367B0" w14:textId="2DBF8A15" w:rsidR="00E24E43" w:rsidRPr="005D1E89" w:rsidRDefault="00E24E43" w:rsidP="00E24E43">
            <w:pPr>
              <w:spacing w:line="276" w:lineRule="auto"/>
              <w:rPr>
                <w:rFonts w:ascii="Helvetica Neue" w:hAnsi="Helvetica Neue"/>
                <w:color w:val="000000"/>
                <w:sz w:val="15"/>
                <w:szCs w:val="15"/>
              </w:rPr>
            </w:pPr>
            <w:r w:rsidRPr="005D1E89">
              <w:rPr>
                <w:rFonts w:ascii="Helvetica Neue" w:hAnsi="Helvetica Neue"/>
                <w:color w:val="000000"/>
                <w:sz w:val="15"/>
                <w:szCs w:val="15"/>
              </w:rPr>
              <w:t>KCCQ6, total symptom score</w:t>
            </w:r>
            <w:r>
              <w:rPr>
                <w:rFonts w:ascii="Helvetica Neue" w:hAnsi="Helvetica Neue"/>
                <w:color w:val="000000"/>
                <w:sz w:val="15"/>
                <w:szCs w:val="15"/>
              </w:rPr>
              <w:t xml:space="preserve"> (symptom subscale)</w:t>
            </w:r>
          </w:p>
          <w:p w14:paraId="06BD9FFC" w14:textId="77777777" w:rsidR="00E24E43" w:rsidRPr="005D1E89" w:rsidRDefault="00E24E43" w:rsidP="00E24E43">
            <w:pPr>
              <w:spacing w:line="276" w:lineRule="auto"/>
              <w:ind w:firstLine="175"/>
              <w:rPr>
                <w:rFonts w:ascii="Helvetica Neue" w:hAnsi="Helvetica Neue"/>
                <w:i/>
                <w:iCs/>
                <w:color w:val="000000"/>
                <w:sz w:val="15"/>
                <w:szCs w:val="15"/>
              </w:rPr>
            </w:pPr>
            <w:r w:rsidRPr="005D1E89">
              <w:rPr>
                <w:rFonts w:ascii="Helvetica Neue" w:hAnsi="Helvetica Neue"/>
                <w:i/>
                <w:iCs/>
                <w:color w:val="000000"/>
                <w:sz w:val="15"/>
                <w:szCs w:val="15"/>
              </w:rPr>
              <w:t>Energy expenditure</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463E4F9D"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16D47C5E"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L</w:t>
            </w:r>
            <w:r>
              <w:rPr>
                <w:rFonts w:ascii="Helvetica Neue" w:hAnsi="Helvetica Neue"/>
                <w:b/>
                <w:bCs/>
                <w:color w:val="000000"/>
                <w:sz w:val="16"/>
                <w:szCs w:val="16"/>
              </w:rPr>
              <w:t xml:space="preserve">eft Ventricular </w:t>
            </w:r>
            <w:r w:rsidRPr="004B7867">
              <w:rPr>
                <w:rFonts w:ascii="Helvetica Neue" w:hAnsi="Helvetica Neue"/>
                <w:b/>
                <w:bCs/>
                <w:color w:val="000000"/>
                <w:sz w:val="16"/>
                <w:szCs w:val="16"/>
              </w:rPr>
              <w:t>E</w:t>
            </w:r>
            <w:r>
              <w:rPr>
                <w:rFonts w:ascii="Helvetica Neue" w:hAnsi="Helvetica Neue"/>
                <w:b/>
                <w:bCs/>
                <w:color w:val="000000"/>
                <w:sz w:val="16"/>
                <w:szCs w:val="16"/>
              </w:rPr>
              <w:t xml:space="preserve">jection </w:t>
            </w:r>
            <w:r w:rsidRPr="004B7867">
              <w:rPr>
                <w:rFonts w:ascii="Helvetica Neue" w:hAnsi="Helvetica Neue"/>
                <w:b/>
                <w:bCs/>
                <w:color w:val="000000"/>
                <w:sz w:val="16"/>
                <w:szCs w:val="16"/>
              </w:rPr>
              <w:t>F</w:t>
            </w:r>
            <w:r>
              <w:rPr>
                <w:rFonts w:ascii="Helvetica Neue" w:hAnsi="Helvetica Neue"/>
                <w:b/>
                <w:bCs/>
                <w:color w:val="000000"/>
                <w:sz w:val="16"/>
                <w:szCs w:val="16"/>
              </w:rPr>
              <w:t>raction (LVEF), %</w:t>
            </w:r>
          </w:p>
        </w:tc>
        <w:tc>
          <w:tcPr>
            <w:tcW w:w="1418" w:type="dxa"/>
            <w:tcBorders>
              <w:top w:val="single" w:sz="8" w:space="0" w:color="auto"/>
              <w:left w:val="nil"/>
              <w:right w:val="nil"/>
            </w:tcBorders>
          </w:tcPr>
          <w:p w14:paraId="6D74DD64" w14:textId="77777777" w:rsidR="00E24E43" w:rsidRDefault="00E24E43" w:rsidP="00E24E43">
            <w:pPr>
              <w:spacing w:line="276" w:lineRule="auto"/>
              <w:rPr>
                <w:rFonts w:ascii="Helvetica Neue" w:hAnsi="Helvetica Neue"/>
                <w:i/>
                <w:iCs/>
                <w:color w:val="000000"/>
                <w:sz w:val="15"/>
                <w:szCs w:val="15"/>
              </w:rPr>
            </w:pPr>
          </w:p>
          <w:p w14:paraId="1841A2CC" w14:textId="375E39B1" w:rsidR="00E24E43" w:rsidRPr="00C77C40" w:rsidRDefault="00E24E43" w:rsidP="00E24E43">
            <w:pPr>
              <w:spacing w:line="276" w:lineRule="auto"/>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70B3E595" w14:textId="19922FD4"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Percentage, %</w:t>
            </w:r>
          </w:p>
          <w:p w14:paraId="407B7140" w14:textId="77777777" w:rsidR="00E24E43" w:rsidRPr="00C77C40" w:rsidRDefault="00E24E43" w:rsidP="00E24E43">
            <w:pPr>
              <w:spacing w:line="276" w:lineRule="auto"/>
              <w:ind w:left="317" w:hanging="317"/>
              <w:rPr>
                <w:rFonts w:ascii="Helvetica Neue" w:hAnsi="Helvetica Neue"/>
                <w:i/>
                <w:iCs/>
                <w:color w:val="000000" w:themeColor="text1"/>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(Corvera-Tindel et al., 2004)</w:t>
            </w:r>
            <w:r w:rsidRPr="00D455C3">
              <w:rPr>
                <w:rFonts w:ascii="Helvetica Neue" w:hAnsi="Helvetica Neue"/>
                <w:i/>
                <w:iCs/>
                <w:color w:val="000000" w:themeColor="text1"/>
                <w:sz w:val="15"/>
                <w:szCs w:val="15"/>
                <w:vertAlign w:val="superscript"/>
              </w:rPr>
              <w:fldChar w:fldCharType="end"/>
            </w:r>
          </w:p>
        </w:tc>
      </w:tr>
      <w:tr w:rsidR="00E24E43" w:rsidRPr="004B7867" w14:paraId="2DDFCF5F"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5F811B71"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34D81896" w14:textId="77777777" w:rsidR="00E24E43" w:rsidRDefault="00E24E43" w:rsidP="00E24E43">
            <w:pPr>
              <w:spacing w:line="276" w:lineRule="auto"/>
              <w:rPr>
                <w:rFonts w:ascii="Helvetica Neue" w:hAnsi="Helvetica Neue"/>
                <w:i/>
                <w:iCs/>
                <w:color w:val="000000"/>
                <w:sz w:val="15"/>
                <w:szCs w:val="15"/>
              </w:rPr>
            </w:pPr>
          </w:p>
          <w:p w14:paraId="45D3BCCD" w14:textId="613411CD" w:rsidR="00E24E43" w:rsidRPr="00C77C40" w:rsidRDefault="00E24E43" w:rsidP="00E24E43">
            <w:pPr>
              <w:spacing w:line="276" w:lineRule="auto"/>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77069CFB" w14:textId="290F2A3A"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Percentage, %</w:t>
            </w:r>
          </w:p>
          <w:p w14:paraId="53C14EB4" w14:textId="77777777" w:rsidR="00E24E43" w:rsidRPr="004E2F98" w:rsidRDefault="00E24E43" w:rsidP="00E24E43">
            <w:pPr>
              <w:spacing w:line="276" w:lineRule="auto"/>
              <w:ind w:firstLine="175"/>
              <w:rPr>
                <w:rFonts w:ascii="Helvetica Neue" w:hAnsi="Helvetica Neue"/>
                <w:i/>
                <w:iCs/>
                <w:color w:val="000000"/>
                <w:sz w:val="15"/>
                <w:szCs w:val="15"/>
                <w:vertAlign w:val="superscript"/>
              </w:rPr>
            </w:pPr>
            <w:r w:rsidRPr="00C77C40">
              <w:rPr>
                <w:rFonts w:ascii="Helvetica Neue" w:hAnsi="Helvetica Neue"/>
                <w:i/>
                <w:iCs/>
                <w:color w:val="000000"/>
                <w:sz w:val="15"/>
                <w:szCs w:val="15"/>
              </w:rPr>
              <w:t>Energy expenditure</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(Chien et al., 2014; Lee et al., 2016; Pozehl, Mcguire, et al., 2018)</w:t>
            </w:r>
            <w:r w:rsidRPr="00D455C3">
              <w:rPr>
                <w:rFonts w:ascii="Helvetica Neue" w:hAnsi="Helvetica Neue"/>
                <w:i/>
                <w:iCs/>
                <w:color w:val="000000"/>
                <w:sz w:val="15"/>
                <w:szCs w:val="15"/>
                <w:vertAlign w:val="superscript"/>
              </w:rPr>
              <w:fldChar w:fldCharType="end"/>
            </w:r>
          </w:p>
          <w:p w14:paraId="39F5439B" w14:textId="77777777" w:rsidR="00E24E43" w:rsidRPr="00C77C40" w:rsidRDefault="00E24E43" w:rsidP="00E24E43">
            <w:pPr>
              <w:spacing w:line="276" w:lineRule="auto"/>
              <w:ind w:firstLine="175"/>
              <w:rPr>
                <w:rFonts w:ascii="Helvetica Neue" w:hAnsi="Helvetica Neue"/>
                <w:i/>
                <w:iCs/>
                <w:color w:val="000000" w:themeColor="text1"/>
                <w:sz w:val="15"/>
                <w:szCs w:val="15"/>
              </w:rPr>
            </w:pPr>
            <w:r w:rsidRPr="00C77C40">
              <w:rPr>
                <w:rFonts w:ascii="Helvetica Neue" w:hAnsi="Helvetica Neue"/>
                <w:i/>
                <w:iCs/>
                <w:color w:val="000000"/>
                <w:sz w:val="15"/>
                <w:szCs w:val="15"/>
              </w:rPr>
              <w:t>Steps per day</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(Dontje et al., 2014; Werhahn et al., 2019)</w:t>
            </w:r>
            <w:r w:rsidRPr="00D455C3">
              <w:rPr>
                <w:rFonts w:ascii="Helvetica Neue" w:hAnsi="Helvetica Neue"/>
                <w:i/>
                <w:iCs/>
                <w:color w:val="000000"/>
                <w:sz w:val="15"/>
                <w:szCs w:val="15"/>
                <w:vertAlign w:val="superscript"/>
              </w:rPr>
              <w:fldChar w:fldCharType="end"/>
            </w:r>
          </w:p>
        </w:tc>
      </w:tr>
      <w:tr w:rsidR="00E24E43" w:rsidRPr="004B7867" w14:paraId="5DA6421F"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7E233890"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Self-</w:t>
            </w:r>
            <w:r>
              <w:rPr>
                <w:rFonts w:ascii="Helvetica Neue" w:hAnsi="Helvetica Neue"/>
                <w:b/>
                <w:bCs/>
                <w:color w:val="000000"/>
                <w:sz w:val="16"/>
                <w:szCs w:val="16"/>
              </w:rPr>
              <w:t>e</w:t>
            </w:r>
            <w:r w:rsidRPr="004B7867">
              <w:rPr>
                <w:rFonts w:ascii="Helvetica Neue" w:hAnsi="Helvetica Neue"/>
                <w:b/>
                <w:bCs/>
                <w:color w:val="000000"/>
                <w:sz w:val="16"/>
                <w:szCs w:val="16"/>
              </w:rPr>
              <w:t>fficacy</w:t>
            </w:r>
          </w:p>
        </w:tc>
        <w:tc>
          <w:tcPr>
            <w:tcW w:w="1418" w:type="dxa"/>
            <w:tcBorders>
              <w:top w:val="single" w:sz="8" w:space="0" w:color="auto"/>
              <w:left w:val="nil"/>
              <w:right w:val="nil"/>
            </w:tcBorders>
          </w:tcPr>
          <w:p w14:paraId="2F88DFDE" w14:textId="77777777" w:rsidR="00E24E43" w:rsidRDefault="00E24E43" w:rsidP="00E24E43">
            <w:pPr>
              <w:spacing w:line="276" w:lineRule="auto"/>
              <w:rPr>
                <w:rFonts w:ascii="Helvetica Neue" w:hAnsi="Helvetica Neue"/>
                <w:i/>
                <w:iCs/>
                <w:color w:val="000000"/>
                <w:sz w:val="15"/>
                <w:szCs w:val="15"/>
              </w:rPr>
            </w:pPr>
          </w:p>
          <w:p w14:paraId="591C8652" w14:textId="310117E6" w:rsidR="00E24E43" w:rsidRPr="00C77C40" w:rsidRDefault="00E24E43" w:rsidP="00E24E43">
            <w:pPr>
              <w:spacing w:line="276" w:lineRule="auto"/>
              <w:rPr>
                <w:rFonts w:ascii="Helvetica Neue" w:hAnsi="Helvetica Neue"/>
                <w:i/>
                <w:iCs/>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283DF057" w14:textId="66FED41F"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E24E43" w:rsidRPr="004B7867" w14:paraId="34D82BC2"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4E439460" w14:textId="77777777" w:rsidR="00E24E43" w:rsidRPr="002A358F" w:rsidRDefault="00E24E43" w:rsidP="00E24E43">
            <w:pPr>
              <w:spacing w:line="276" w:lineRule="auto"/>
              <w:jc w:val="center"/>
              <w:rPr>
                <w:rFonts w:ascii="Helvetica Neue" w:hAnsi="Helvetica Neue"/>
                <w:color w:val="000000"/>
                <w:sz w:val="15"/>
                <w:szCs w:val="15"/>
              </w:rPr>
            </w:pPr>
          </w:p>
        </w:tc>
        <w:tc>
          <w:tcPr>
            <w:tcW w:w="1418" w:type="dxa"/>
            <w:tcBorders>
              <w:left w:val="nil"/>
              <w:bottom w:val="single" w:sz="8" w:space="0" w:color="auto"/>
              <w:right w:val="nil"/>
            </w:tcBorders>
          </w:tcPr>
          <w:p w14:paraId="11FE9AA4" w14:textId="77777777" w:rsidR="00E24E43" w:rsidRDefault="00E24E43" w:rsidP="00E24E43">
            <w:pPr>
              <w:spacing w:line="276" w:lineRule="auto"/>
              <w:rPr>
                <w:rFonts w:ascii="Helvetica Neue" w:hAnsi="Helvetica Neue"/>
                <w:i/>
                <w:iCs/>
                <w:color w:val="000000"/>
                <w:sz w:val="15"/>
                <w:szCs w:val="15"/>
              </w:rPr>
            </w:pPr>
          </w:p>
          <w:p w14:paraId="323B7796" w14:textId="6F7F2F03" w:rsidR="00E24E43" w:rsidRDefault="00E24E43" w:rsidP="00E24E43">
            <w:pPr>
              <w:ind w:left="33"/>
              <w:rPr>
                <w:rFonts w:ascii="Helvetica Neue" w:hAnsi="Helvetica Neue"/>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119FFD0C" w14:textId="3659E88F" w:rsidR="00E24E43" w:rsidRPr="00C77C40" w:rsidRDefault="00E24E43" w:rsidP="00E24E43">
            <w:pPr>
              <w:ind w:left="33"/>
              <w:rPr>
                <w:rFonts w:ascii="Helvetica Neue" w:hAnsi="Helvetica Neue"/>
                <w:color w:val="000000"/>
                <w:sz w:val="15"/>
                <w:szCs w:val="15"/>
              </w:rPr>
            </w:pPr>
            <w:r>
              <w:rPr>
                <w:rFonts w:ascii="Helvetica Neue" w:hAnsi="Helvetica Neue"/>
                <w:color w:val="000000"/>
                <w:sz w:val="15"/>
                <w:szCs w:val="15"/>
              </w:rPr>
              <w:t>An unspecified</w:t>
            </w:r>
            <w:r w:rsidRPr="00C77C40">
              <w:rPr>
                <w:rFonts w:ascii="Helvetica Neue" w:hAnsi="Helvetica Neue"/>
                <w:color w:val="000000"/>
                <w:sz w:val="15"/>
                <w:szCs w:val="15"/>
              </w:rPr>
              <w:t xml:space="preserve"> self-efficacy scale score</w:t>
            </w:r>
          </w:p>
          <w:p w14:paraId="41BB647D" w14:textId="77777777" w:rsidR="00E24E43" w:rsidRPr="00C77C40" w:rsidRDefault="00E24E43" w:rsidP="00E24E43">
            <w:pPr>
              <w:ind w:left="175"/>
              <w:rPr>
                <w:rFonts w:ascii="Helvetica Neue" w:hAnsi="Helvetica Neue"/>
                <w:color w:val="000000"/>
                <w:sz w:val="15"/>
                <w:szCs w:val="15"/>
              </w:rPr>
            </w:pPr>
            <w:r w:rsidRPr="00C77C40">
              <w:rPr>
                <w:rFonts w:ascii="Helvetica Neue" w:hAnsi="Helvetica Neue"/>
                <w:i/>
                <w:iCs/>
                <w:color w:val="000000"/>
                <w:sz w:val="15"/>
                <w:szCs w:val="15"/>
              </w:rPr>
              <w:t>A single-item exercise scale</w:t>
            </w:r>
            <w:r w:rsidRPr="004E2F98">
              <w:rPr>
                <w:rFonts w:ascii="Helvetica Neue" w:hAnsi="Helvetica Neue"/>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F1000_CSL_CITATION&lt;~#@#~&gt;[{"DOI":"10.1097/JCN.0000000000000456","First":false,"Last":false,"PMCID":"PMC5908261","PMID":"29189427","abstract":"&lt;strong&gt;BACKGROUND:&lt;/strong&gt; Motivation is necessary in patients with heart failure (HF) who are attempting to become more physically active but may not be sufficient to initiate physical activity. Self-efficacy might explain the relationship between motivation and physical activity.&lt;br&gt;&lt;br&gt;&lt;strong&gt;OBJECTIVE:&lt;/strong&gt; The aim of this study was to examine the role of exercise self-efficacy in the relationship between exercise motivation and physical activity in patients with HF.&lt;br&gt;&lt;br&gt;&lt;strong&gt;METHODS:&lt;/strong&gt; A total of 100 stable patients with HF (88% in New York Heart Association class II/III; mean age, 67 ± 13 years; 62% men) were studied. Self-efficacy was measured with the Exercise Self-Efficacy Scale; motivation, with the Exercise Motivation Index; and physical activity, with a self-report questionnaire. Logistic regression analyses were made to examine the mediation effect of exercise self-efficacy on the relationship between exercise motivation and physical activity.&lt;br&gt;&lt;br&gt;&lt;strong&gt;RESULTS:&lt;/strong&gt; Forty-two percent of the 100 patients reported engaging in less than 60 minutes per week of physical activity. Motivation predicted physical activity (b = 0.58, P &lt;  .05), but after controlling for self-efficacy, the relationship between motivation and physical activity was no longer significant (b = 0.76, P = .06), indicating full mediation.&lt;br&gt;&lt;br&gt;&lt;strong&gt;CONCLUSION:&lt;/strong&gt; Motivation to be physically active is important but not sufficient. In addition to a high level of motivation to be physically active, it is important that patients with HF have a high degree of self-efficacy.","author":[{"family":"Klompstra","given":"Leonie"},{"family":"Jaarsma","given":"Tiny"},{"family":"Strömberg","given":"Anna"}],"authorYearDisplayFormat":false,"citation-label":"8493447","container-title":"The Journal of Cardiovascular Nursing","container-title-short":"J. Cardiovasc. Nurs.","id":"8493447","invisible":false,"issue":"3","issued":{"date-parts":[["2018"]]},"journalAbbreviation":"J. Cardiovasc. Nurs.","page":"211-216","suppress-author":false,"title":"Self-efficacy Mediates the Relationship Between Motivation and Physical Activity in Patients With Heart Failure.","type":"article-journal","volume":"33"}]</w:instrText>
            </w:r>
            <w:r w:rsidRPr="00D455C3">
              <w:rPr>
                <w:rFonts w:ascii="Helvetica Neue" w:hAnsi="Helvetica Neue"/>
                <w:color w:val="000000"/>
                <w:sz w:val="15"/>
                <w:szCs w:val="15"/>
                <w:vertAlign w:val="superscript"/>
              </w:rPr>
              <w:fldChar w:fldCharType="separate"/>
            </w:r>
            <w:r w:rsidRPr="00345AA3">
              <w:rPr>
                <w:rFonts w:ascii="Helvetica Neue" w:hAnsi="Helvetica Neue"/>
                <w:color w:val="000000"/>
                <w:sz w:val="15"/>
                <w:szCs w:val="15"/>
              </w:rPr>
              <w:t>(Klompstra et al., 2018)</w:t>
            </w:r>
            <w:r w:rsidRPr="00D455C3">
              <w:rPr>
                <w:rFonts w:ascii="Helvetica Neue" w:hAnsi="Helvetica Neue"/>
                <w:color w:val="000000"/>
                <w:sz w:val="15"/>
                <w:szCs w:val="15"/>
                <w:vertAlign w:val="superscript"/>
              </w:rPr>
              <w:fldChar w:fldCharType="end"/>
            </w:r>
          </w:p>
          <w:p w14:paraId="4D0AF2EA" w14:textId="77777777" w:rsidR="00E24E43" w:rsidRDefault="00E24E43" w:rsidP="00E24E43">
            <w:pPr>
              <w:rPr>
                <w:vertAlign w:val="superscript"/>
              </w:rPr>
            </w:pPr>
            <w:r w:rsidRPr="00C77C40">
              <w:rPr>
                <w:rFonts w:ascii="Helvetica Neue" w:hAnsi="Helvetica Neue"/>
                <w:color w:val="000000"/>
                <w:sz w:val="15"/>
                <w:szCs w:val="15"/>
              </w:rPr>
              <w:t>Self-efficacy scale</w:t>
            </w:r>
            <w:r>
              <w:rPr>
                <w:rFonts w:ascii="Helvetica Neue" w:hAnsi="Helvetica Neue"/>
                <w:i/>
                <w:iCs/>
                <w:color w:val="000000" w:themeColor="text1"/>
                <w:sz w:val="15"/>
                <w:szCs w:val="15"/>
                <w:vertAlign w:val="superscript"/>
              </w:rPr>
              <w:t>7</w:t>
            </w:r>
          </w:p>
          <w:p w14:paraId="3815DD3D" w14:textId="77777777" w:rsidR="00E24E43" w:rsidRPr="005703BA" w:rsidRDefault="00E24E43" w:rsidP="00E24E43">
            <w:pPr>
              <w:ind w:left="172"/>
              <w:rPr>
                <w:rFonts w:ascii="Helvetica Neue" w:hAnsi="Helvetica Neue"/>
                <w:color w:val="000000"/>
                <w:sz w:val="15"/>
                <w:szCs w:val="15"/>
                <w:vertAlign w:val="superscript"/>
              </w:rPr>
            </w:pPr>
            <w:r w:rsidRPr="00C77C40">
              <w:rPr>
                <w:rFonts w:ascii="Helvetica Neue" w:hAnsi="Helvetica Neue"/>
                <w:i/>
                <w:iCs/>
                <w:color w:val="000000"/>
                <w:sz w:val="15"/>
                <w:szCs w:val="15"/>
              </w:rPr>
              <w:t>Energy. Expenditure</w:t>
            </w:r>
            <w:r>
              <w:rPr>
                <w:rFonts w:ascii="Helvetica Neue" w:hAnsi="Helvetica Neue"/>
                <w:i/>
                <w:iCs/>
                <w:color w:val="000000" w:themeColor="text1"/>
                <w:sz w:val="15"/>
                <w:szCs w:val="15"/>
                <w:vertAlign w:val="superscript"/>
              </w:rPr>
              <w:t>8</w:t>
            </w:r>
            <w:r w:rsidRPr="00D455C3">
              <w:rPr>
                <w:rFonts w:ascii="Helvetica Neue" w:hAnsi="Helvetica Neue"/>
                <w:i/>
                <w:iCs/>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color w:val="000000"/>
                <w:sz w:val="15"/>
                <w:szCs w:val="15"/>
                <w:vertAlign w:val="superscript"/>
              </w:rPr>
              <w:fldChar w:fldCharType="separate"/>
            </w:r>
            <w:r w:rsidRPr="00345AA3">
              <w:rPr>
                <w:rFonts w:ascii="Helvetica Neue" w:hAnsi="Helvetica Neue"/>
                <w:color w:val="000000"/>
                <w:sz w:val="15"/>
                <w:szCs w:val="15"/>
              </w:rPr>
              <w:t>(Lee et al., 2016)</w:t>
            </w:r>
            <w:r w:rsidRPr="00D455C3">
              <w:rPr>
                <w:rFonts w:ascii="Helvetica Neue" w:hAnsi="Helvetica Neue"/>
                <w:color w:val="000000"/>
                <w:sz w:val="15"/>
                <w:szCs w:val="15"/>
                <w:vertAlign w:val="superscript"/>
              </w:rPr>
              <w:fldChar w:fldCharType="end"/>
            </w:r>
          </w:p>
          <w:p w14:paraId="39D54C05" w14:textId="77777777" w:rsidR="00E24E43" w:rsidRPr="00C77C40" w:rsidRDefault="00E24E43" w:rsidP="00E24E43">
            <w:pPr>
              <w:rPr>
                <w:rFonts w:ascii="Helvetica Neue" w:hAnsi="Helvetica Neue"/>
                <w:color w:val="000000" w:themeColor="text1"/>
                <w:sz w:val="15"/>
                <w:szCs w:val="15"/>
              </w:rPr>
            </w:pPr>
            <w:r w:rsidRPr="00C77C40">
              <w:rPr>
                <w:rFonts w:ascii="Helvetica Neue" w:hAnsi="Helvetica Neue"/>
                <w:color w:val="000000" w:themeColor="text1"/>
                <w:sz w:val="15"/>
                <w:szCs w:val="15"/>
              </w:rPr>
              <w:t>Self-efficacy scale</w:t>
            </w:r>
            <w:r>
              <w:rPr>
                <w:rFonts w:ascii="Helvetica Neue" w:hAnsi="Helvetica Neue"/>
                <w:i/>
                <w:iCs/>
                <w:color w:val="000000" w:themeColor="text1"/>
                <w:sz w:val="15"/>
                <w:szCs w:val="15"/>
                <w:vertAlign w:val="superscript"/>
              </w:rPr>
              <w:t>9</w:t>
            </w:r>
            <w:r w:rsidRPr="009E2239">
              <w:rPr>
                <w:rFonts w:ascii="Helvetica Neue" w:hAnsi="Helvetica Neue"/>
                <w:i/>
                <w:iCs/>
                <w:color w:val="000000" w:themeColor="text1"/>
                <w:sz w:val="15"/>
                <w:szCs w:val="15"/>
                <w:vertAlign w:val="superscript"/>
              </w:rPr>
              <w:t xml:space="preserve"> </w:t>
            </w:r>
            <w:r w:rsidRPr="00C77C40">
              <w:rPr>
                <w:rFonts w:ascii="Helvetica Neue" w:hAnsi="Helvetica Neue"/>
                <w:color w:val="000000" w:themeColor="text1"/>
                <w:sz w:val="15"/>
                <w:szCs w:val="15"/>
              </w:rPr>
              <w:t>score</w:t>
            </w:r>
          </w:p>
          <w:p w14:paraId="46D23402" w14:textId="77777777" w:rsidR="00E24E43" w:rsidRDefault="00E24E43" w:rsidP="00E24E43">
            <w:pPr>
              <w:ind w:left="175"/>
              <w:rPr>
                <w:rFonts w:ascii="Helvetica Neue" w:hAnsi="Helvetica Neue"/>
                <w:color w:val="000000" w:themeColor="text1"/>
                <w:sz w:val="15"/>
                <w:szCs w:val="15"/>
              </w:rPr>
            </w:pPr>
            <w:r w:rsidRPr="00C77C40">
              <w:rPr>
                <w:rFonts w:ascii="Helvetica Neue" w:hAnsi="Helvetica Neue"/>
                <w:i/>
                <w:iCs/>
                <w:color w:val="000000" w:themeColor="text1"/>
                <w:sz w:val="15"/>
                <w:szCs w:val="15"/>
              </w:rPr>
              <w:t>Daily energy expenditure</w:t>
            </w:r>
            <w:r w:rsidRPr="004E2F98">
              <w:rPr>
                <w:rFonts w:ascii="Helvetica Neue" w:hAnsi="Helvetica Neue"/>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color w:val="000000" w:themeColor="text1"/>
                <w:sz w:val="15"/>
                <w:szCs w:val="15"/>
              </w:rPr>
              <w:t>(Chien et al., 2014)</w:t>
            </w:r>
            <w:r w:rsidRPr="00D455C3">
              <w:rPr>
                <w:rFonts w:ascii="Helvetica Neue" w:hAnsi="Helvetica Neue"/>
                <w:color w:val="000000" w:themeColor="text1"/>
                <w:sz w:val="15"/>
                <w:szCs w:val="15"/>
                <w:vertAlign w:val="superscript"/>
              </w:rPr>
              <w:fldChar w:fldCharType="end"/>
            </w:r>
          </w:p>
          <w:p w14:paraId="0922028D" w14:textId="77777777" w:rsidR="00E24E43" w:rsidRDefault="00E24E43" w:rsidP="00E24E43">
            <w:pPr>
              <w:ind w:left="175"/>
              <w:rPr>
                <w:rFonts w:ascii="Helvetica Neue" w:hAnsi="Helvetica Neue"/>
                <w:color w:val="000000" w:themeColor="text1"/>
                <w:sz w:val="15"/>
                <w:szCs w:val="15"/>
              </w:rPr>
            </w:pPr>
          </w:p>
          <w:p w14:paraId="78C89C2F" w14:textId="77777777" w:rsidR="00E24E43" w:rsidRPr="00C77C40" w:rsidRDefault="00E24E43" w:rsidP="00E24E43">
            <w:pPr>
              <w:rPr>
                <w:rFonts w:ascii="Helvetica Neue" w:hAnsi="Helvetica Neue"/>
                <w:color w:val="000000" w:themeColor="text1"/>
                <w:sz w:val="15"/>
                <w:szCs w:val="15"/>
              </w:rPr>
            </w:pPr>
            <w:r w:rsidRPr="00C77C40">
              <w:rPr>
                <w:rFonts w:ascii="Helvetica Neue" w:hAnsi="Helvetica Neue"/>
                <w:color w:val="000000" w:themeColor="text1"/>
                <w:sz w:val="15"/>
                <w:szCs w:val="15"/>
              </w:rPr>
              <w:t>Self-efficacy scale</w:t>
            </w:r>
          </w:p>
          <w:p w14:paraId="431CA36C" w14:textId="77777777" w:rsidR="00E24E43" w:rsidRDefault="00E24E43" w:rsidP="00E24E43">
            <w:pPr>
              <w:ind w:left="175"/>
              <w:rPr>
                <w:rFonts w:ascii="Helvetica Neue" w:hAnsi="Helvetica Neue"/>
                <w:color w:val="000000" w:themeColor="text1"/>
                <w:sz w:val="15"/>
                <w:szCs w:val="15"/>
              </w:rPr>
            </w:pPr>
            <w:r w:rsidRPr="00C77C40">
              <w:rPr>
                <w:rFonts w:ascii="Helvetica Neue" w:hAnsi="Helvetica Neue"/>
                <w:i/>
                <w:iCs/>
                <w:color w:val="000000" w:themeColor="text1"/>
                <w:sz w:val="15"/>
                <w:szCs w:val="15"/>
              </w:rPr>
              <w:t>Steps per day, total</w:t>
            </w:r>
            <w:r w:rsidRPr="005D1E89">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(Dontje et al., 2014)</w:t>
            </w:r>
            <w:r w:rsidRPr="00D455C3">
              <w:rPr>
                <w:rFonts w:ascii="Helvetica Neue" w:hAnsi="Helvetica Neue"/>
                <w:color w:val="000000" w:themeColor="text1"/>
                <w:sz w:val="15"/>
                <w:szCs w:val="15"/>
                <w:vertAlign w:val="superscript"/>
              </w:rPr>
              <w:fldChar w:fldCharType="end"/>
            </w:r>
          </w:p>
          <w:p w14:paraId="3CB632E3" w14:textId="77777777" w:rsidR="00E24E43" w:rsidRPr="00C77C40" w:rsidRDefault="00E24E43" w:rsidP="00E24E43">
            <w:pPr>
              <w:ind w:left="175"/>
              <w:rPr>
                <w:rFonts w:ascii="Helvetica Neue" w:hAnsi="Helvetica Neue"/>
                <w:color w:val="000000" w:themeColor="text1"/>
                <w:sz w:val="15"/>
                <w:szCs w:val="15"/>
              </w:rPr>
            </w:pPr>
          </w:p>
          <w:p w14:paraId="34CB0156" w14:textId="77777777" w:rsidR="00E24E43" w:rsidRDefault="00E24E43" w:rsidP="00E24E43">
            <w:pPr>
              <w:rPr>
                <w:vertAlign w:val="superscript"/>
              </w:rPr>
            </w:pPr>
            <w:r w:rsidRPr="00C77C40">
              <w:rPr>
                <w:rFonts w:ascii="Helvetica Neue" w:hAnsi="Helvetica Neue"/>
                <w:color w:val="000000" w:themeColor="text1"/>
                <w:sz w:val="15"/>
                <w:szCs w:val="15"/>
              </w:rPr>
              <w:t>Self-efficacy scale</w:t>
            </w:r>
            <w:r>
              <w:rPr>
                <w:rFonts w:ascii="Helvetica Neue" w:hAnsi="Helvetica Neue"/>
                <w:i/>
                <w:iCs/>
                <w:color w:val="000000" w:themeColor="text1"/>
                <w:sz w:val="15"/>
                <w:szCs w:val="15"/>
                <w:vertAlign w:val="superscript"/>
              </w:rPr>
              <w:t>10</w:t>
            </w:r>
            <w:r w:rsidRPr="009E2239">
              <w:rPr>
                <w:rFonts w:ascii="Helvetica Neue" w:hAnsi="Helvetica Neue"/>
                <w:i/>
                <w:iCs/>
                <w:color w:val="000000" w:themeColor="text1"/>
                <w:sz w:val="15"/>
                <w:szCs w:val="15"/>
                <w:vertAlign w:val="superscript"/>
              </w:rPr>
              <w:t xml:space="preserve"> </w:t>
            </w:r>
          </w:p>
          <w:p w14:paraId="6AFF1608" w14:textId="77777777" w:rsidR="00E24E43" w:rsidRPr="00D455C3" w:rsidRDefault="00E24E43" w:rsidP="00E24E43">
            <w:pPr>
              <w:ind w:left="172"/>
              <w:rPr>
                <w:rFonts w:ascii="Helvetica Neue" w:hAnsi="Helvetica Neue"/>
                <w:i/>
                <w:iCs/>
                <w:color w:val="000000" w:themeColor="text1"/>
                <w:sz w:val="15"/>
                <w:szCs w:val="15"/>
                <w:vertAlign w:val="superscript"/>
              </w:rPr>
            </w:pPr>
            <w:r w:rsidRPr="005703BA">
              <w:rPr>
                <w:rFonts w:ascii="Helvetica Neue" w:hAnsi="Helvetica Neue"/>
                <w:i/>
                <w:iCs/>
                <w:color w:val="000000" w:themeColor="text1"/>
                <w:sz w:val="15"/>
                <w:szCs w:val="15"/>
              </w:rPr>
              <w:t xml:space="preserve">Daily physical activity </w:t>
            </w:r>
            <w:r w:rsidRPr="009E2239">
              <w:rPr>
                <w:rFonts w:ascii="Helvetica Neue" w:hAnsi="Helvetica Neue"/>
                <w:i/>
                <w:iCs/>
                <w:color w:val="000000" w:themeColor="text1"/>
                <w:sz w:val="15"/>
                <w:szCs w:val="15"/>
                <w:vertAlign w:val="superscript"/>
              </w:rPr>
              <w:t>1</w:t>
            </w:r>
            <w:r>
              <w:rPr>
                <w:rFonts w:ascii="Helvetica Neue" w:hAnsi="Helvetica Neue"/>
                <w:i/>
                <w:iCs/>
                <w:color w:val="000000" w:themeColor="text1"/>
                <w:sz w:val="15"/>
                <w:szCs w:val="15"/>
                <w:vertAlign w:val="superscript"/>
              </w:rPr>
              <w:t>1</w:t>
            </w:r>
            <w:r w:rsidRPr="004E2F98">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F1000_CSL_CITATION&lt;~#@#~&gt;[{"DOI":"10.1016/s0002-9149(96)90588-3","First":false,"Last":false,"PMID":"8546084","abstract":"To identify predictors of physical activity levels in patients with chronic heart failure, 43 patients, aged 33 to 91 years, who had well-compensated heart failure were asked to perform a symptom-limited exercise treadmill test and to complete activity logs for 2 consecutive days while wearing an ambulatory heart rate activity monitor. Activity logs included information on the type of activity, duration, rating of perceived exertion, symptoms experienced, and the intensity of symptoms. Subjects also completed the Duke Activity Status Index, a brief self-administered questionnaire that assesses physical functioning, and a self-efficacy for general activity questionnaire. Simultaneous multiple regression analysis was used to predict physical activity levels from a model that included: personal variables of physical fitness (peak oxygen consumption); knowledge, attitudes, and beliefs including self-efficacy for general activity, and rating of perceived exertion during daily activity; and environmental factors such as social support (marital status). The overall model explained 38% of the variance (p &lt;  0.001). Self-efficacy (p = 0.015) was the strongest predictor of physical activity in this group. From this initial descriptive study, we conclude that self-efficacy is a better predictor of performance of physical activity than measures of physical fitness or rating of perceived exertion during activity. Additional studies are needed to examine other behavioral and physiologic mediators as well as behavioral strategies that may be used to increase participation in physical activity programs. Particularly promising are strategies to enhance self-efficacy for exercise.","author":[{"family":"Oka","given":"R K"},{"family":"Gortner","given":"S R"},{"family":"Stotts","given":"N A"},{"family":"Haskell","given":"W L"}],"authorYearDisplayFormat":false,"citation-label":"8493421","container-title":"The American Journal of Cardiology","container-title-short":"Am. J. Cardiol.","id":"8493421","invisible":false,"issue":"2","issued":{"date-parts":[["1996","1","15"]]},"journalAbbreviation":"Am. J. Cardiol.","page":"159-163","suppress-author":false,"title":"Predictors of physical activity in patients with chronic heart failure secondary to either ischemic or idiopathic dilated cardiomyopathy.","type":"article-journal","volume":"77"}]</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color w:val="000000" w:themeColor="text1"/>
                <w:sz w:val="15"/>
                <w:szCs w:val="15"/>
              </w:rPr>
              <w:t>(Oka, Gortner, Stotts, &amp; Haskell, 1996)</w:t>
            </w:r>
            <w:r w:rsidRPr="00D455C3">
              <w:rPr>
                <w:rFonts w:ascii="Helvetica Neue" w:hAnsi="Helvetica Neue"/>
                <w:color w:val="000000" w:themeColor="text1"/>
                <w:sz w:val="15"/>
                <w:szCs w:val="15"/>
                <w:vertAlign w:val="superscript"/>
              </w:rPr>
              <w:fldChar w:fldCharType="end"/>
            </w:r>
          </w:p>
          <w:p w14:paraId="56FD3049" w14:textId="77777777" w:rsidR="00E24E43" w:rsidRPr="005703BA" w:rsidRDefault="00E24E43" w:rsidP="00E24E43">
            <w:pPr>
              <w:ind w:left="172"/>
              <w:rPr>
                <w:rFonts w:ascii="Helvetica Neue" w:hAnsi="Helvetica Neue"/>
                <w:i/>
                <w:iCs/>
                <w:color w:val="000000" w:themeColor="text1"/>
                <w:sz w:val="15"/>
                <w:szCs w:val="15"/>
              </w:rPr>
            </w:pPr>
          </w:p>
          <w:p w14:paraId="4A323244" w14:textId="77777777" w:rsidR="00E24E43" w:rsidRPr="00C77C40" w:rsidRDefault="00E24E43" w:rsidP="00E24E43">
            <w:pPr>
              <w:rPr>
                <w:rFonts w:ascii="Helvetica Neue" w:hAnsi="Helvetica Neue"/>
                <w:noProof/>
                <w:color w:val="000000" w:themeColor="text1"/>
                <w:sz w:val="15"/>
                <w:szCs w:val="15"/>
              </w:rPr>
            </w:pPr>
            <w:r w:rsidRPr="00C77C40">
              <w:rPr>
                <w:rFonts w:ascii="Helvetica Neue" w:hAnsi="Helvetica Neue"/>
                <w:noProof/>
                <w:color w:val="000000" w:themeColor="text1"/>
                <w:sz w:val="15"/>
                <w:szCs w:val="15"/>
              </w:rPr>
              <w:t>KCCQ self-efficacy score</w:t>
            </w:r>
          </w:p>
          <w:p w14:paraId="02BF3B11" w14:textId="77777777" w:rsidR="00E24E43" w:rsidRPr="00C77C40" w:rsidRDefault="00E24E43" w:rsidP="00E24E43">
            <w:pPr>
              <w:ind w:left="175"/>
              <w:rPr>
                <w:rFonts w:ascii="Helvetica Neue" w:hAnsi="Helvetica Neue"/>
                <w:noProof/>
                <w:color w:val="000000" w:themeColor="text1"/>
                <w:sz w:val="15"/>
                <w:szCs w:val="15"/>
              </w:rPr>
            </w:pPr>
            <w:r w:rsidRPr="00C77C40">
              <w:rPr>
                <w:rFonts w:ascii="Helvetica Neue" w:hAnsi="Helvetica Neue"/>
                <w:i/>
                <w:iCs/>
                <w:color w:val="000000"/>
                <w:sz w:val="15"/>
                <w:szCs w:val="15"/>
              </w:rPr>
              <w:t>Energy expenditure, kcal</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68C5538E"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64137450"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Depression</w:t>
            </w:r>
          </w:p>
        </w:tc>
        <w:tc>
          <w:tcPr>
            <w:tcW w:w="1418" w:type="dxa"/>
            <w:tcBorders>
              <w:top w:val="single" w:sz="8" w:space="0" w:color="auto"/>
              <w:left w:val="nil"/>
              <w:right w:val="nil"/>
            </w:tcBorders>
          </w:tcPr>
          <w:p w14:paraId="62505343" w14:textId="77777777" w:rsidR="00E24E43" w:rsidRDefault="00E24E43" w:rsidP="00E24E43">
            <w:pPr>
              <w:spacing w:line="276" w:lineRule="auto"/>
              <w:rPr>
                <w:rFonts w:ascii="Helvetica Neue" w:hAnsi="Helvetica Neue"/>
                <w:i/>
                <w:iCs/>
                <w:color w:val="000000"/>
                <w:sz w:val="15"/>
                <w:szCs w:val="15"/>
              </w:rPr>
            </w:pPr>
          </w:p>
          <w:p w14:paraId="569EF9CA" w14:textId="3E972002" w:rsidR="00E24E43" w:rsidRPr="00C77C40" w:rsidRDefault="00E24E43" w:rsidP="00E24E43">
            <w:pPr>
              <w:spacing w:line="276" w:lineRule="auto"/>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5961FBCD" w14:textId="2E6793D4"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color w:val="000000"/>
                <w:sz w:val="15"/>
                <w:szCs w:val="15"/>
              </w:rPr>
              <w:t>Presence of clinical depression</w:t>
            </w:r>
          </w:p>
          <w:p w14:paraId="1F05C00A" w14:textId="77777777" w:rsidR="00E24E43" w:rsidRPr="00C77C40" w:rsidRDefault="00E24E43" w:rsidP="00E24E43">
            <w:pPr>
              <w:spacing w:line="276" w:lineRule="auto"/>
              <w:ind w:left="175"/>
              <w:rPr>
                <w:rFonts w:ascii="Helvetica Neue" w:hAnsi="Helvetica Neue"/>
                <w:i/>
                <w:iCs/>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(Snipelisky et al., 2017)</w:t>
            </w:r>
            <w:r w:rsidRPr="00D455C3">
              <w:rPr>
                <w:rFonts w:ascii="Helvetica Neue" w:hAnsi="Helvetica Neue"/>
                <w:i/>
                <w:iCs/>
                <w:color w:val="000000"/>
                <w:sz w:val="15"/>
                <w:szCs w:val="15"/>
                <w:vertAlign w:val="superscript"/>
              </w:rPr>
              <w:fldChar w:fldCharType="end"/>
            </w:r>
          </w:p>
          <w:p w14:paraId="3AA50DEF" w14:textId="77777777" w:rsidR="00E24E43" w:rsidRPr="00C77C40" w:rsidRDefault="00E24E43" w:rsidP="00E24E43">
            <w:pPr>
              <w:spacing w:line="276" w:lineRule="auto"/>
              <w:rPr>
                <w:rFonts w:ascii="Helvetica Neue" w:hAnsi="Helvetica Neue"/>
                <w:color w:val="000000"/>
                <w:sz w:val="15"/>
                <w:szCs w:val="15"/>
              </w:rPr>
            </w:pPr>
            <w:r>
              <w:rPr>
                <w:rFonts w:ascii="Helvetica Neue" w:hAnsi="Helvetica Neue"/>
                <w:color w:val="000000"/>
                <w:sz w:val="15"/>
                <w:szCs w:val="15"/>
              </w:rPr>
              <w:t>Hospital Anxiety and Depression scale (</w:t>
            </w:r>
            <w:r w:rsidRPr="00C77C40">
              <w:rPr>
                <w:rFonts w:ascii="Helvetica Neue" w:hAnsi="Helvetica Neue"/>
                <w:color w:val="000000"/>
                <w:sz w:val="15"/>
                <w:szCs w:val="15"/>
              </w:rPr>
              <w:t>HADS</w:t>
            </w:r>
            <w:r>
              <w:rPr>
                <w:rFonts w:ascii="Helvetica Neue" w:hAnsi="Helvetica Neue"/>
                <w:color w:val="000000"/>
                <w:sz w:val="15"/>
                <w:szCs w:val="15"/>
              </w:rPr>
              <w:t>)</w:t>
            </w:r>
            <w:r w:rsidRPr="00C77C40">
              <w:rPr>
                <w:rFonts w:ascii="Helvetica Neue" w:hAnsi="Helvetica Neue"/>
                <w:color w:val="000000"/>
                <w:sz w:val="15"/>
                <w:szCs w:val="15"/>
              </w:rPr>
              <w:t xml:space="preserve"> </w:t>
            </w:r>
            <w:r>
              <w:rPr>
                <w:rFonts w:ascii="Helvetica Neue" w:hAnsi="Helvetica Neue"/>
                <w:color w:val="000000"/>
                <w:sz w:val="15"/>
                <w:szCs w:val="15"/>
              </w:rPr>
              <w:t xml:space="preserve">subscale </w:t>
            </w:r>
            <w:r w:rsidRPr="00C77C40">
              <w:rPr>
                <w:rFonts w:ascii="Helvetica Neue" w:hAnsi="Helvetica Neue"/>
                <w:color w:val="000000"/>
                <w:sz w:val="15"/>
                <w:szCs w:val="15"/>
              </w:rPr>
              <w:t>score</w:t>
            </w:r>
          </w:p>
          <w:p w14:paraId="69145C8B" w14:textId="77777777" w:rsidR="00E24E43" w:rsidRPr="00C77C40" w:rsidRDefault="00E24E43" w:rsidP="00E24E43">
            <w:pPr>
              <w:spacing w:line="276" w:lineRule="auto"/>
              <w:ind w:left="175"/>
              <w:rPr>
                <w:rFonts w:ascii="Helvetica Neue" w:hAnsi="Helvetica Neue"/>
                <w:color w:val="000000"/>
                <w:sz w:val="15"/>
                <w:szCs w:val="15"/>
              </w:rPr>
            </w:pPr>
            <w:r w:rsidRPr="00C77C40">
              <w:rPr>
                <w:rFonts w:ascii="Helvetica Neue" w:hAnsi="Helvetica Neue"/>
                <w:i/>
                <w:iCs/>
                <w:color w:val="000000"/>
                <w:sz w:val="15"/>
                <w:szCs w:val="15"/>
              </w:rPr>
              <w:t>Compliant vs non-compliant with exercise prescription</w:t>
            </w:r>
            <w:r w:rsidRPr="00C77C40">
              <w:rPr>
                <w:rFonts w:ascii="Helvetica Neue" w:hAnsi="Helvetica Neue"/>
                <w:color w:val="000000"/>
                <w:sz w:val="15"/>
                <w:szCs w:val="15"/>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sz w:val="15"/>
                <w:szCs w:val="15"/>
                <w:vertAlign w:val="superscript"/>
              </w:rPr>
              <w:fldChar w:fldCharType="separate"/>
            </w:r>
            <w:r w:rsidRPr="00345AA3">
              <w:rPr>
                <w:rFonts w:ascii="Helvetica Neue" w:hAnsi="Helvetica Neue"/>
                <w:noProof/>
                <w:color w:val="000000"/>
                <w:sz w:val="15"/>
                <w:szCs w:val="15"/>
              </w:rPr>
              <w:t>(Corvera-Tindel et al., 2004)</w:t>
            </w:r>
            <w:r w:rsidRPr="00D455C3">
              <w:rPr>
                <w:rFonts w:ascii="Helvetica Neue" w:hAnsi="Helvetica Neue"/>
                <w:color w:val="000000"/>
                <w:sz w:val="15"/>
                <w:szCs w:val="15"/>
                <w:vertAlign w:val="superscript"/>
              </w:rPr>
              <w:fldChar w:fldCharType="end"/>
            </w:r>
          </w:p>
          <w:p w14:paraId="4D2F2EB7" w14:textId="77777777" w:rsidR="00E24E43" w:rsidRPr="00C77C40" w:rsidRDefault="00E24E43" w:rsidP="00E24E43">
            <w:pPr>
              <w:spacing w:line="276" w:lineRule="auto"/>
              <w:rPr>
                <w:rFonts w:ascii="Helvetica Neue" w:hAnsi="Helvetica Neue"/>
                <w:color w:val="FF0000"/>
                <w:sz w:val="15"/>
                <w:szCs w:val="15"/>
              </w:rPr>
            </w:pPr>
            <w:r w:rsidRPr="00C77C40">
              <w:rPr>
                <w:rFonts w:ascii="Helvetica Neue" w:hAnsi="Helvetica Neue"/>
                <w:color w:val="000000"/>
                <w:sz w:val="15"/>
                <w:szCs w:val="15"/>
              </w:rPr>
              <w:t>Centre for Epidemiology Surveys-Depression scale (CES-D)</w:t>
            </w:r>
          </w:p>
          <w:p w14:paraId="262003BD" w14:textId="77777777" w:rsidR="00E24E43" w:rsidRPr="00C77C40" w:rsidRDefault="00E24E43" w:rsidP="00E24E43">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sz w:val="15"/>
                <w:szCs w:val="15"/>
              </w:rPr>
              <w:t>Compliant vs non-compliant with exercise prescription</w:t>
            </w:r>
            <w:r>
              <w:rPr>
                <w:rFonts w:ascii="Helvetica Neue" w:hAnsi="Helvetica Neue"/>
                <w:i/>
                <w:iCs/>
                <w:color w:val="000000"/>
                <w:sz w:val="15"/>
                <w:szCs w:val="15"/>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F1000_CSL_CITATION&lt;~#@#~&gt;[{"DOI":"10.1093/eurheartj/ehq091","First":false,"Last":false,"PMID":"20436049","abstract":"&lt;strong&gt;AIMS:&lt;/strong&gt; The aim of this prospective study was to investigate the association between compliance with non-pharmacological recommendations (diet, fluid restriction, weighing, exercise) and outcome in patients with heart failure (HF).&lt;br&gt;&lt;br&gt;&lt;strong&gt;METHODS AND RESULTS:&lt;/strong&gt; In total 830 patients after an HF hospitalization participated in the study (age 70 +/- 11; left ventricular ejection fraction 34%). Compliance was measured 1 month after discharge; patients were followed for 18 months. Primary outcomes were the composite of death or HF readmission and the number of unfavourable days. Cox regression analysis was used to determine the association between primary outcome and compliance. Adjustments were made for those variables that were identified as confounders in the association between compliance and outcome. Patients who were non-compliant with at least one of the recommendations had a higher risk of mortality or HF readmission (HR 1.40; P = 0.01). Non-compliance with exercise was associated with an increased risk for mortality or HF readmission (HR 1.48; P &lt;  0.01), while non-compliance with daily weighing was associated with an increased risk of mortality (HR 1.57; P = 0.02). Non-compliance (overall) and non-compliance with exercise were both associated with a higher risk for HF readmission [HR 1.38; P &lt;  0.05(overall) and HR 1.55; P &lt;  0.01(exercise)]. Patients who were overall non-compliant or with weighing and exercise had more unfavourable days than compliant patients.&lt;br&gt;&lt;br&gt;&lt;strong&gt;CONCLUSION:&lt;/strong&gt; Non-compliance with non-pharmacological recommendations in HF patients is associated with adverse outcome.","author":[{"family":"van der Wal","given":"Martje H L"},{"family":"van Veldhuisen","given":"Dirk J"},{"family":"Veeger","given":"Nic J G M"},{"family":"Rutten","given":"Frans H"},{"family":"Jaarsma","given":"Tiny"}],"authorYearDisplayFormat":false,"citation-label":"8493454","container-title":"European Heart Journal","container-title-short":"Eur. Heart J.","id":"8493454","invisible":false,"issue":"12","issued":{"date-parts":[["2010","6"]]},"journalAbbreviation":"Eur. Heart J.","page":"1486-1493","suppress-author":false,"title":"Compliance with non-pharmacological recommendations and outcome in heart failure patients.","type":"article-journal","volume":"31"}]</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(van der Wal, van Veldhuisen, Veeger, Rutten, &amp; Jaarsma, 2010)</w:t>
            </w:r>
            <w:r w:rsidRPr="00D455C3">
              <w:rPr>
                <w:rFonts w:ascii="Helvetica Neue" w:hAnsi="Helvetica Neue"/>
                <w:i/>
                <w:iCs/>
                <w:color w:val="000000"/>
                <w:sz w:val="15"/>
                <w:szCs w:val="15"/>
                <w:vertAlign w:val="superscript"/>
              </w:rPr>
              <w:fldChar w:fldCharType="end"/>
            </w:r>
          </w:p>
        </w:tc>
      </w:tr>
      <w:tr w:rsidR="00E24E43" w:rsidRPr="004B7867" w14:paraId="7A8ADFD7"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7523633F"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46B3D16E" w14:textId="77777777" w:rsidR="00E24E43" w:rsidRDefault="00E24E43" w:rsidP="00E24E43">
            <w:pPr>
              <w:spacing w:line="276" w:lineRule="auto"/>
              <w:rPr>
                <w:rFonts w:ascii="Helvetica Neue" w:hAnsi="Helvetica Neue"/>
                <w:i/>
                <w:iCs/>
                <w:color w:val="000000"/>
                <w:sz w:val="15"/>
                <w:szCs w:val="15"/>
              </w:rPr>
            </w:pPr>
          </w:p>
          <w:p w14:paraId="0B1F3C6E" w14:textId="7B764798" w:rsidR="00E24E43" w:rsidRPr="00C77C40" w:rsidRDefault="00E24E43" w:rsidP="00E24E43">
            <w:pPr>
              <w:spacing w:line="276" w:lineRule="auto"/>
              <w:rPr>
                <w:rFonts w:ascii="Helvetica Neue" w:hAnsi="Helvetica Neue"/>
                <w:iCs/>
                <w:noProof/>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69A360F8" w14:textId="2BE1A90E" w:rsidR="00E24E43" w:rsidRPr="00C77C40" w:rsidRDefault="00E24E43" w:rsidP="00E24E43">
            <w:pPr>
              <w:spacing w:line="276" w:lineRule="auto"/>
              <w:rPr>
                <w:rFonts w:ascii="Helvetica Neue" w:hAnsi="Helvetica Neue"/>
                <w:iCs/>
                <w:noProof/>
                <w:color w:val="000000"/>
                <w:sz w:val="15"/>
                <w:szCs w:val="15"/>
              </w:rPr>
            </w:pPr>
            <w:r w:rsidRPr="00C77C40">
              <w:rPr>
                <w:rFonts w:ascii="Helvetica Neue" w:hAnsi="Helvetica Neue"/>
                <w:iCs/>
                <w:noProof/>
                <w:color w:val="000000"/>
                <w:sz w:val="15"/>
                <w:szCs w:val="15"/>
              </w:rPr>
              <w:t>HADS score</w:t>
            </w:r>
          </w:p>
          <w:p w14:paraId="3BCBF850" w14:textId="77777777" w:rsidR="00E24E43" w:rsidRPr="00C77C40" w:rsidRDefault="00E24E43" w:rsidP="00E24E43">
            <w:pPr>
              <w:spacing w:line="276" w:lineRule="auto"/>
              <w:ind w:left="175"/>
              <w:rPr>
                <w:rFonts w:ascii="Helvetica Neue" w:hAnsi="Helvetica Neue"/>
                <w:iCs/>
                <w:noProof/>
                <w:color w:val="000000"/>
                <w:sz w:val="15"/>
                <w:szCs w:val="15"/>
              </w:rPr>
            </w:pPr>
            <w:r w:rsidRPr="00C77C40">
              <w:rPr>
                <w:rFonts w:ascii="Helvetica Neue" w:hAnsi="Helvetica Neue"/>
                <w:i/>
                <w:noProof/>
                <w:color w:val="000000"/>
                <w:sz w:val="15"/>
                <w:szCs w:val="15"/>
              </w:rPr>
              <w:t>Total steps/day</w:t>
            </w:r>
            <w:r w:rsidRPr="00D455C3">
              <w:rPr>
                <w:rFonts w:ascii="Helvetica Neue" w:hAnsi="Helvetica Neue"/>
                <w:i/>
                <w:noProof/>
                <w:color w:val="000000"/>
                <w:sz w:val="15"/>
                <w:szCs w:val="15"/>
                <w:vertAlign w:val="superscript"/>
              </w:rPr>
              <w:t xml:space="preserve"> </w:t>
            </w:r>
            <w:r w:rsidRPr="00D455C3">
              <w:rPr>
                <w:rFonts w:ascii="Helvetica Neue" w:hAnsi="Helvetica Neue"/>
                <w:iCs/>
                <w:noProof/>
                <w:color w:val="000000"/>
                <w:sz w:val="15"/>
                <w:szCs w:val="15"/>
                <w:vertAlign w:val="superscript"/>
              </w:rPr>
              <w:fldChar w:fldCharType="begin"/>
            </w:r>
            <w:r>
              <w:rPr>
                <w:rFonts w:ascii="Helvetica Neue" w:hAnsi="Helvetica Neue"/>
                <w:iCs/>
                <w:noProof/>
                <w:color w:val="000000"/>
                <w:sz w:val="15"/>
                <w:szCs w:val="15"/>
                <w:vertAlign w:val="superscript"/>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w:instrText>
            </w:r>
            <w:r w:rsidRPr="00D455C3">
              <w:rPr>
                <w:rFonts w:ascii="Helvetica Neue" w:hAnsi="Helvetica Neue"/>
                <w:iCs/>
                <w:noProof/>
                <w:color w:val="000000"/>
                <w:sz w:val="15"/>
                <w:szCs w:val="15"/>
                <w:vertAlign w:val="superscript"/>
              </w:rPr>
              <w:fldChar w:fldCharType="separate"/>
            </w:r>
            <w:r w:rsidRPr="00345AA3">
              <w:rPr>
                <w:rFonts w:ascii="Helvetica Neue" w:hAnsi="Helvetica Neue"/>
                <w:iCs/>
                <w:noProof/>
                <w:color w:val="000000"/>
                <w:sz w:val="15"/>
                <w:szCs w:val="15"/>
              </w:rPr>
              <w:t>(Alosco et al., 2012)</w:t>
            </w:r>
            <w:r w:rsidRPr="00D455C3">
              <w:rPr>
                <w:rFonts w:ascii="Helvetica Neue" w:hAnsi="Helvetica Neue"/>
                <w:iCs/>
                <w:noProof/>
                <w:color w:val="000000"/>
                <w:sz w:val="15"/>
                <w:szCs w:val="15"/>
                <w:vertAlign w:val="superscript"/>
              </w:rPr>
              <w:fldChar w:fldCharType="end"/>
            </w:r>
          </w:p>
          <w:p w14:paraId="1B01F652" w14:textId="77777777" w:rsidR="00E24E43" w:rsidRPr="00C77C40" w:rsidRDefault="00E24E43" w:rsidP="00E24E43">
            <w:pPr>
              <w:spacing w:line="276" w:lineRule="auto"/>
              <w:rPr>
                <w:rFonts w:ascii="Helvetica Neue" w:hAnsi="Helvetica Neue"/>
                <w:iCs/>
                <w:noProof/>
                <w:color w:val="000000"/>
                <w:sz w:val="15"/>
                <w:szCs w:val="15"/>
              </w:rPr>
            </w:pPr>
            <w:r w:rsidRPr="00C77C40">
              <w:rPr>
                <w:rFonts w:ascii="Helvetica Neue" w:hAnsi="Helvetica Neue"/>
                <w:iCs/>
                <w:noProof/>
                <w:color w:val="000000"/>
                <w:sz w:val="15"/>
                <w:szCs w:val="15"/>
              </w:rPr>
              <w:t>HADS score</w:t>
            </w:r>
          </w:p>
          <w:p w14:paraId="355378CA" w14:textId="77777777" w:rsidR="00E24E43" w:rsidRPr="00C77C40" w:rsidRDefault="00E24E43" w:rsidP="00E24E43">
            <w:pPr>
              <w:spacing w:line="276" w:lineRule="auto"/>
              <w:ind w:left="175"/>
            </w:pPr>
            <w:r w:rsidRPr="00C77C40">
              <w:rPr>
                <w:rFonts w:ascii="Helvetica Neue" w:hAnsi="Helvetica Neue"/>
                <w:i/>
                <w:noProof/>
                <w:color w:val="000000"/>
                <w:sz w:val="15"/>
                <w:szCs w:val="15"/>
              </w:rPr>
              <w:lastRenderedPageBreak/>
              <w:t>Accelerometry counts</w:t>
            </w:r>
            <w:r w:rsidRPr="00D455C3">
              <w:rPr>
                <w:rFonts w:ascii="Helvetica Neue" w:hAnsi="Helvetica Neue"/>
                <w:i/>
                <w:noProof/>
                <w:color w:val="000000"/>
                <w:sz w:val="15"/>
                <w:szCs w:val="15"/>
                <w:vertAlign w:val="superscript"/>
              </w:rPr>
              <w:t xml:space="preserve"> </w:t>
            </w:r>
            <w:r w:rsidRPr="00D455C3">
              <w:rPr>
                <w:rFonts w:ascii="Helvetica Neue" w:hAnsi="Helvetica Neue"/>
                <w:iCs/>
                <w:noProof/>
                <w:color w:val="000000"/>
                <w:sz w:val="15"/>
                <w:szCs w:val="15"/>
                <w:vertAlign w:val="superscript"/>
              </w:rPr>
              <w:fldChar w:fldCharType="begin"/>
            </w:r>
            <w:r>
              <w:rPr>
                <w:rFonts w:ascii="Helvetica Neue" w:hAnsi="Helvetica Neue"/>
                <w:iCs/>
                <w:noProof/>
                <w:color w:val="000000"/>
                <w:sz w:val="15"/>
                <w:szCs w:val="15"/>
                <w:vertAlign w:val="superscript"/>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D455C3">
              <w:rPr>
                <w:rFonts w:ascii="Helvetica Neue" w:hAnsi="Helvetica Neue"/>
                <w:iCs/>
                <w:noProof/>
                <w:color w:val="000000"/>
                <w:sz w:val="15"/>
                <w:szCs w:val="15"/>
                <w:vertAlign w:val="superscript"/>
              </w:rPr>
              <w:fldChar w:fldCharType="separate"/>
            </w:r>
            <w:r w:rsidRPr="00345AA3">
              <w:rPr>
                <w:rFonts w:ascii="Helvetica Neue" w:hAnsi="Helvetica Neue"/>
                <w:iCs/>
                <w:noProof/>
                <w:color w:val="000000"/>
                <w:sz w:val="15"/>
                <w:szCs w:val="15"/>
              </w:rPr>
              <w:t>(Witham et al., 2006)</w:t>
            </w:r>
            <w:r w:rsidRPr="00D455C3">
              <w:rPr>
                <w:rFonts w:ascii="Helvetica Neue" w:hAnsi="Helvetica Neue"/>
                <w:iCs/>
                <w:noProof/>
                <w:color w:val="000000"/>
                <w:sz w:val="15"/>
                <w:szCs w:val="15"/>
                <w:vertAlign w:val="superscript"/>
              </w:rPr>
              <w:fldChar w:fldCharType="end"/>
            </w:r>
          </w:p>
          <w:p w14:paraId="5E4D9E6B" w14:textId="77777777" w:rsidR="00E24E43" w:rsidRPr="00C77C40" w:rsidRDefault="00E24E43" w:rsidP="00E24E43">
            <w:pPr>
              <w:spacing w:line="276" w:lineRule="auto"/>
              <w:rPr>
                <w:rFonts w:ascii="Helvetica Neue" w:hAnsi="Helvetica Neue"/>
                <w:iCs/>
                <w:noProof/>
                <w:color w:val="000000"/>
                <w:sz w:val="15"/>
                <w:szCs w:val="15"/>
              </w:rPr>
            </w:pPr>
            <w:r w:rsidRPr="00C77C40">
              <w:rPr>
                <w:rFonts w:ascii="Helvetica Neue" w:hAnsi="Helvetica Neue"/>
                <w:iCs/>
                <w:noProof/>
                <w:color w:val="000000"/>
                <w:sz w:val="15"/>
                <w:szCs w:val="15"/>
              </w:rPr>
              <w:t>PROMIS-29 score</w:t>
            </w:r>
          </w:p>
          <w:p w14:paraId="62C3622F"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kcal</w:t>
            </w:r>
            <w:r w:rsidRPr="005D1E89">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02471A88"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3CBA46D9" w14:textId="77777777" w:rsidR="00E24E43" w:rsidRPr="005C6854" w:rsidRDefault="00E24E43" w:rsidP="00E24E43">
            <w:pPr>
              <w:spacing w:line="276" w:lineRule="auto"/>
              <w:jc w:val="center"/>
              <w:rPr>
                <w:rFonts w:ascii="Helvetica Neue" w:hAnsi="Helvetica Neue"/>
                <w:b/>
                <w:bCs/>
                <w:color w:val="000000" w:themeColor="text1"/>
                <w:sz w:val="16"/>
                <w:szCs w:val="16"/>
              </w:rPr>
            </w:pPr>
            <w:r w:rsidRPr="005C6854">
              <w:rPr>
                <w:rFonts w:ascii="Helvetica Neue" w:hAnsi="Helvetica Neue"/>
                <w:b/>
                <w:bCs/>
                <w:color w:val="000000" w:themeColor="text1"/>
                <w:sz w:val="16"/>
                <w:szCs w:val="16"/>
              </w:rPr>
              <w:lastRenderedPageBreak/>
              <w:t>Digoxin prescription</w:t>
            </w:r>
          </w:p>
        </w:tc>
        <w:tc>
          <w:tcPr>
            <w:tcW w:w="1418" w:type="dxa"/>
            <w:tcBorders>
              <w:top w:val="single" w:sz="8" w:space="0" w:color="auto"/>
              <w:left w:val="nil"/>
              <w:right w:val="nil"/>
            </w:tcBorders>
          </w:tcPr>
          <w:p w14:paraId="176B72F4" w14:textId="77777777" w:rsidR="00E24E43" w:rsidRDefault="00E24E43" w:rsidP="00E24E43">
            <w:pPr>
              <w:spacing w:line="276" w:lineRule="auto"/>
              <w:rPr>
                <w:rFonts w:ascii="Helvetica Neue" w:hAnsi="Helvetica Neue"/>
                <w:i/>
                <w:iCs/>
                <w:color w:val="000000"/>
                <w:sz w:val="15"/>
                <w:szCs w:val="15"/>
              </w:rPr>
            </w:pPr>
          </w:p>
          <w:p w14:paraId="593BC115" w14:textId="1025AAD3" w:rsidR="00E24E43" w:rsidRPr="00C77C40" w:rsidRDefault="00E24E43" w:rsidP="00E24E43">
            <w:pPr>
              <w:spacing w:line="276" w:lineRule="auto"/>
              <w:ind w:left="175"/>
              <w:rPr>
                <w:rFonts w:ascii="Helvetica Neue" w:hAnsi="Helvetica Neue"/>
                <w:i/>
                <w:iCs/>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513CC387" w14:textId="485E003B" w:rsidR="00E24E43" w:rsidRPr="00C77C40" w:rsidRDefault="00E24E43" w:rsidP="00E24E43">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(Corvera-Tindel et al., 2004)</w:t>
            </w:r>
            <w:r w:rsidRPr="00D455C3">
              <w:rPr>
                <w:rFonts w:ascii="Helvetica Neue" w:hAnsi="Helvetica Neue"/>
                <w:color w:val="000000" w:themeColor="text1"/>
                <w:sz w:val="15"/>
                <w:szCs w:val="15"/>
                <w:vertAlign w:val="superscript"/>
              </w:rPr>
              <w:fldChar w:fldCharType="end"/>
            </w:r>
          </w:p>
        </w:tc>
      </w:tr>
      <w:tr w:rsidR="00E24E43" w:rsidRPr="004B7867" w14:paraId="785E1A66"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7CD17F50" w14:textId="77777777" w:rsidR="00E24E43" w:rsidRPr="001B48A4" w:rsidRDefault="00E24E43" w:rsidP="00E24E43">
            <w:pPr>
              <w:spacing w:line="276" w:lineRule="auto"/>
              <w:jc w:val="center"/>
              <w:rPr>
                <w:rFonts w:ascii="Helvetica Neue" w:hAnsi="Helvetica Neue"/>
                <w:color w:val="FF0000"/>
                <w:sz w:val="16"/>
                <w:szCs w:val="16"/>
              </w:rPr>
            </w:pPr>
          </w:p>
        </w:tc>
        <w:tc>
          <w:tcPr>
            <w:tcW w:w="1418" w:type="dxa"/>
            <w:tcBorders>
              <w:left w:val="nil"/>
              <w:bottom w:val="single" w:sz="8" w:space="0" w:color="auto"/>
              <w:right w:val="nil"/>
            </w:tcBorders>
          </w:tcPr>
          <w:p w14:paraId="10170C44" w14:textId="77777777" w:rsidR="00E24E43" w:rsidRDefault="00E24E43" w:rsidP="00E24E43">
            <w:pPr>
              <w:spacing w:line="276" w:lineRule="auto"/>
              <w:rPr>
                <w:rFonts w:ascii="Helvetica Neue" w:hAnsi="Helvetica Neue"/>
                <w:i/>
                <w:iCs/>
                <w:color w:val="000000"/>
                <w:sz w:val="15"/>
                <w:szCs w:val="15"/>
              </w:rPr>
            </w:pPr>
          </w:p>
          <w:p w14:paraId="7CD6B1C3" w14:textId="5F3E353D" w:rsidR="00E24E43" w:rsidRPr="00C77C40" w:rsidRDefault="00E24E43" w:rsidP="00E24E43">
            <w:pPr>
              <w:spacing w:line="276" w:lineRule="auto"/>
              <w:ind w:left="175"/>
              <w:rPr>
                <w:rFonts w:ascii="Helvetica Neue" w:hAnsi="Helvetica Neue"/>
                <w:i/>
                <w:iCs/>
                <w:color w:val="000000" w:themeColor="text1"/>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0C0E0AD7" w14:textId="646B20D0" w:rsidR="00E24E43" w:rsidRPr="00C77C40" w:rsidRDefault="00E24E43" w:rsidP="00E24E43">
            <w:pPr>
              <w:spacing w:line="276" w:lineRule="auto"/>
              <w:ind w:left="175"/>
              <w:rPr>
                <w:rFonts w:ascii="Helvetica Neue" w:hAnsi="Helvetica Neue"/>
                <w:i/>
                <w:iCs/>
                <w:color w:val="FF0000"/>
                <w:sz w:val="15"/>
                <w:szCs w:val="15"/>
              </w:rPr>
            </w:pPr>
            <w:r w:rsidRPr="00C77C40">
              <w:rPr>
                <w:rFonts w:ascii="Helvetica Neue" w:hAnsi="Helvetica Neue"/>
                <w:i/>
                <w:iCs/>
                <w:color w:val="000000" w:themeColor="text1"/>
                <w:sz w:val="15"/>
                <w:szCs w:val="15"/>
              </w:rPr>
              <w:t>--</w:t>
            </w:r>
          </w:p>
        </w:tc>
      </w:tr>
      <w:tr w:rsidR="00E24E43" w:rsidRPr="004B7867" w14:paraId="4F47BBEB" w14:textId="77777777" w:rsidTr="00E24E43">
        <w:trPr>
          <w:trHeight w:val="260"/>
        </w:trPr>
        <w:tc>
          <w:tcPr>
            <w:tcW w:w="3109" w:type="dxa"/>
            <w:vMerge w:val="restart"/>
            <w:tcBorders>
              <w:top w:val="single" w:sz="8" w:space="0" w:color="auto"/>
              <w:left w:val="single" w:sz="8" w:space="0" w:color="auto"/>
              <w:bottom w:val="single" w:sz="8" w:space="0" w:color="auto"/>
            </w:tcBorders>
            <w:shd w:val="clear" w:color="auto" w:fill="auto"/>
            <w:noWrap/>
            <w:vAlign w:val="center"/>
            <w:hideMark/>
          </w:tcPr>
          <w:p w14:paraId="4D27C2C0" w14:textId="77777777" w:rsidR="00E24E43" w:rsidRPr="004B7867" w:rsidRDefault="00E24E43" w:rsidP="00E24E43">
            <w:pPr>
              <w:spacing w:line="276" w:lineRule="auto"/>
              <w:jc w:val="center"/>
              <w:rPr>
                <w:rFonts w:ascii="Helvetica Neue" w:hAnsi="Helvetica Neue"/>
                <w:b/>
                <w:bCs/>
                <w:color w:val="000000"/>
                <w:sz w:val="16"/>
                <w:szCs w:val="16"/>
              </w:rPr>
            </w:pPr>
            <w:r>
              <w:rPr>
                <w:rFonts w:ascii="Helvetica Neue" w:hAnsi="Helvetica Neue"/>
                <w:b/>
                <w:bCs/>
                <w:color w:val="000000"/>
                <w:sz w:val="16"/>
                <w:szCs w:val="16"/>
              </w:rPr>
              <w:t>D</w:t>
            </w:r>
            <w:r w:rsidRPr="00C60CA5">
              <w:rPr>
                <w:rFonts w:ascii="Helvetica Neue" w:hAnsi="Helvetica Neue"/>
                <w:b/>
                <w:bCs/>
                <w:color w:val="000000"/>
                <w:sz w:val="16"/>
                <w:szCs w:val="16"/>
              </w:rPr>
              <w:t>oppler estimated filling pressure</w:t>
            </w:r>
          </w:p>
        </w:tc>
        <w:tc>
          <w:tcPr>
            <w:tcW w:w="1418" w:type="dxa"/>
            <w:tcBorders>
              <w:top w:val="single" w:sz="8" w:space="0" w:color="auto"/>
              <w:left w:val="nil"/>
              <w:bottom w:val="dotted" w:sz="4" w:space="0" w:color="auto"/>
              <w:right w:val="nil"/>
            </w:tcBorders>
          </w:tcPr>
          <w:p w14:paraId="325A4904" w14:textId="77777777" w:rsidR="00E24E43" w:rsidRDefault="00E24E43" w:rsidP="00E24E43">
            <w:pPr>
              <w:spacing w:line="276" w:lineRule="auto"/>
              <w:rPr>
                <w:rFonts w:ascii="Helvetica Neue" w:hAnsi="Helvetica Neue"/>
                <w:i/>
                <w:iCs/>
                <w:color w:val="000000"/>
                <w:sz w:val="15"/>
                <w:szCs w:val="15"/>
              </w:rPr>
            </w:pPr>
          </w:p>
          <w:p w14:paraId="50B4B5C7" w14:textId="4CAFDBC8" w:rsidR="00E24E43" w:rsidRPr="00F34A7B" w:rsidRDefault="00E24E43" w:rsidP="00E24E43">
            <w:pPr>
              <w:spacing w:line="276" w:lineRule="auto"/>
              <w:ind w:left="175"/>
              <w:rPr>
                <w:rFonts w:ascii="Helvetica Neue" w:hAnsi="Helvetica Neue"/>
                <w:i/>
                <w:iCs/>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096717CB" w14:textId="536E7CC0" w:rsidR="00E24E43" w:rsidRPr="00C77C40" w:rsidRDefault="00E24E43" w:rsidP="00E24E43">
            <w:pPr>
              <w:spacing w:line="276" w:lineRule="auto"/>
              <w:ind w:left="175"/>
              <w:rPr>
                <w:rFonts w:ascii="Helvetica Neue" w:hAnsi="Helvetica Neue"/>
                <w:i/>
                <w:iCs/>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(Snipelisky et al., 2017)</w:t>
            </w:r>
            <w:r w:rsidRPr="00D455C3">
              <w:rPr>
                <w:rFonts w:ascii="Helvetica Neue" w:hAnsi="Helvetica Neue"/>
                <w:i/>
                <w:iCs/>
                <w:color w:val="000000"/>
                <w:sz w:val="15"/>
                <w:szCs w:val="15"/>
                <w:vertAlign w:val="superscript"/>
              </w:rPr>
              <w:fldChar w:fldCharType="end"/>
            </w:r>
          </w:p>
        </w:tc>
      </w:tr>
      <w:tr w:rsidR="00E24E43" w:rsidRPr="004B7867" w14:paraId="30BC5709"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0E00FD5E"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118F6821" w14:textId="77777777" w:rsidR="00E24E43" w:rsidRDefault="00E24E43" w:rsidP="00E24E43">
            <w:pPr>
              <w:spacing w:line="276" w:lineRule="auto"/>
              <w:rPr>
                <w:rFonts w:ascii="Helvetica Neue" w:hAnsi="Helvetica Neue"/>
                <w:i/>
                <w:iCs/>
                <w:color w:val="000000"/>
                <w:sz w:val="15"/>
                <w:szCs w:val="15"/>
              </w:rPr>
            </w:pPr>
          </w:p>
          <w:p w14:paraId="246F0291" w14:textId="459A7B53" w:rsidR="00E24E43" w:rsidRPr="00C77C40" w:rsidRDefault="00E24E43" w:rsidP="00E24E43">
            <w:pPr>
              <w:spacing w:line="276" w:lineRule="auto"/>
              <w:rPr>
                <w:rFonts w:ascii="Helvetica Neue" w:hAnsi="Helvetica Neue"/>
                <w:i/>
                <w:iCs/>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5704AE34" w14:textId="3FAE7FF0"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E24E43" w:rsidRPr="004B7867" w14:paraId="32E58362"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4463C80A"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Dysphoria</w:t>
            </w:r>
          </w:p>
        </w:tc>
        <w:tc>
          <w:tcPr>
            <w:tcW w:w="1418" w:type="dxa"/>
            <w:tcBorders>
              <w:top w:val="single" w:sz="8" w:space="0" w:color="auto"/>
              <w:left w:val="nil"/>
              <w:right w:val="nil"/>
            </w:tcBorders>
          </w:tcPr>
          <w:p w14:paraId="257F09DE" w14:textId="77777777" w:rsidR="00E24E43" w:rsidRDefault="00E24E43" w:rsidP="00E24E43">
            <w:pPr>
              <w:spacing w:line="276" w:lineRule="auto"/>
              <w:rPr>
                <w:rFonts w:ascii="Helvetica Neue" w:hAnsi="Helvetica Neue"/>
                <w:i/>
                <w:iCs/>
                <w:color w:val="000000"/>
                <w:sz w:val="15"/>
                <w:szCs w:val="15"/>
              </w:rPr>
            </w:pPr>
          </w:p>
          <w:p w14:paraId="20B09029" w14:textId="15AA4585" w:rsidR="00E24E43" w:rsidRPr="00C77C40" w:rsidRDefault="00E24E43" w:rsidP="00E24E43">
            <w:pPr>
              <w:spacing w:line="276" w:lineRule="auto"/>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42FE0452" w14:textId="51C22920" w:rsidR="00E24E43" w:rsidRPr="00C77C40" w:rsidRDefault="00E24E43" w:rsidP="00E24E43">
            <w:pPr>
              <w:spacing w:line="276" w:lineRule="auto"/>
              <w:rPr>
                <w:rFonts w:ascii="Helvetica Neue" w:hAnsi="Helvetica Neue"/>
                <w:color w:val="000000"/>
                <w:sz w:val="15"/>
                <w:szCs w:val="15"/>
              </w:rPr>
            </w:pPr>
            <w:r w:rsidRPr="00C77C40">
              <w:rPr>
                <w:rFonts w:ascii="Helvetica Neue" w:hAnsi="Helvetica Neue"/>
                <w:color w:val="000000"/>
                <w:sz w:val="15"/>
                <w:szCs w:val="15"/>
              </w:rPr>
              <w:t>MAACL emotional dysphoria score</w:t>
            </w:r>
          </w:p>
          <w:p w14:paraId="25F88BB7" w14:textId="77777777" w:rsidR="00E24E43" w:rsidRPr="005D1E89"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Compliant vs non-compliant with exercise prescription</w:t>
            </w:r>
            <w:r w:rsidRPr="004E2F98">
              <w:rPr>
                <w:rFonts w:ascii="Helvetica Neue" w:hAnsi="Helvetica Neue"/>
                <w:i/>
                <w:iCs/>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sz w:val="15"/>
                <w:szCs w:val="15"/>
                <w:vertAlign w:val="superscript"/>
              </w:rPr>
              <w:fldChar w:fldCharType="separate"/>
            </w:r>
            <w:r w:rsidRPr="00345AA3">
              <w:rPr>
                <w:rFonts w:ascii="Helvetica Neue" w:hAnsi="Helvetica Neue"/>
                <w:color w:val="000000"/>
                <w:sz w:val="15"/>
                <w:szCs w:val="15"/>
              </w:rPr>
              <w:t>(Corvera-Tindel et al., 2004)</w:t>
            </w:r>
            <w:r w:rsidRPr="00D455C3">
              <w:rPr>
                <w:rFonts w:ascii="Helvetica Neue" w:hAnsi="Helvetica Neue"/>
                <w:color w:val="000000"/>
                <w:sz w:val="15"/>
                <w:szCs w:val="15"/>
                <w:vertAlign w:val="superscript"/>
              </w:rPr>
              <w:fldChar w:fldCharType="end"/>
            </w:r>
          </w:p>
        </w:tc>
      </w:tr>
      <w:tr w:rsidR="00E24E43" w:rsidRPr="004B7867" w14:paraId="10D58EAD"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29EE035F"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4039B7D0" w14:textId="77777777" w:rsidR="00E24E43" w:rsidRDefault="00E24E43" w:rsidP="00E24E43">
            <w:pPr>
              <w:spacing w:line="276" w:lineRule="auto"/>
              <w:rPr>
                <w:rFonts w:ascii="Helvetica Neue" w:hAnsi="Helvetica Neue"/>
                <w:i/>
                <w:iCs/>
                <w:color w:val="000000"/>
                <w:sz w:val="15"/>
                <w:szCs w:val="15"/>
              </w:rPr>
            </w:pPr>
          </w:p>
          <w:p w14:paraId="355B8F00" w14:textId="014D7EC2" w:rsidR="00E24E43" w:rsidRPr="00C77C40" w:rsidRDefault="00E24E43" w:rsidP="00E24E43">
            <w:pPr>
              <w:spacing w:line="276" w:lineRule="auto"/>
              <w:rPr>
                <w:rFonts w:ascii="Helvetica Neue" w:hAnsi="Helvetica Neue"/>
                <w:i/>
                <w:iCs/>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2B0412E7" w14:textId="30973F13" w:rsidR="00E24E43" w:rsidRPr="00C77C40" w:rsidRDefault="00E24E43" w:rsidP="00E24E43">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E24E43" w:rsidRPr="004B7867" w14:paraId="08409B87" w14:textId="77777777" w:rsidTr="00E24E43">
        <w:trPr>
          <w:trHeight w:val="1938"/>
        </w:trPr>
        <w:tc>
          <w:tcPr>
            <w:tcW w:w="3109" w:type="dxa"/>
            <w:vMerge w:val="restart"/>
            <w:tcBorders>
              <w:top w:val="single" w:sz="8" w:space="0" w:color="auto"/>
              <w:left w:val="single" w:sz="8" w:space="0" w:color="auto"/>
            </w:tcBorders>
            <w:shd w:val="clear" w:color="auto" w:fill="auto"/>
            <w:noWrap/>
            <w:vAlign w:val="center"/>
            <w:hideMark/>
          </w:tcPr>
          <w:p w14:paraId="6BCF344C"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Education</w:t>
            </w:r>
          </w:p>
        </w:tc>
        <w:tc>
          <w:tcPr>
            <w:tcW w:w="1418" w:type="dxa"/>
            <w:tcBorders>
              <w:top w:val="single" w:sz="8" w:space="0" w:color="auto"/>
              <w:left w:val="nil"/>
              <w:right w:val="nil"/>
            </w:tcBorders>
          </w:tcPr>
          <w:p w14:paraId="072F4B34" w14:textId="77777777" w:rsidR="00E24E43" w:rsidRDefault="00E24E43" w:rsidP="00E24E43">
            <w:pPr>
              <w:spacing w:line="276" w:lineRule="auto"/>
              <w:rPr>
                <w:rFonts w:ascii="Helvetica Neue" w:hAnsi="Helvetica Neue"/>
                <w:i/>
                <w:iCs/>
                <w:color w:val="000000"/>
                <w:sz w:val="15"/>
                <w:szCs w:val="15"/>
              </w:rPr>
            </w:pPr>
          </w:p>
          <w:p w14:paraId="024B2AE6" w14:textId="3C64B93F" w:rsidR="00E24E43" w:rsidRPr="00C77C40" w:rsidRDefault="00E24E43" w:rsidP="00E24E43">
            <w:pPr>
              <w:spacing w:line="276" w:lineRule="auto"/>
              <w:rPr>
                <w:rFonts w:ascii="Helvetica Neue" w:hAnsi="Helvetica Neue"/>
                <w:color w:val="000000" w:themeColor="text1"/>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07164352" w14:textId="1489B756" w:rsidR="00E24E43" w:rsidRPr="00C77C40" w:rsidRDefault="00E24E43" w:rsidP="00E24E43">
            <w:pPr>
              <w:spacing w:line="276" w:lineRule="auto"/>
              <w:rPr>
                <w:rFonts w:ascii="Helvetica Neue" w:hAnsi="Helvetica Neue"/>
                <w:color w:val="000000" w:themeColor="text1"/>
                <w:sz w:val="15"/>
                <w:szCs w:val="15"/>
              </w:rPr>
            </w:pPr>
            <w:r w:rsidRPr="00C77C40">
              <w:rPr>
                <w:rFonts w:ascii="Helvetica Neue" w:hAnsi="Helvetica Neue"/>
                <w:color w:val="000000" w:themeColor="text1"/>
                <w:sz w:val="15"/>
                <w:szCs w:val="15"/>
              </w:rPr>
              <w:t>Education above junior</w:t>
            </w:r>
          </w:p>
          <w:p w14:paraId="7C215011" w14:textId="77777777" w:rsidR="00E24E43" w:rsidRPr="00C77C40" w:rsidRDefault="00E24E43" w:rsidP="00E24E43">
            <w:pPr>
              <w:spacing w:line="276" w:lineRule="auto"/>
              <w:ind w:left="175"/>
              <w:rPr>
                <w:rFonts w:ascii="Helvetica Neue" w:hAnsi="Helvetica Neue"/>
                <w:color w:val="000000" w:themeColor="text1"/>
                <w:sz w:val="15"/>
                <w:szCs w:val="15"/>
              </w:rPr>
            </w:pPr>
            <w:r w:rsidRPr="00C77C40">
              <w:rPr>
                <w:rFonts w:ascii="Helvetica Neue" w:hAnsi="Helvetica Neue"/>
                <w:i/>
                <w:iCs/>
                <w:color w:val="000000" w:themeColor="text1"/>
                <w:sz w:val="15"/>
                <w:szCs w:val="15"/>
              </w:rPr>
              <w:t>Energy expenditure</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(Chien et al., 2014)</w:t>
            </w:r>
            <w:r w:rsidRPr="00D455C3">
              <w:rPr>
                <w:rFonts w:ascii="Helvetica Neue" w:hAnsi="Helvetica Neue"/>
                <w:i/>
                <w:iCs/>
                <w:color w:val="000000" w:themeColor="text1"/>
                <w:sz w:val="15"/>
                <w:szCs w:val="15"/>
                <w:vertAlign w:val="superscript"/>
              </w:rPr>
              <w:fldChar w:fldCharType="end"/>
            </w:r>
          </w:p>
          <w:p w14:paraId="25098D9F" w14:textId="77777777" w:rsidR="00E24E43" w:rsidRPr="00C77C40" w:rsidRDefault="00E24E43" w:rsidP="00E24E43">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College or over</w:t>
            </w:r>
          </w:p>
          <w:p w14:paraId="7A8AC089" w14:textId="77777777" w:rsidR="00E24E43" w:rsidRPr="00C77C40" w:rsidRDefault="00E24E43" w:rsidP="00E24E43">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Energy expenditure MET/min/week</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w:t>
            </w:r>
            <w:r w:rsidRPr="00D455C3">
              <w:rPr>
                <w:rFonts w:ascii="Helvetica Neue" w:hAnsi="Helvetica Neue"/>
                <w:i/>
                <w:iCs/>
                <w:color w:val="000000" w:themeColor="text1"/>
                <w:sz w:val="15"/>
                <w:szCs w:val="15"/>
                <w:vertAlign w:val="superscript"/>
              </w:rPr>
              <w:fldChar w:fldCharType="end"/>
            </w:r>
          </w:p>
          <w:p w14:paraId="38093551" w14:textId="77777777" w:rsidR="00E24E43" w:rsidRPr="00FF3A1C" w:rsidRDefault="00E24E43" w:rsidP="00E24E43">
            <w:pPr>
              <w:spacing w:line="276" w:lineRule="auto"/>
              <w:rPr>
                <w:rFonts w:ascii="Helvetica Neue" w:hAnsi="Helvetica Neue"/>
                <w:i/>
                <w:iCs/>
                <w:sz w:val="15"/>
                <w:szCs w:val="15"/>
              </w:rPr>
            </w:pPr>
            <w:r w:rsidRPr="00FF3A1C">
              <w:rPr>
                <w:rFonts w:ascii="Helvetica Neue" w:hAnsi="Helvetica Neue"/>
                <w:sz w:val="15"/>
                <w:szCs w:val="15"/>
              </w:rPr>
              <w:t>College or over</w:t>
            </w:r>
          </w:p>
          <w:p w14:paraId="544F2D7B" w14:textId="77777777" w:rsidR="00E24E43" w:rsidRPr="00FF3A1C" w:rsidRDefault="00E24E43" w:rsidP="00E24E43">
            <w:pPr>
              <w:spacing w:line="276" w:lineRule="auto"/>
              <w:ind w:left="175"/>
              <w:rPr>
                <w:rFonts w:ascii="Helvetica Neue" w:hAnsi="Helvetica Neue"/>
                <w:i/>
                <w:iCs/>
                <w:sz w:val="15"/>
                <w:szCs w:val="15"/>
              </w:rPr>
            </w:pPr>
            <w:r w:rsidRPr="00FF3A1C">
              <w:rPr>
                <w:rFonts w:ascii="Helvetica Neue" w:hAnsi="Helvetica Neue"/>
                <w:i/>
                <w:iCs/>
                <w:sz w:val="16"/>
                <w:szCs w:val="16"/>
              </w:rPr>
              <w:t>Compliance rate</w:t>
            </w:r>
            <w:r w:rsidRPr="00D455C3">
              <w:rPr>
                <w:rFonts w:ascii="Helvetica Neue" w:hAnsi="Helvetica Neue"/>
                <w:sz w:val="16"/>
                <w:szCs w:val="16"/>
                <w:vertAlign w:val="superscript"/>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(L. S. Evangelista et al., 2001)</w:t>
            </w:r>
            <w:r w:rsidRPr="00D455C3">
              <w:rPr>
                <w:rFonts w:ascii="Helvetica Neue" w:hAnsi="Helvetica Neue"/>
                <w:i/>
                <w:iCs/>
                <w:sz w:val="15"/>
                <w:szCs w:val="15"/>
                <w:vertAlign w:val="superscript"/>
              </w:rPr>
              <w:fldChar w:fldCharType="end"/>
            </w:r>
          </w:p>
          <w:p w14:paraId="7C90A557" w14:textId="77777777" w:rsidR="00E24E43" w:rsidRPr="00C77C40" w:rsidRDefault="00E24E43" w:rsidP="00E24E43">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Post-secondary degree</w:t>
            </w:r>
          </w:p>
          <w:p w14:paraId="5423FCC1" w14:textId="77777777" w:rsidR="00E24E43" w:rsidRPr="00C77C40" w:rsidRDefault="00E24E43" w:rsidP="00E24E43">
            <w:pPr>
              <w:spacing w:line="276" w:lineRule="auto"/>
              <w:rPr>
                <w:rFonts w:ascii="Helvetica Neue" w:hAnsi="Helvetica Neue"/>
                <w:i/>
                <w:iCs/>
                <w:color w:val="FF0000"/>
                <w:sz w:val="15"/>
                <w:szCs w:val="15"/>
              </w:rPr>
            </w:pPr>
            <w:r w:rsidRPr="00C77C40">
              <w:rPr>
                <w:rFonts w:ascii="Helvetica Neue" w:hAnsi="Helvetica Neue"/>
                <w:i/>
                <w:iCs/>
                <w:color w:val="000000"/>
                <w:sz w:val="15"/>
                <w:szCs w:val="15"/>
              </w:rPr>
              <w:t>Energy expenditure, kcal</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01429D06"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319B40BE"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7F2377EE" w14:textId="77777777" w:rsidR="00E24E43" w:rsidRDefault="00E24E43" w:rsidP="00E24E43">
            <w:pPr>
              <w:spacing w:line="276" w:lineRule="auto"/>
              <w:rPr>
                <w:rFonts w:ascii="Helvetica Neue" w:hAnsi="Helvetica Neue"/>
                <w:i/>
                <w:iCs/>
                <w:color w:val="000000"/>
                <w:sz w:val="15"/>
                <w:szCs w:val="15"/>
              </w:rPr>
            </w:pPr>
          </w:p>
          <w:p w14:paraId="1B8D499C" w14:textId="0EBCE1B2" w:rsidR="00E24E43" w:rsidRPr="00C77C40" w:rsidRDefault="00E24E43" w:rsidP="00E24E43">
            <w:pPr>
              <w:rPr>
                <w:rFonts w:ascii="Helvetica Neue" w:hAnsi="Helvetica Neue"/>
                <w:color w:val="000000" w:themeColor="text1"/>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2C0F836E" w14:textId="18B96611" w:rsidR="00E24E43" w:rsidRPr="00C77C40" w:rsidRDefault="00E24E43" w:rsidP="00E24E43">
            <w:pPr>
              <w:rPr>
                <w:rFonts w:ascii="Helvetica Neue" w:hAnsi="Helvetica Neue"/>
                <w:i/>
                <w:iCs/>
                <w:color w:val="000000" w:themeColor="text1"/>
                <w:sz w:val="15"/>
                <w:szCs w:val="15"/>
              </w:rPr>
            </w:pPr>
            <w:r w:rsidRPr="00C77C40">
              <w:rPr>
                <w:rFonts w:ascii="Helvetica Neue" w:hAnsi="Helvetica Neue"/>
                <w:color w:val="000000" w:themeColor="text1"/>
                <w:sz w:val="15"/>
                <w:szCs w:val="15"/>
              </w:rPr>
              <w:t>Years</w:t>
            </w:r>
          </w:p>
          <w:p w14:paraId="6A31D499" w14:textId="77777777" w:rsidR="00E24E43" w:rsidRPr="00C77C40" w:rsidRDefault="00E24E43" w:rsidP="00E24E43">
            <w:pPr>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Accelerometer, steps per day</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(Alosco et al., 2012)</w:t>
            </w:r>
            <w:r w:rsidRPr="00D455C3">
              <w:rPr>
                <w:rFonts w:ascii="Helvetica Neue" w:hAnsi="Helvetica Neue"/>
                <w:i/>
                <w:iCs/>
                <w:color w:val="000000" w:themeColor="text1"/>
                <w:sz w:val="15"/>
                <w:szCs w:val="15"/>
                <w:vertAlign w:val="superscript"/>
              </w:rPr>
              <w:fldChar w:fldCharType="end"/>
            </w:r>
          </w:p>
        </w:tc>
      </w:tr>
      <w:tr w:rsidR="00E24E43" w:rsidRPr="004B7867" w14:paraId="367EDB0E"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738EB336" w14:textId="77777777" w:rsidR="00E24E43" w:rsidRPr="005010CC" w:rsidRDefault="00E24E43" w:rsidP="00E24E43">
            <w:pPr>
              <w:spacing w:line="276" w:lineRule="auto"/>
              <w:jc w:val="center"/>
              <w:rPr>
                <w:rFonts w:ascii="Helvetica Neue" w:hAnsi="Helvetica Neue"/>
                <w:b/>
                <w:bCs/>
                <w:color w:val="FF0000"/>
                <w:sz w:val="16"/>
                <w:szCs w:val="16"/>
              </w:rPr>
            </w:pPr>
            <w:r w:rsidRPr="004335B5">
              <w:rPr>
                <w:rFonts w:ascii="Helvetica Neue" w:hAnsi="Helvetica Neue"/>
                <w:b/>
                <w:bCs/>
                <w:color w:val="000000" w:themeColor="text1"/>
                <w:sz w:val="16"/>
                <w:szCs w:val="16"/>
              </w:rPr>
              <w:t>Employment</w:t>
            </w:r>
          </w:p>
        </w:tc>
        <w:tc>
          <w:tcPr>
            <w:tcW w:w="1418" w:type="dxa"/>
            <w:tcBorders>
              <w:top w:val="single" w:sz="8" w:space="0" w:color="auto"/>
              <w:left w:val="nil"/>
              <w:right w:val="nil"/>
            </w:tcBorders>
          </w:tcPr>
          <w:p w14:paraId="627ADC79" w14:textId="77777777" w:rsidR="00E24E43" w:rsidRDefault="00E24E43" w:rsidP="00E24E43">
            <w:pPr>
              <w:spacing w:line="276" w:lineRule="auto"/>
              <w:rPr>
                <w:rFonts w:ascii="Helvetica Neue" w:hAnsi="Helvetica Neue"/>
                <w:i/>
                <w:iCs/>
                <w:color w:val="000000"/>
                <w:sz w:val="15"/>
                <w:szCs w:val="15"/>
              </w:rPr>
            </w:pPr>
          </w:p>
          <w:p w14:paraId="3D4BF232" w14:textId="1E68F0CA" w:rsidR="00E24E43" w:rsidRPr="00C77C40" w:rsidRDefault="00E24E43" w:rsidP="00E24E43">
            <w:pPr>
              <w:spacing w:line="276" w:lineRule="auto"/>
              <w:rPr>
                <w:rFonts w:ascii="Helvetica Neue" w:hAnsi="Helvetica Neue"/>
                <w:color w:val="000000" w:themeColor="text1"/>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447E1C20" w14:textId="164DAF54" w:rsidR="00E24E43" w:rsidRPr="00C77C40" w:rsidRDefault="00E24E43" w:rsidP="00E24E43">
            <w:pPr>
              <w:spacing w:line="276" w:lineRule="auto"/>
              <w:rPr>
                <w:rFonts w:ascii="Helvetica Neue" w:hAnsi="Helvetica Neue"/>
                <w:color w:val="000000" w:themeColor="text1"/>
                <w:sz w:val="15"/>
                <w:szCs w:val="15"/>
              </w:rPr>
            </w:pPr>
            <w:proofErr w:type="gramStart"/>
            <w:r w:rsidRPr="00C77C40">
              <w:rPr>
                <w:rFonts w:ascii="Helvetica Neue" w:hAnsi="Helvetica Neue"/>
                <w:color w:val="000000" w:themeColor="text1"/>
                <w:sz w:val="15"/>
                <w:szCs w:val="15"/>
              </w:rPr>
              <w:t>Yes</w:t>
            </w:r>
            <w:proofErr w:type="gramEnd"/>
            <w:r w:rsidRPr="00C77C40">
              <w:rPr>
                <w:rFonts w:ascii="Helvetica Neue" w:hAnsi="Helvetica Neue"/>
                <w:color w:val="000000" w:themeColor="text1"/>
                <w:sz w:val="15"/>
                <w:szCs w:val="15"/>
              </w:rPr>
              <w:t xml:space="preserve"> vs no</w:t>
            </w:r>
          </w:p>
          <w:p w14:paraId="3509C03B" w14:textId="77777777" w:rsidR="00E24E43" w:rsidRPr="00C77C40" w:rsidRDefault="00E24E43" w:rsidP="00E24E43">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 xml:space="preserve">Energy expenditure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 Pozehl, Mcguire, et al., 2018)</w:t>
            </w:r>
            <w:r w:rsidRPr="00D455C3">
              <w:rPr>
                <w:rFonts w:ascii="Helvetica Neue" w:hAnsi="Helvetica Neue"/>
                <w:i/>
                <w:iCs/>
                <w:color w:val="000000" w:themeColor="text1"/>
                <w:sz w:val="15"/>
                <w:szCs w:val="15"/>
                <w:vertAlign w:val="superscript"/>
              </w:rPr>
              <w:fldChar w:fldCharType="end"/>
            </w:r>
          </w:p>
        </w:tc>
      </w:tr>
      <w:tr w:rsidR="00E24E43" w:rsidRPr="004B7867" w14:paraId="332CDB17"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3BA67D34" w14:textId="77777777" w:rsidR="00E24E43" w:rsidRPr="005010CC" w:rsidRDefault="00E24E43" w:rsidP="00E24E43">
            <w:pPr>
              <w:spacing w:line="276" w:lineRule="auto"/>
              <w:jc w:val="center"/>
              <w:rPr>
                <w:rFonts w:ascii="Helvetica Neue" w:hAnsi="Helvetica Neue"/>
                <w:color w:val="FF0000"/>
                <w:sz w:val="16"/>
                <w:szCs w:val="16"/>
              </w:rPr>
            </w:pPr>
          </w:p>
        </w:tc>
        <w:tc>
          <w:tcPr>
            <w:tcW w:w="1418" w:type="dxa"/>
            <w:tcBorders>
              <w:left w:val="nil"/>
              <w:bottom w:val="single" w:sz="8" w:space="0" w:color="auto"/>
              <w:right w:val="nil"/>
            </w:tcBorders>
          </w:tcPr>
          <w:p w14:paraId="3AEA3F43" w14:textId="77777777" w:rsidR="00E24E43" w:rsidRDefault="00E24E43" w:rsidP="00E24E43">
            <w:pPr>
              <w:spacing w:line="276" w:lineRule="auto"/>
              <w:rPr>
                <w:rFonts w:ascii="Helvetica Neue" w:hAnsi="Helvetica Neue"/>
                <w:i/>
                <w:iCs/>
                <w:color w:val="000000"/>
                <w:sz w:val="15"/>
                <w:szCs w:val="15"/>
              </w:rPr>
            </w:pPr>
          </w:p>
          <w:p w14:paraId="37E5A55D" w14:textId="4789CAED" w:rsidR="00E24E43" w:rsidRPr="00C77C40" w:rsidRDefault="00E24E43" w:rsidP="00E24E43">
            <w:pPr>
              <w:spacing w:line="276" w:lineRule="auto"/>
              <w:rPr>
                <w:rFonts w:ascii="Helvetica Neue" w:hAnsi="Helvetica Neue"/>
                <w:i/>
                <w:iCs/>
                <w:color w:val="000000" w:themeColor="text1"/>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7D1E1AEA" w14:textId="25974959" w:rsidR="00E24E43" w:rsidRPr="00C77C40" w:rsidRDefault="00E24E43" w:rsidP="00E24E43">
            <w:pPr>
              <w:spacing w:line="276" w:lineRule="auto"/>
              <w:rPr>
                <w:rFonts w:ascii="Helvetica Neue" w:hAnsi="Helvetica Neue"/>
                <w:i/>
                <w:iCs/>
                <w:color w:val="FF0000"/>
                <w:sz w:val="15"/>
                <w:szCs w:val="15"/>
              </w:rPr>
            </w:pPr>
            <w:r w:rsidRPr="00C77C40">
              <w:rPr>
                <w:rFonts w:ascii="Helvetica Neue" w:hAnsi="Helvetica Neue"/>
                <w:i/>
                <w:iCs/>
                <w:color w:val="000000" w:themeColor="text1"/>
                <w:sz w:val="15"/>
                <w:szCs w:val="15"/>
              </w:rPr>
              <w:t>--</w:t>
            </w:r>
          </w:p>
        </w:tc>
      </w:tr>
      <w:tr w:rsidR="00E24E43" w:rsidRPr="004B7867" w14:paraId="66ACB2CF"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5ADDD4F9" w14:textId="77777777" w:rsidR="00E24E43" w:rsidRPr="004B7867" w:rsidRDefault="00E24E43" w:rsidP="00E24E43">
            <w:pPr>
              <w:spacing w:line="276" w:lineRule="auto"/>
              <w:ind w:left="720" w:hanging="720"/>
              <w:jc w:val="center"/>
              <w:rPr>
                <w:rFonts w:ascii="Helvetica Neue" w:hAnsi="Helvetica Neue"/>
                <w:b/>
                <w:bCs/>
                <w:color w:val="000000"/>
                <w:sz w:val="16"/>
                <w:szCs w:val="16"/>
              </w:rPr>
            </w:pPr>
            <w:r w:rsidRPr="004B7867">
              <w:rPr>
                <w:rFonts w:ascii="Helvetica Neue" w:hAnsi="Helvetica Neue"/>
                <w:b/>
                <w:bCs/>
                <w:color w:val="000000"/>
                <w:sz w:val="16"/>
                <w:szCs w:val="16"/>
              </w:rPr>
              <w:t>Ethnicity</w:t>
            </w:r>
          </w:p>
        </w:tc>
        <w:tc>
          <w:tcPr>
            <w:tcW w:w="1418" w:type="dxa"/>
            <w:tcBorders>
              <w:top w:val="single" w:sz="8" w:space="0" w:color="auto"/>
              <w:left w:val="nil"/>
              <w:right w:val="nil"/>
            </w:tcBorders>
          </w:tcPr>
          <w:p w14:paraId="796C33E9" w14:textId="77777777" w:rsidR="00E24E43" w:rsidRDefault="00E24E43" w:rsidP="00E24E43">
            <w:pPr>
              <w:spacing w:line="276" w:lineRule="auto"/>
              <w:rPr>
                <w:rFonts w:ascii="Helvetica Neue" w:hAnsi="Helvetica Neue"/>
                <w:i/>
                <w:iCs/>
                <w:color w:val="000000"/>
                <w:sz w:val="15"/>
                <w:szCs w:val="15"/>
              </w:rPr>
            </w:pPr>
          </w:p>
          <w:p w14:paraId="73BC017D" w14:textId="47106376" w:rsidR="00E24E43" w:rsidRPr="00C77C40" w:rsidRDefault="00E24E43" w:rsidP="00E24E43">
            <w:pPr>
              <w:tabs>
                <w:tab w:val="left" w:pos="175"/>
              </w:tabs>
              <w:spacing w:line="276" w:lineRule="auto"/>
              <w:ind w:left="33"/>
              <w:rPr>
                <w:rFonts w:ascii="Helvetica Neue" w:hAnsi="Helvetica Neue"/>
                <w:color w:val="000000"/>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0B404993" w14:textId="0005A5F3" w:rsidR="00E24E43" w:rsidRPr="00C77C40" w:rsidRDefault="00E24E43" w:rsidP="00E24E43">
            <w:pPr>
              <w:tabs>
                <w:tab w:val="left" w:pos="175"/>
              </w:tabs>
              <w:spacing w:line="276" w:lineRule="auto"/>
              <w:ind w:left="33"/>
              <w:rPr>
                <w:rFonts w:ascii="Helvetica Neue" w:hAnsi="Helvetica Neue"/>
                <w:color w:val="000000"/>
                <w:sz w:val="15"/>
                <w:szCs w:val="15"/>
              </w:rPr>
            </w:pPr>
            <w:r w:rsidRPr="00C77C40">
              <w:rPr>
                <w:rFonts w:ascii="Helvetica Neue" w:hAnsi="Helvetica Neue"/>
                <w:color w:val="000000"/>
                <w:sz w:val="15"/>
                <w:szCs w:val="15"/>
              </w:rPr>
              <w:t>Caucasian vs non-Caucasian</w:t>
            </w:r>
          </w:p>
          <w:p w14:paraId="3C533C35" w14:textId="77777777" w:rsidR="00E24E43" w:rsidRPr="00C77C40" w:rsidRDefault="00E24E43" w:rsidP="00E24E43">
            <w:pPr>
              <w:tabs>
                <w:tab w:val="left" w:pos="175"/>
              </w:tabs>
              <w:spacing w:line="276" w:lineRule="auto"/>
              <w:ind w:left="175"/>
              <w:rPr>
                <w:rFonts w:ascii="Helvetica Neue" w:hAnsi="Helvetica Neue"/>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(Snipelisky et al., 2017)</w:t>
            </w:r>
            <w:r w:rsidRPr="00D455C3">
              <w:rPr>
                <w:rFonts w:ascii="Helvetica Neue" w:hAnsi="Helvetica Neue"/>
                <w:i/>
                <w:iCs/>
                <w:color w:val="000000"/>
                <w:sz w:val="15"/>
                <w:szCs w:val="15"/>
                <w:vertAlign w:val="superscript"/>
              </w:rPr>
              <w:fldChar w:fldCharType="end"/>
            </w:r>
          </w:p>
          <w:p w14:paraId="603992BF" w14:textId="77777777" w:rsidR="00E24E43" w:rsidRPr="00C77C40" w:rsidRDefault="00E24E43" w:rsidP="00E24E43">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 xml:space="preserve">Energy expenditure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428AB373"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0A54A058" w14:textId="77777777" w:rsidR="00E24E43" w:rsidRPr="004B7867" w:rsidRDefault="00E24E43" w:rsidP="00E24E43">
            <w:pPr>
              <w:spacing w:line="276" w:lineRule="auto"/>
              <w:ind w:left="720" w:hanging="720"/>
              <w:jc w:val="center"/>
              <w:rPr>
                <w:rFonts w:ascii="Helvetica Neue" w:hAnsi="Helvetica Neue"/>
                <w:color w:val="000000"/>
                <w:sz w:val="16"/>
                <w:szCs w:val="16"/>
              </w:rPr>
            </w:pPr>
          </w:p>
        </w:tc>
        <w:tc>
          <w:tcPr>
            <w:tcW w:w="1418" w:type="dxa"/>
            <w:tcBorders>
              <w:left w:val="nil"/>
              <w:bottom w:val="single" w:sz="8" w:space="0" w:color="auto"/>
              <w:right w:val="nil"/>
            </w:tcBorders>
          </w:tcPr>
          <w:p w14:paraId="5AC47C68" w14:textId="77777777" w:rsidR="00E24E43" w:rsidRDefault="00E24E43" w:rsidP="00E24E43">
            <w:pPr>
              <w:spacing w:line="276" w:lineRule="auto"/>
              <w:rPr>
                <w:rFonts w:ascii="Helvetica Neue" w:hAnsi="Helvetica Neue"/>
                <w:i/>
                <w:iCs/>
                <w:color w:val="000000"/>
                <w:sz w:val="15"/>
                <w:szCs w:val="15"/>
              </w:rPr>
            </w:pPr>
          </w:p>
          <w:p w14:paraId="13B076A0" w14:textId="3EE59A1E" w:rsidR="00E24E43" w:rsidRPr="00C77C40" w:rsidRDefault="00E24E43" w:rsidP="00E24E43">
            <w:pPr>
              <w:spacing w:line="276" w:lineRule="auto"/>
              <w:ind w:left="720" w:hanging="720"/>
              <w:rPr>
                <w:rFonts w:ascii="Helvetica Neue" w:hAnsi="Helvetica Neue"/>
                <w:i/>
                <w:iCs/>
                <w:color w:val="000000"/>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6F9D603B" w14:textId="4CE221EF" w:rsidR="00E24E43" w:rsidRDefault="00E24E43" w:rsidP="00E24E43">
            <w:pPr>
              <w:spacing w:line="276" w:lineRule="auto"/>
              <w:ind w:left="720" w:hanging="720"/>
              <w:rPr>
                <w:rFonts w:ascii="Helvetica Neue" w:hAnsi="Helvetica Neue"/>
                <w:i/>
                <w:iCs/>
                <w:color w:val="000000"/>
                <w:sz w:val="15"/>
                <w:szCs w:val="15"/>
              </w:rPr>
            </w:pPr>
            <w:r w:rsidRPr="00C77C40">
              <w:rPr>
                <w:rFonts w:ascii="Helvetica Neue" w:hAnsi="Helvetica Neue"/>
                <w:i/>
                <w:iCs/>
                <w:color w:val="000000"/>
                <w:sz w:val="15"/>
                <w:szCs w:val="15"/>
              </w:rPr>
              <w:t>--</w:t>
            </w:r>
          </w:p>
          <w:p w14:paraId="235ADD8B" w14:textId="77777777" w:rsidR="00E24E43" w:rsidRPr="00C77C40" w:rsidRDefault="00E24E43" w:rsidP="00E24E43">
            <w:pPr>
              <w:tabs>
                <w:tab w:val="left" w:pos="175"/>
              </w:tabs>
              <w:spacing w:line="276" w:lineRule="auto"/>
              <w:ind w:left="33"/>
              <w:rPr>
                <w:rFonts w:ascii="Helvetica Neue" w:hAnsi="Helvetica Neue"/>
                <w:color w:val="000000"/>
                <w:sz w:val="15"/>
                <w:szCs w:val="15"/>
              </w:rPr>
            </w:pPr>
            <w:r w:rsidRPr="00C77C40">
              <w:rPr>
                <w:rFonts w:ascii="Helvetica Neue" w:hAnsi="Helvetica Neue"/>
                <w:color w:val="000000"/>
                <w:sz w:val="15"/>
                <w:szCs w:val="15"/>
              </w:rPr>
              <w:t>Caucasian vs non-Caucasian</w:t>
            </w:r>
          </w:p>
          <w:p w14:paraId="1A3CA38B" w14:textId="77777777" w:rsidR="00E24E43" w:rsidRDefault="00E24E43" w:rsidP="00E24E43">
            <w:pPr>
              <w:spacing w:line="276" w:lineRule="auto"/>
              <w:rPr>
                <w:rFonts w:ascii="Helvetica Neue" w:hAnsi="Helvetica Neue"/>
                <w:i/>
                <w:iCs/>
                <w:color w:val="000000"/>
                <w:sz w:val="15"/>
                <w:szCs w:val="15"/>
              </w:rPr>
            </w:pPr>
          </w:p>
          <w:p w14:paraId="6B980E15" w14:textId="03819BB1" w:rsidR="00E24E43" w:rsidRPr="00C77C40" w:rsidRDefault="00E24E43" w:rsidP="00E24E43">
            <w:pPr>
              <w:spacing w:line="276" w:lineRule="auto"/>
              <w:ind w:left="720" w:hanging="720"/>
              <w:rPr>
                <w:rFonts w:ascii="Helvetica Neue" w:hAnsi="Helvetica Neue"/>
                <w:i/>
                <w:iCs/>
                <w:color w:val="000000"/>
                <w:sz w:val="15"/>
                <w:szCs w:val="15"/>
              </w:rPr>
            </w:pPr>
            <w:r w:rsidRPr="00C77C40">
              <w:rPr>
                <w:rFonts w:ascii="Helvetica Neue" w:hAnsi="Helvetica Neue"/>
                <w:i/>
                <w:iCs/>
                <w:color w:val="000000"/>
                <w:sz w:val="15"/>
                <w:szCs w:val="15"/>
              </w:rPr>
              <w:t xml:space="preserve">Energy expenditure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3B3CD788"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5E130C0E" w14:textId="77777777" w:rsidR="00E24E43" w:rsidRPr="001610B4" w:rsidRDefault="00E24E43" w:rsidP="00E24E43">
            <w:pPr>
              <w:spacing w:line="276" w:lineRule="auto"/>
              <w:jc w:val="center"/>
              <w:rPr>
                <w:rFonts w:ascii="Helvetica Neue" w:hAnsi="Helvetica Neue"/>
                <w:b/>
                <w:bCs/>
                <w:color w:val="FF0000"/>
                <w:sz w:val="16"/>
                <w:szCs w:val="16"/>
              </w:rPr>
            </w:pPr>
            <w:r w:rsidRPr="00B6723D">
              <w:rPr>
                <w:rFonts w:ascii="Helvetica Neue" w:hAnsi="Helvetica Neue"/>
                <w:b/>
                <w:bCs/>
                <w:color w:val="000000" w:themeColor="text1"/>
                <w:sz w:val="16"/>
                <w:szCs w:val="16"/>
              </w:rPr>
              <w:t xml:space="preserve">HF </w:t>
            </w:r>
            <w:r>
              <w:rPr>
                <w:rFonts w:ascii="Helvetica Neue" w:hAnsi="Helvetica Neue"/>
                <w:b/>
                <w:bCs/>
                <w:color w:val="000000" w:themeColor="text1"/>
                <w:sz w:val="16"/>
                <w:szCs w:val="16"/>
              </w:rPr>
              <w:t>d</w:t>
            </w:r>
            <w:r w:rsidRPr="00B6723D">
              <w:rPr>
                <w:rFonts w:ascii="Helvetica Neue" w:hAnsi="Helvetica Neue"/>
                <w:b/>
                <w:bCs/>
                <w:color w:val="000000" w:themeColor="text1"/>
                <w:sz w:val="16"/>
                <w:szCs w:val="16"/>
              </w:rPr>
              <w:t>uration</w:t>
            </w:r>
          </w:p>
        </w:tc>
        <w:tc>
          <w:tcPr>
            <w:tcW w:w="1418" w:type="dxa"/>
            <w:tcBorders>
              <w:top w:val="single" w:sz="8" w:space="0" w:color="auto"/>
              <w:left w:val="nil"/>
              <w:right w:val="nil"/>
            </w:tcBorders>
          </w:tcPr>
          <w:p w14:paraId="6711EC30" w14:textId="77777777" w:rsidR="00E24E43" w:rsidRDefault="00E24E43" w:rsidP="00E24E43">
            <w:pPr>
              <w:spacing w:line="276" w:lineRule="auto"/>
              <w:rPr>
                <w:rFonts w:ascii="Helvetica Neue" w:hAnsi="Helvetica Neue"/>
                <w:i/>
                <w:iCs/>
                <w:color w:val="000000"/>
                <w:sz w:val="15"/>
                <w:szCs w:val="15"/>
              </w:rPr>
            </w:pPr>
          </w:p>
          <w:p w14:paraId="33199EBA" w14:textId="359EDF1B" w:rsidR="00E24E43" w:rsidRPr="00C77C40" w:rsidRDefault="00E24E43" w:rsidP="00E24E43">
            <w:pPr>
              <w:spacing w:line="276" w:lineRule="auto"/>
              <w:rPr>
                <w:rFonts w:ascii="Helvetica Neue" w:hAnsi="Helvetica Neue"/>
                <w:color w:val="000000" w:themeColor="text1"/>
                <w:sz w:val="15"/>
                <w:szCs w:val="15"/>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1BC267A7" w14:textId="73C3A18D" w:rsidR="00E24E43" w:rsidRPr="00C77C40" w:rsidRDefault="00E24E43" w:rsidP="00E24E43">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Years</w:t>
            </w:r>
          </w:p>
          <w:p w14:paraId="0C0F4118" w14:textId="77777777" w:rsidR="00E24E43" w:rsidRPr="00C77C40" w:rsidRDefault="00E24E43" w:rsidP="00E24E43">
            <w:pPr>
              <w:spacing w:line="276" w:lineRule="auto"/>
              <w:ind w:left="175"/>
              <w:rPr>
                <w:rFonts w:ascii="Helvetica Neue" w:hAnsi="Helvetica Neue"/>
                <w:i/>
                <w:iCs/>
                <w:color w:val="FF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(Corvera-Tindel et al., 2004)</w:t>
            </w:r>
            <w:r w:rsidRPr="00D455C3">
              <w:rPr>
                <w:rFonts w:ascii="Helvetica Neue" w:hAnsi="Helvetica Neue"/>
                <w:color w:val="000000" w:themeColor="text1"/>
                <w:sz w:val="15"/>
                <w:szCs w:val="15"/>
                <w:vertAlign w:val="superscript"/>
              </w:rPr>
              <w:fldChar w:fldCharType="end"/>
            </w:r>
          </w:p>
        </w:tc>
      </w:tr>
      <w:tr w:rsidR="00E24E43" w:rsidRPr="004B7867" w14:paraId="1AF07946"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28254577" w14:textId="77777777" w:rsidR="00E24E43" w:rsidRPr="001610B4" w:rsidRDefault="00E24E43" w:rsidP="00E24E43">
            <w:pPr>
              <w:spacing w:line="276" w:lineRule="auto"/>
              <w:jc w:val="center"/>
              <w:rPr>
                <w:rFonts w:ascii="Helvetica Neue" w:hAnsi="Helvetica Neue"/>
                <w:color w:val="FF0000"/>
                <w:sz w:val="16"/>
                <w:szCs w:val="16"/>
              </w:rPr>
            </w:pPr>
          </w:p>
        </w:tc>
        <w:tc>
          <w:tcPr>
            <w:tcW w:w="1418" w:type="dxa"/>
            <w:tcBorders>
              <w:left w:val="nil"/>
              <w:bottom w:val="single" w:sz="8" w:space="0" w:color="auto"/>
              <w:right w:val="nil"/>
            </w:tcBorders>
          </w:tcPr>
          <w:p w14:paraId="2AE1D757" w14:textId="77777777" w:rsidR="00E24E43" w:rsidRDefault="00E24E43" w:rsidP="00E24E43">
            <w:pPr>
              <w:spacing w:line="276" w:lineRule="auto"/>
              <w:rPr>
                <w:rFonts w:ascii="Helvetica Neue" w:hAnsi="Helvetica Neue"/>
                <w:i/>
                <w:iCs/>
                <w:color w:val="000000"/>
                <w:sz w:val="15"/>
                <w:szCs w:val="15"/>
              </w:rPr>
            </w:pPr>
          </w:p>
          <w:p w14:paraId="6C57F0E3" w14:textId="350EF7DA" w:rsidR="00E24E43" w:rsidRPr="00C77C40" w:rsidRDefault="00E24E43" w:rsidP="00E24E43">
            <w:pPr>
              <w:spacing w:line="276" w:lineRule="auto"/>
              <w:rPr>
                <w:rFonts w:ascii="Helvetica Neue" w:hAnsi="Helvetica Neue"/>
                <w:color w:val="000000" w:themeColor="text1"/>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38E69D87" w14:textId="78EB0CD3" w:rsidR="00E24E43" w:rsidRPr="00C77C40" w:rsidRDefault="00E24E43" w:rsidP="00E24E43">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Years</w:t>
            </w:r>
          </w:p>
          <w:p w14:paraId="02361FD6" w14:textId="77777777" w:rsidR="00E24E43" w:rsidRPr="005D1E89" w:rsidRDefault="00E24E43" w:rsidP="00E24E43">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Energy expenditure tota</w:t>
            </w:r>
            <w:r>
              <w:rPr>
                <w:rFonts w:ascii="Helvetica Neue" w:hAnsi="Helvetica Neue"/>
                <w:i/>
                <w:iCs/>
                <w:color w:val="000000" w:themeColor="text1"/>
                <w:sz w:val="15"/>
                <w:szCs w:val="15"/>
              </w:rPr>
              <w:t>l</w:t>
            </w:r>
            <w:r w:rsidRPr="004E2F98">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w:t>
            </w:r>
            <w:r w:rsidRPr="00D455C3">
              <w:rPr>
                <w:rFonts w:ascii="Helvetica Neue" w:hAnsi="Helvetica Neue"/>
                <w:i/>
                <w:iCs/>
                <w:color w:val="000000" w:themeColor="text1"/>
                <w:sz w:val="15"/>
                <w:szCs w:val="15"/>
                <w:vertAlign w:val="superscript"/>
              </w:rPr>
              <w:fldChar w:fldCharType="end"/>
            </w:r>
          </w:p>
        </w:tc>
      </w:tr>
      <w:tr w:rsidR="00E24E43" w:rsidRPr="004B7867" w14:paraId="0673AE10"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16692FF3" w14:textId="77777777" w:rsidR="00E24E43" w:rsidRPr="004B7867" w:rsidRDefault="00E24E43"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HFrEF (Yes)</w:t>
            </w:r>
          </w:p>
        </w:tc>
        <w:tc>
          <w:tcPr>
            <w:tcW w:w="1418" w:type="dxa"/>
            <w:tcBorders>
              <w:top w:val="single" w:sz="8" w:space="0" w:color="auto"/>
              <w:left w:val="nil"/>
              <w:right w:val="nil"/>
            </w:tcBorders>
          </w:tcPr>
          <w:p w14:paraId="00F1EE2F" w14:textId="77777777" w:rsidR="00E24E43" w:rsidRPr="00C77C40" w:rsidRDefault="00E24E43" w:rsidP="00D94744">
            <w:pPr>
              <w:spacing w:line="276" w:lineRule="auto"/>
              <w:rPr>
                <w:rFonts w:ascii="Helvetica Neue" w:hAnsi="Helvetica Neue"/>
                <w:color w:val="000000"/>
                <w:sz w:val="15"/>
                <w:szCs w:val="15"/>
              </w:rPr>
            </w:pPr>
          </w:p>
        </w:tc>
        <w:tc>
          <w:tcPr>
            <w:tcW w:w="8793" w:type="dxa"/>
            <w:tcBorders>
              <w:top w:val="single" w:sz="8" w:space="0" w:color="auto"/>
              <w:left w:val="nil"/>
              <w:bottom w:val="dotted" w:sz="4" w:space="0" w:color="auto"/>
              <w:right w:val="single" w:sz="8" w:space="0" w:color="auto"/>
            </w:tcBorders>
            <w:shd w:val="pct10" w:color="auto" w:fill="auto"/>
            <w:vAlign w:val="center"/>
          </w:tcPr>
          <w:p w14:paraId="5C61359F" w14:textId="04C12696" w:rsidR="00E24E43" w:rsidRPr="00C77C40" w:rsidRDefault="00E24E43" w:rsidP="00D94744">
            <w:pPr>
              <w:spacing w:line="276" w:lineRule="auto"/>
              <w:rPr>
                <w:rFonts w:ascii="Helvetica Neue" w:hAnsi="Helvetica Neue"/>
                <w:color w:val="000000"/>
                <w:sz w:val="15"/>
                <w:szCs w:val="15"/>
              </w:rPr>
            </w:pPr>
            <w:r w:rsidRPr="00C77C40">
              <w:rPr>
                <w:rFonts w:ascii="Helvetica Neue" w:hAnsi="Helvetica Neue"/>
                <w:color w:val="000000"/>
                <w:sz w:val="15"/>
                <w:szCs w:val="15"/>
              </w:rPr>
              <w:t>HFrEF vs HFpEF</w:t>
            </w:r>
          </w:p>
          <w:p w14:paraId="18530562" w14:textId="77777777" w:rsidR="00E24E43" w:rsidRPr="00C77C40" w:rsidRDefault="00E24E43"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kcal</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E24E43" w:rsidRPr="004B7867" w14:paraId="11557288" w14:textId="77777777" w:rsidTr="00E24E43">
        <w:trPr>
          <w:trHeight w:val="260"/>
        </w:trPr>
        <w:tc>
          <w:tcPr>
            <w:tcW w:w="3109" w:type="dxa"/>
            <w:vMerge/>
            <w:tcBorders>
              <w:left w:val="single" w:sz="8" w:space="0" w:color="auto"/>
              <w:bottom w:val="single" w:sz="8" w:space="0" w:color="auto"/>
            </w:tcBorders>
            <w:shd w:val="clear" w:color="auto" w:fill="auto"/>
            <w:noWrap/>
            <w:vAlign w:val="center"/>
          </w:tcPr>
          <w:p w14:paraId="1EE94A32" w14:textId="77777777" w:rsidR="00E24E43" w:rsidRPr="004B7867" w:rsidRDefault="00E24E43" w:rsidP="00D94744">
            <w:pPr>
              <w:spacing w:line="276" w:lineRule="auto"/>
              <w:jc w:val="center"/>
              <w:rPr>
                <w:rFonts w:ascii="Helvetica Neue" w:hAnsi="Helvetica Neue"/>
                <w:b/>
                <w:bCs/>
                <w:color w:val="000000"/>
                <w:sz w:val="16"/>
                <w:szCs w:val="16"/>
              </w:rPr>
            </w:pPr>
          </w:p>
        </w:tc>
        <w:tc>
          <w:tcPr>
            <w:tcW w:w="1418" w:type="dxa"/>
            <w:tcBorders>
              <w:left w:val="nil"/>
              <w:bottom w:val="single" w:sz="8" w:space="0" w:color="auto"/>
              <w:right w:val="nil"/>
            </w:tcBorders>
          </w:tcPr>
          <w:p w14:paraId="4E455EB6" w14:textId="77777777" w:rsidR="00E24E43" w:rsidRPr="00C77C40" w:rsidRDefault="00E24E43" w:rsidP="00D94744">
            <w:pPr>
              <w:spacing w:line="276" w:lineRule="auto"/>
              <w:rPr>
                <w:rFonts w:ascii="Helvetica Neue" w:hAnsi="Helvetica Neue"/>
                <w:color w:val="000000" w:themeColor="text1"/>
                <w:sz w:val="15"/>
                <w:szCs w:val="15"/>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76D02459" w14:textId="5C4B428F" w:rsidR="00E24E43" w:rsidRPr="00C77C40" w:rsidRDefault="00E24E43" w:rsidP="00D94744">
            <w:pPr>
              <w:spacing w:line="276" w:lineRule="auto"/>
              <w:rPr>
                <w:rFonts w:ascii="Helvetica Neue" w:hAnsi="Helvetica Neue"/>
                <w:color w:val="000000" w:themeColor="text1"/>
                <w:sz w:val="15"/>
                <w:szCs w:val="15"/>
              </w:rPr>
            </w:pPr>
            <w:r w:rsidRPr="00C77C40">
              <w:rPr>
                <w:rFonts w:ascii="Helvetica Neue" w:hAnsi="Helvetica Neue"/>
                <w:color w:val="000000" w:themeColor="text1"/>
                <w:sz w:val="15"/>
                <w:szCs w:val="15"/>
              </w:rPr>
              <w:t>--</w:t>
            </w:r>
          </w:p>
        </w:tc>
      </w:tr>
      <w:tr w:rsidR="00E24E43" w:rsidRPr="004B7867" w14:paraId="781DBE72"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161784E1" w14:textId="77777777" w:rsidR="00E24E43" w:rsidRPr="004A6A3A" w:rsidRDefault="00E24E43" w:rsidP="00E24E43">
            <w:pPr>
              <w:spacing w:line="276" w:lineRule="auto"/>
              <w:jc w:val="center"/>
              <w:rPr>
                <w:rFonts w:ascii="Helvetica Neue" w:hAnsi="Helvetica Neue"/>
                <w:b/>
                <w:bCs/>
                <w:color w:val="000000" w:themeColor="text1"/>
                <w:sz w:val="16"/>
                <w:szCs w:val="16"/>
              </w:rPr>
            </w:pPr>
            <w:r w:rsidRPr="004A6A3A">
              <w:rPr>
                <w:rFonts w:ascii="Helvetica Neue" w:hAnsi="Helvetica Neue"/>
                <w:b/>
                <w:bCs/>
                <w:color w:val="000000" w:themeColor="text1"/>
                <w:sz w:val="16"/>
                <w:szCs w:val="16"/>
              </w:rPr>
              <w:t>pro-BNP</w:t>
            </w:r>
          </w:p>
        </w:tc>
        <w:tc>
          <w:tcPr>
            <w:tcW w:w="1418" w:type="dxa"/>
            <w:tcBorders>
              <w:top w:val="single" w:sz="8" w:space="0" w:color="auto"/>
              <w:left w:val="nil"/>
              <w:right w:val="nil"/>
            </w:tcBorders>
          </w:tcPr>
          <w:p w14:paraId="7F6E3CC6" w14:textId="77777777" w:rsidR="00E24E43" w:rsidRDefault="00E24E43" w:rsidP="00E24E43">
            <w:pPr>
              <w:spacing w:line="276" w:lineRule="auto"/>
              <w:rPr>
                <w:rFonts w:ascii="Helvetica Neue" w:hAnsi="Helvetica Neue"/>
                <w:i/>
                <w:iCs/>
                <w:color w:val="000000"/>
                <w:sz w:val="15"/>
                <w:szCs w:val="15"/>
              </w:rPr>
            </w:pPr>
          </w:p>
          <w:p w14:paraId="3B60CC7C" w14:textId="431E73C9" w:rsidR="00E24E43" w:rsidRPr="004A6A3A" w:rsidRDefault="00E24E43" w:rsidP="00E24E43">
            <w:pPr>
              <w:spacing w:line="276" w:lineRule="auto"/>
              <w:ind w:left="175"/>
              <w:rPr>
                <w:rFonts w:ascii="Helvetica Neue" w:hAnsi="Helvetica Neue"/>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1F516B6E" w14:textId="564F4D99" w:rsidR="00E24E43" w:rsidRPr="004A6A3A" w:rsidRDefault="00E24E43" w:rsidP="00E24E43">
            <w:pPr>
              <w:spacing w:line="276" w:lineRule="auto"/>
              <w:ind w:left="175"/>
              <w:rPr>
                <w:rFonts w:ascii="Helvetica Neue" w:hAnsi="Helvetica Neue"/>
                <w:i/>
                <w:iCs/>
                <w:color w:val="000000" w:themeColor="text1"/>
                <w:sz w:val="16"/>
                <w:szCs w:val="16"/>
              </w:rPr>
            </w:pPr>
            <w:r w:rsidRPr="004A6A3A">
              <w:rPr>
                <w:rFonts w:ascii="Helvetica Neue" w:hAnsi="Helvetica Neue"/>
                <w:color w:val="000000" w:themeColor="text1"/>
                <w:sz w:val="16"/>
                <w:szCs w:val="16"/>
              </w:rPr>
              <w:t>--</w:t>
            </w:r>
          </w:p>
        </w:tc>
      </w:tr>
      <w:tr w:rsidR="00E24E43" w:rsidRPr="004B7867" w14:paraId="2D3B3376"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282011E1" w14:textId="77777777" w:rsidR="00E24E43" w:rsidRPr="004A6A3A" w:rsidRDefault="00E24E43" w:rsidP="00E24E43">
            <w:pPr>
              <w:spacing w:line="276" w:lineRule="auto"/>
              <w:jc w:val="center"/>
              <w:rPr>
                <w:rFonts w:ascii="Helvetica Neue" w:hAnsi="Helvetica Neue"/>
                <w:color w:val="000000" w:themeColor="text1"/>
                <w:sz w:val="16"/>
                <w:szCs w:val="16"/>
              </w:rPr>
            </w:pPr>
          </w:p>
        </w:tc>
        <w:tc>
          <w:tcPr>
            <w:tcW w:w="1418" w:type="dxa"/>
            <w:tcBorders>
              <w:left w:val="nil"/>
              <w:bottom w:val="single" w:sz="8" w:space="0" w:color="auto"/>
              <w:right w:val="nil"/>
            </w:tcBorders>
          </w:tcPr>
          <w:p w14:paraId="024CC99A" w14:textId="77777777" w:rsidR="00E24E43" w:rsidRDefault="00E24E43" w:rsidP="00E24E43">
            <w:pPr>
              <w:spacing w:line="276" w:lineRule="auto"/>
              <w:rPr>
                <w:rFonts w:ascii="Helvetica Neue" w:hAnsi="Helvetica Neue"/>
                <w:i/>
                <w:iCs/>
                <w:color w:val="000000"/>
                <w:sz w:val="15"/>
                <w:szCs w:val="15"/>
              </w:rPr>
            </w:pPr>
          </w:p>
          <w:p w14:paraId="69B7F611" w14:textId="56DEDBC8" w:rsidR="00E24E43" w:rsidRPr="004A6A3A" w:rsidRDefault="00E24E43" w:rsidP="00E24E43">
            <w:pPr>
              <w:spacing w:line="276" w:lineRule="auto"/>
              <w:rPr>
                <w:rFonts w:ascii="Helvetica Neue" w:hAnsi="Helvetica Neue"/>
                <w:color w:val="000000" w:themeColor="text1"/>
                <w:sz w:val="16"/>
                <w:szCs w:val="16"/>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715A9EF4" w14:textId="0B918C17" w:rsidR="00E24E43" w:rsidRPr="004A6A3A" w:rsidRDefault="00E24E43" w:rsidP="00E24E43">
            <w:pPr>
              <w:spacing w:line="276" w:lineRule="auto"/>
              <w:rPr>
                <w:rFonts w:ascii="Helvetica Neue" w:hAnsi="Helvetica Neue"/>
                <w:color w:val="000000" w:themeColor="text1"/>
                <w:sz w:val="16"/>
                <w:szCs w:val="16"/>
              </w:rPr>
            </w:pPr>
            <w:r w:rsidRPr="004A6A3A">
              <w:rPr>
                <w:rFonts w:ascii="Helvetica Neue" w:hAnsi="Helvetica Neue"/>
                <w:color w:val="000000" w:themeColor="text1"/>
                <w:sz w:val="16"/>
                <w:szCs w:val="16"/>
              </w:rPr>
              <w:t>ng/mL</w:t>
            </w:r>
          </w:p>
          <w:p w14:paraId="3C90FC03" w14:textId="77777777" w:rsidR="00E24E43" w:rsidRPr="004A6A3A" w:rsidRDefault="00E24E43" w:rsidP="00E24E43">
            <w:pPr>
              <w:spacing w:line="276" w:lineRule="auto"/>
              <w:ind w:left="175"/>
              <w:rPr>
                <w:rFonts w:ascii="Helvetica Neue" w:hAnsi="Helvetica Neue"/>
                <w:i/>
                <w:iCs/>
                <w:color w:val="000000" w:themeColor="text1"/>
                <w:sz w:val="16"/>
                <w:szCs w:val="16"/>
              </w:rPr>
            </w:pPr>
            <w:r w:rsidRPr="004A6A3A">
              <w:rPr>
                <w:rFonts w:ascii="Helvetica Neue" w:hAnsi="Helvetica Neue"/>
                <w:i/>
                <w:iCs/>
                <w:color w:val="000000" w:themeColor="text1"/>
                <w:sz w:val="16"/>
                <w:szCs w:val="16"/>
              </w:rPr>
              <w:t>Duration, hours/day</w:t>
            </w:r>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(Werhahn et al., 2019)</w:t>
            </w:r>
            <w:r w:rsidRPr="00D455C3">
              <w:rPr>
                <w:rFonts w:ascii="Helvetica Neue" w:hAnsi="Helvetica Neue"/>
                <w:i/>
                <w:iCs/>
                <w:color w:val="000000" w:themeColor="text1"/>
                <w:sz w:val="16"/>
                <w:szCs w:val="16"/>
                <w:vertAlign w:val="superscript"/>
              </w:rPr>
              <w:fldChar w:fldCharType="end"/>
            </w:r>
          </w:p>
        </w:tc>
      </w:tr>
      <w:tr w:rsidR="00E24E43" w:rsidRPr="004B7867" w14:paraId="3049EEDD"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53320FC8"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Hostility</w:t>
            </w:r>
          </w:p>
        </w:tc>
        <w:tc>
          <w:tcPr>
            <w:tcW w:w="1418" w:type="dxa"/>
            <w:tcBorders>
              <w:top w:val="single" w:sz="8" w:space="0" w:color="auto"/>
              <w:left w:val="nil"/>
              <w:right w:val="nil"/>
            </w:tcBorders>
          </w:tcPr>
          <w:p w14:paraId="338E470F" w14:textId="77777777" w:rsidR="00E24E43" w:rsidRDefault="00E24E43" w:rsidP="00E24E43">
            <w:pPr>
              <w:spacing w:line="276" w:lineRule="auto"/>
              <w:rPr>
                <w:rFonts w:ascii="Helvetica Neue" w:hAnsi="Helvetica Neue"/>
                <w:i/>
                <w:iCs/>
                <w:color w:val="000000"/>
                <w:sz w:val="15"/>
                <w:szCs w:val="15"/>
              </w:rPr>
            </w:pPr>
          </w:p>
          <w:p w14:paraId="16644D48" w14:textId="7448E4BC" w:rsidR="00E24E43" w:rsidRPr="00C77C40" w:rsidRDefault="00E24E43" w:rsidP="00E24E43">
            <w:pPr>
              <w:spacing w:line="276" w:lineRule="auto"/>
              <w:rPr>
                <w:rFonts w:ascii="Helvetica Neue" w:hAnsi="Helvetica Neue"/>
                <w:color w:val="000000"/>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4294444C" w14:textId="5167CE5B" w:rsidR="00E24E43" w:rsidRPr="00C77C40" w:rsidRDefault="00E24E43" w:rsidP="00E24E43">
            <w:pPr>
              <w:spacing w:line="276" w:lineRule="auto"/>
              <w:rPr>
                <w:rFonts w:ascii="Helvetica Neue" w:hAnsi="Helvetica Neue"/>
                <w:color w:val="000000"/>
                <w:sz w:val="16"/>
                <w:szCs w:val="16"/>
              </w:rPr>
            </w:pPr>
            <w:r w:rsidRPr="00C77C40">
              <w:rPr>
                <w:rFonts w:ascii="Helvetica Neue" w:hAnsi="Helvetica Neue"/>
                <w:color w:val="000000"/>
                <w:sz w:val="16"/>
                <w:szCs w:val="16"/>
              </w:rPr>
              <w:t>MAACL hostility score</w:t>
            </w:r>
          </w:p>
          <w:p w14:paraId="4D0CECE1" w14:textId="77777777" w:rsidR="00E24E43" w:rsidRPr="00C77C40" w:rsidRDefault="00E24E43" w:rsidP="00E24E43">
            <w:pPr>
              <w:spacing w:line="276" w:lineRule="auto"/>
              <w:ind w:left="175"/>
              <w:rPr>
                <w:rFonts w:ascii="Helvetica Neue" w:hAnsi="Helvetica Neue"/>
                <w:i/>
                <w:iCs/>
                <w:color w:val="000000"/>
                <w:sz w:val="16"/>
                <w:szCs w:val="16"/>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(Corvera-Tindel et al., 2004)</w:t>
            </w:r>
            <w:r w:rsidRPr="00D455C3">
              <w:rPr>
                <w:rFonts w:ascii="Helvetica Neue" w:hAnsi="Helvetica Neue"/>
                <w:i/>
                <w:iCs/>
                <w:color w:val="000000"/>
                <w:sz w:val="15"/>
                <w:szCs w:val="15"/>
                <w:vertAlign w:val="superscript"/>
              </w:rPr>
              <w:fldChar w:fldCharType="end"/>
            </w:r>
          </w:p>
        </w:tc>
      </w:tr>
      <w:tr w:rsidR="00E24E43" w:rsidRPr="004B7867" w14:paraId="1B00C28D"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1F5D6A3B"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2B7BFBC8" w14:textId="77777777" w:rsidR="00E24E43" w:rsidRDefault="00E24E43" w:rsidP="00E24E43">
            <w:pPr>
              <w:spacing w:line="276" w:lineRule="auto"/>
              <w:rPr>
                <w:rFonts w:ascii="Helvetica Neue" w:hAnsi="Helvetica Neue"/>
                <w:i/>
                <w:iCs/>
                <w:color w:val="000000"/>
                <w:sz w:val="15"/>
                <w:szCs w:val="15"/>
              </w:rPr>
            </w:pPr>
          </w:p>
          <w:p w14:paraId="04C66BAA" w14:textId="4E76E852" w:rsidR="00E24E43" w:rsidRPr="00C77C40" w:rsidRDefault="00E24E43" w:rsidP="00E24E43">
            <w:pPr>
              <w:spacing w:line="276" w:lineRule="auto"/>
              <w:rPr>
                <w:rFonts w:ascii="Helvetica Neue" w:hAnsi="Helvetica Neue"/>
                <w:i/>
                <w:iCs/>
                <w:color w:val="000000"/>
                <w:sz w:val="16"/>
                <w:szCs w:val="16"/>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5DC11A05" w14:textId="20F57CEE" w:rsidR="00E24E43" w:rsidRPr="00C77C40" w:rsidRDefault="00E24E43" w:rsidP="00E24E43">
            <w:pPr>
              <w:spacing w:line="276" w:lineRule="auto"/>
              <w:rPr>
                <w:rFonts w:ascii="Helvetica Neue" w:hAnsi="Helvetica Neue"/>
                <w:i/>
                <w:iCs/>
                <w:color w:val="000000"/>
                <w:sz w:val="16"/>
                <w:szCs w:val="16"/>
              </w:rPr>
            </w:pPr>
          </w:p>
        </w:tc>
      </w:tr>
      <w:tr w:rsidR="00E24E43" w:rsidRPr="004B7867" w14:paraId="76CB65C2"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07345DEA"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Income</w:t>
            </w:r>
          </w:p>
        </w:tc>
        <w:tc>
          <w:tcPr>
            <w:tcW w:w="1418" w:type="dxa"/>
            <w:tcBorders>
              <w:top w:val="single" w:sz="8" w:space="0" w:color="auto"/>
              <w:left w:val="nil"/>
              <w:right w:val="nil"/>
            </w:tcBorders>
          </w:tcPr>
          <w:p w14:paraId="23BBCB04" w14:textId="77777777" w:rsidR="00E24E43" w:rsidRDefault="00E24E43" w:rsidP="00E24E43">
            <w:pPr>
              <w:spacing w:line="276" w:lineRule="auto"/>
              <w:rPr>
                <w:rFonts w:ascii="Helvetica Neue" w:hAnsi="Helvetica Neue"/>
                <w:i/>
                <w:iCs/>
                <w:color w:val="000000"/>
                <w:sz w:val="15"/>
                <w:szCs w:val="15"/>
              </w:rPr>
            </w:pPr>
          </w:p>
          <w:p w14:paraId="34376DCC" w14:textId="766829BF" w:rsidR="00E24E43" w:rsidRPr="00C77C40" w:rsidRDefault="00E24E43" w:rsidP="00E24E43">
            <w:pPr>
              <w:spacing w:line="276" w:lineRule="auto"/>
              <w:rPr>
                <w:rFonts w:ascii="Helvetica Neue" w:hAnsi="Helvetica Neue"/>
                <w:i/>
                <w:iCs/>
                <w:color w:val="000000"/>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7F038071" w14:textId="4B1D0AE2" w:rsidR="00E24E43" w:rsidRPr="00C77C40" w:rsidRDefault="00E24E43" w:rsidP="00E24E43">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E24E43" w:rsidRPr="004B7867" w14:paraId="76547BAD"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740BB630" w14:textId="77777777" w:rsidR="00E24E43" w:rsidRPr="00631287" w:rsidRDefault="00E24E43" w:rsidP="00E24E43">
            <w:pPr>
              <w:spacing w:line="276" w:lineRule="auto"/>
              <w:jc w:val="center"/>
              <w:rPr>
                <w:rFonts w:ascii="Helvetica Neue" w:hAnsi="Helvetica Neue"/>
                <w:color w:val="000000" w:themeColor="text1"/>
                <w:sz w:val="16"/>
                <w:szCs w:val="16"/>
              </w:rPr>
            </w:pPr>
          </w:p>
        </w:tc>
        <w:tc>
          <w:tcPr>
            <w:tcW w:w="1418" w:type="dxa"/>
            <w:tcBorders>
              <w:left w:val="nil"/>
              <w:bottom w:val="single" w:sz="8" w:space="0" w:color="auto"/>
              <w:right w:val="nil"/>
            </w:tcBorders>
          </w:tcPr>
          <w:p w14:paraId="151687AA" w14:textId="77777777" w:rsidR="00E24E43" w:rsidRDefault="00E24E43" w:rsidP="00E24E43">
            <w:pPr>
              <w:spacing w:line="276" w:lineRule="auto"/>
              <w:rPr>
                <w:rFonts w:ascii="Helvetica Neue" w:hAnsi="Helvetica Neue"/>
                <w:i/>
                <w:iCs/>
                <w:color w:val="000000"/>
                <w:sz w:val="15"/>
                <w:szCs w:val="15"/>
              </w:rPr>
            </w:pPr>
          </w:p>
          <w:p w14:paraId="2963B520" w14:textId="1C5F413A" w:rsidR="00E24E43" w:rsidRPr="00C77C40" w:rsidRDefault="00E24E43" w:rsidP="00E24E43">
            <w:pPr>
              <w:spacing w:line="276" w:lineRule="auto"/>
              <w:rPr>
                <w:rFonts w:ascii="Helvetica Neue" w:hAnsi="Helvetica Neue"/>
                <w:color w:val="000000" w:themeColor="text1"/>
                <w:sz w:val="16"/>
                <w:szCs w:val="16"/>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0059533E" w14:textId="4D7C01F3" w:rsidR="00E24E43" w:rsidRPr="00C77C40" w:rsidRDefault="00E24E43" w:rsidP="00E24E43">
            <w:pPr>
              <w:spacing w:line="276" w:lineRule="auto"/>
              <w:rPr>
                <w:rFonts w:ascii="Helvetica Neue" w:hAnsi="Helvetica Neue"/>
                <w:i/>
                <w:iCs/>
                <w:color w:val="000000" w:themeColor="text1"/>
                <w:sz w:val="16"/>
                <w:szCs w:val="16"/>
              </w:rPr>
            </w:pPr>
            <w:r w:rsidRPr="00C77C40">
              <w:rPr>
                <w:rFonts w:ascii="Helvetica Neue" w:hAnsi="Helvetica Neue"/>
                <w:color w:val="000000" w:themeColor="text1"/>
                <w:sz w:val="16"/>
                <w:szCs w:val="16"/>
              </w:rPr>
              <w:t>Above poverty</w:t>
            </w:r>
          </w:p>
          <w:p w14:paraId="7DDB121D" w14:textId="77777777" w:rsidR="00E24E43" w:rsidRPr="00C77C40" w:rsidRDefault="00E24E43" w:rsidP="00E24E43">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6"/>
                <w:szCs w:val="16"/>
              </w:rPr>
              <w:t>Energy expenditure</w:t>
            </w:r>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w:t>
            </w:r>
            <w:r w:rsidRPr="00D455C3">
              <w:rPr>
                <w:rFonts w:ascii="Helvetica Neue" w:hAnsi="Helvetica Neue"/>
                <w:i/>
                <w:iCs/>
                <w:color w:val="000000" w:themeColor="text1"/>
                <w:sz w:val="15"/>
                <w:szCs w:val="15"/>
                <w:vertAlign w:val="superscript"/>
              </w:rPr>
              <w:fldChar w:fldCharType="end"/>
            </w:r>
          </w:p>
        </w:tc>
      </w:tr>
      <w:tr w:rsidR="00E24E43" w:rsidRPr="004B7867" w14:paraId="07C71FC0"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22198A12" w14:textId="77777777" w:rsidR="00E24E43" w:rsidRPr="00ED4260" w:rsidRDefault="00E24E43" w:rsidP="00E24E43">
            <w:pPr>
              <w:spacing w:line="276" w:lineRule="auto"/>
              <w:jc w:val="center"/>
              <w:rPr>
                <w:rFonts w:ascii="Helvetica Neue" w:hAnsi="Helvetica Neue"/>
                <w:b/>
                <w:bCs/>
                <w:color w:val="FF0000"/>
                <w:sz w:val="16"/>
                <w:szCs w:val="16"/>
              </w:rPr>
            </w:pPr>
            <w:r w:rsidRPr="000B7B19">
              <w:rPr>
                <w:rFonts w:ascii="Helvetica Neue" w:hAnsi="Helvetica Neue"/>
                <w:b/>
                <w:bCs/>
                <w:color w:val="000000"/>
                <w:sz w:val="16"/>
                <w:szCs w:val="16"/>
              </w:rPr>
              <w:t>Left Atrial Volume index (LAV</w:t>
            </w:r>
            <w:r>
              <w:rPr>
                <w:rFonts w:ascii="Helvetica Neue" w:hAnsi="Helvetica Neue"/>
                <w:b/>
                <w:bCs/>
                <w:color w:val="000000"/>
                <w:sz w:val="16"/>
                <w:szCs w:val="16"/>
              </w:rPr>
              <w:t>)</w:t>
            </w:r>
          </w:p>
        </w:tc>
        <w:tc>
          <w:tcPr>
            <w:tcW w:w="1418" w:type="dxa"/>
            <w:tcBorders>
              <w:top w:val="single" w:sz="8" w:space="0" w:color="auto"/>
              <w:left w:val="nil"/>
              <w:right w:val="nil"/>
            </w:tcBorders>
          </w:tcPr>
          <w:p w14:paraId="73867166" w14:textId="77777777" w:rsidR="00E24E43" w:rsidRDefault="00E24E43" w:rsidP="00E24E43">
            <w:pPr>
              <w:spacing w:line="276" w:lineRule="auto"/>
              <w:rPr>
                <w:rFonts w:ascii="Helvetica Neue" w:hAnsi="Helvetica Neue"/>
                <w:i/>
                <w:iCs/>
                <w:color w:val="000000"/>
                <w:sz w:val="15"/>
                <w:szCs w:val="15"/>
              </w:rPr>
            </w:pPr>
          </w:p>
          <w:p w14:paraId="31D3A43D" w14:textId="07B93897" w:rsidR="00E24E43" w:rsidRPr="00F34A7B" w:rsidRDefault="00E24E43" w:rsidP="00E24E43">
            <w:pPr>
              <w:spacing w:line="276" w:lineRule="auto"/>
              <w:rPr>
                <w:rFonts w:ascii="Helvetica Neue" w:hAnsi="Helvetica Neue"/>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right w:val="single" w:sz="8" w:space="0" w:color="auto"/>
            </w:tcBorders>
            <w:shd w:val="pct10" w:color="auto" w:fill="auto"/>
            <w:vAlign w:val="center"/>
          </w:tcPr>
          <w:p w14:paraId="48D28F82" w14:textId="71284B0A" w:rsidR="00E24E43" w:rsidRPr="00F34A7B" w:rsidRDefault="00E24E43" w:rsidP="00E24E43">
            <w:pPr>
              <w:spacing w:line="276" w:lineRule="auto"/>
              <w:rPr>
                <w:rFonts w:ascii="Helvetica Neue" w:hAnsi="Helvetica Neue"/>
                <w:color w:val="000000" w:themeColor="text1"/>
                <w:sz w:val="16"/>
                <w:szCs w:val="16"/>
              </w:rPr>
            </w:pPr>
            <w:r w:rsidRPr="00F34A7B">
              <w:rPr>
                <w:rFonts w:ascii="Helvetica Neue" w:hAnsi="Helvetica Neue"/>
                <w:color w:val="000000" w:themeColor="text1"/>
                <w:sz w:val="16"/>
                <w:szCs w:val="16"/>
              </w:rPr>
              <w:t xml:space="preserve"> l/m2</w:t>
            </w:r>
          </w:p>
          <w:p w14:paraId="50D84631" w14:textId="77777777" w:rsidR="00E24E43" w:rsidRPr="00F34A7B" w:rsidRDefault="00E24E43" w:rsidP="00E24E43">
            <w:pPr>
              <w:spacing w:line="276" w:lineRule="auto"/>
              <w:ind w:left="172"/>
              <w:rPr>
                <w:rFonts w:ascii="Helvetica Neue" w:hAnsi="Helvetica Neue"/>
                <w:i/>
                <w:iCs/>
                <w:color w:val="000000" w:themeColor="text1"/>
                <w:sz w:val="16"/>
                <w:szCs w:val="16"/>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E24E43" w:rsidRPr="004B7867" w14:paraId="53777BA1"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7D19CD75" w14:textId="77777777" w:rsidR="00E24E43" w:rsidRPr="00ED4260" w:rsidRDefault="00E24E43" w:rsidP="00E24E43">
            <w:pPr>
              <w:spacing w:line="276" w:lineRule="auto"/>
              <w:jc w:val="center"/>
              <w:rPr>
                <w:rFonts w:ascii="Helvetica Neue" w:hAnsi="Helvetica Neue"/>
                <w:color w:val="FF0000"/>
                <w:sz w:val="16"/>
                <w:szCs w:val="16"/>
              </w:rPr>
            </w:pPr>
          </w:p>
        </w:tc>
        <w:tc>
          <w:tcPr>
            <w:tcW w:w="1418" w:type="dxa"/>
            <w:tcBorders>
              <w:left w:val="nil"/>
              <w:bottom w:val="single" w:sz="8" w:space="0" w:color="auto"/>
              <w:right w:val="nil"/>
            </w:tcBorders>
          </w:tcPr>
          <w:p w14:paraId="67BCA6EF" w14:textId="77777777" w:rsidR="00E24E43" w:rsidRDefault="00E24E43" w:rsidP="00E24E43">
            <w:pPr>
              <w:spacing w:line="276" w:lineRule="auto"/>
              <w:rPr>
                <w:rFonts w:ascii="Helvetica Neue" w:hAnsi="Helvetica Neue"/>
                <w:i/>
                <w:iCs/>
                <w:color w:val="000000"/>
                <w:sz w:val="15"/>
                <w:szCs w:val="15"/>
              </w:rPr>
            </w:pPr>
          </w:p>
          <w:p w14:paraId="6CFE89B6" w14:textId="4B5D13DD" w:rsidR="00E24E43" w:rsidRPr="00D84429" w:rsidRDefault="00E24E43" w:rsidP="00E24E43">
            <w:pPr>
              <w:spacing w:line="276" w:lineRule="auto"/>
              <w:rPr>
                <w:rFonts w:ascii="Helvetica Neue" w:hAnsi="Helvetica Neue"/>
                <w:i/>
                <w:iCs/>
                <w:sz w:val="16"/>
                <w:szCs w:val="16"/>
              </w:rPr>
            </w:pPr>
            <w:r w:rsidRPr="00E24E43">
              <w:rPr>
                <w:rFonts w:ascii="Helvetica Neue" w:hAnsi="Helvetica Neue"/>
                <w:i/>
                <w:iCs/>
                <w:color w:val="000000"/>
                <w:sz w:val="15"/>
                <w:szCs w:val="15"/>
              </w:rPr>
              <w:t>Continuous</w:t>
            </w:r>
          </w:p>
        </w:tc>
        <w:tc>
          <w:tcPr>
            <w:tcW w:w="8793" w:type="dxa"/>
            <w:tcBorders>
              <w:left w:val="nil"/>
              <w:bottom w:val="single" w:sz="8" w:space="0" w:color="auto"/>
              <w:right w:val="single" w:sz="8" w:space="0" w:color="auto"/>
            </w:tcBorders>
            <w:vAlign w:val="center"/>
          </w:tcPr>
          <w:p w14:paraId="61EBF0FF" w14:textId="1F507754" w:rsidR="00E24E43" w:rsidRPr="00D84429" w:rsidRDefault="00E24E43" w:rsidP="00E24E43">
            <w:pPr>
              <w:spacing w:line="276" w:lineRule="auto"/>
              <w:rPr>
                <w:rFonts w:ascii="Helvetica Neue" w:hAnsi="Helvetica Neue"/>
                <w:i/>
                <w:iCs/>
                <w:sz w:val="16"/>
                <w:szCs w:val="16"/>
              </w:rPr>
            </w:pPr>
            <w:r w:rsidRPr="00D84429">
              <w:rPr>
                <w:rFonts w:ascii="Helvetica Neue" w:hAnsi="Helvetica Neue"/>
                <w:i/>
                <w:iCs/>
                <w:sz w:val="16"/>
                <w:szCs w:val="16"/>
              </w:rPr>
              <w:t>--</w:t>
            </w:r>
          </w:p>
        </w:tc>
      </w:tr>
      <w:tr w:rsidR="00E24E43" w:rsidRPr="004B7867" w14:paraId="4B0F1DFF" w14:textId="77777777" w:rsidTr="00E24E43">
        <w:trPr>
          <w:trHeight w:val="441"/>
        </w:trPr>
        <w:tc>
          <w:tcPr>
            <w:tcW w:w="3109" w:type="dxa"/>
            <w:vMerge w:val="restart"/>
            <w:tcBorders>
              <w:top w:val="single" w:sz="8" w:space="0" w:color="auto"/>
              <w:left w:val="single" w:sz="8" w:space="0" w:color="auto"/>
            </w:tcBorders>
            <w:shd w:val="clear" w:color="auto" w:fill="auto"/>
            <w:noWrap/>
            <w:vAlign w:val="center"/>
            <w:hideMark/>
          </w:tcPr>
          <w:p w14:paraId="29CEBA90" w14:textId="77777777" w:rsidR="00E24E43" w:rsidRPr="00715C82" w:rsidRDefault="00E24E43" w:rsidP="00E24E43">
            <w:pPr>
              <w:spacing w:line="276" w:lineRule="auto"/>
              <w:jc w:val="center"/>
              <w:rPr>
                <w:rFonts w:ascii="Helvetica Neue" w:hAnsi="Helvetica Neue"/>
                <w:b/>
                <w:bCs/>
                <w:color w:val="000000"/>
                <w:sz w:val="16"/>
                <w:szCs w:val="16"/>
              </w:rPr>
            </w:pPr>
            <w:r w:rsidRPr="00715C82">
              <w:rPr>
                <w:rFonts w:ascii="Helvetica Neue" w:hAnsi="Helvetica Neue"/>
                <w:b/>
                <w:bCs/>
                <w:color w:val="000000"/>
                <w:sz w:val="16"/>
                <w:szCs w:val="16"/>
              </w:rPr>
              <w:t>Left Ventricular Assist Device</w:t>
            </w:r>
            <w:r>
              <w:rPr>
                <w:rFonts w:ascii="Helvetica Neue" w:hAnsi="Helvetica Neue"/>
                <w:b/>
                <w:bCs/>
                <w:color w:val="000000"/>
                <w:sz w:val="16"/>
                <w:szCs w:val="16"/>
              </w:rPr>
              <w:t xml:space="preserve"> (LVAD)</w:t>
            </w:r>
          </w:p>
        </w:tc>
        <w:tc>
          <w:tcPr>
            <w:tcW w:w="1418" w:type="dxa"/>
            <w:tcBorders>
              <w:top w:val="single" w:sz="8" w:space="0" w:color="auto"/>
              <w:left w:val="nil"/>
              <w:right w:val="nil"/>
            </w:tcBorders>
          </w:tcPr>
          <w:p w14:paraId="3F97E16D" w14:textId="77777777" w:rsidR="00E24E43" w:rsidRDefault="00E24E43" w:rsidP="00E24E43">
            <w:pPr>
              <w:spacing w:line="276" w:lineRule="auto"/>
              <w:rPr>
                <w:rFonts w:ascii="Helvetica Neue" w:hAnsi="Helvetica Neue"/>
                <w:i/>
                <w:iCs/>
                <w:color w:val="000000"/>
                <w:sz w:val="15"/>
                <w:szCs w:val="15"/>
              </w:rPr>
            </w:pPr>
          </w:p>
          <w:p w14:paraId="24B08D7E" w14:textId="40AFE8EA" w:rsidR="00E24E43" w:rsidRPr="00C77C40" w:rsidRDefault="00E24E43" w:rsidP="00E24E43">
            <w:pPr>
              <w:spacing w:line="276" w:lineRule="auto"/>
              <w:rPr>
                <w:rFonts w:ascii="Helvetica Neue" w:hAnsi="Helvetica Neue"/>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right w:val="single" w:sz="8" w:space="0" w:color="auto"/>
            </w:tcBorders>
            <w:shd w:val="pct10" w:color="auto" w:fill="auto"/>
            <w:vAlign w:val="center"/>
          </w:tcPr>
          <w:p w14:paraId="7AD7EF70" w14:textId="7BF5EDCB" w:rsidR="00E24E43" w:rsidRPr="00C77C40" w:rsidRDefault="00E24E43" w:rsidP="00E24E43">
            <w:pPr>
              <w:spacing w:line="276" w:lineRule="auto"/>
              <w:rPr>
                <w:rFonts w:ascii="Helvetica Neue" w:hAnsi="Helvetica Neue"/>
                <w:color w:val="000000" w:themeColor="text1"/>
                <w:sz w:val="16"/>
                <w:szCs w:val="16"/>
              </w:rPr>
            </w:pPr>
            <w:proofErr w:type="gramStart"/>
            <w:r w:rsidRPr="00C77C40">
              <w:rPr>
                <w:rFonts w:ascii="Helvetica Neue" w:hAnsi="Helvetica Neue"/>
                <w:color w:val="000000" w:themeColor="text1"/>
                <w:sz w:val="16"/>
                <w:szCs w:val="16"/>
              </w:rPr>
              <w:t>Pre-post LVAD</w:t>
            </w:r>
            <w:proofErr w:type="gramEnd"/>
          </w:p>
          <w:p w14:paraId="4909A6AE" w14:textId="77777777" w:rsidR="00E24E43" w:rsidRPr="00C77C40" w:rsidRDefault="00E24E43" w:rsidP="00E24E43">
            <w:pPr>
              <w:spacing w:line="276" w:lineRule="auto"/>
              <w:ind w:left="175"/>
              <w:rPr>
                <w:rFonts w:ascii="Helvetica Neue" w:hAnsi="Helvetica Neue"/>
                <w:color w:val="000000" w:themeColor="text1"/>
                <w:sz w:val="16"/>
                <w:szCs w:val="16"/>
              </w:rPr>
            </w:pPr>
            <w:r w:rsidRPr="00C77C40">
              <w:rPr>
                <w:rFonts w:ascii="Helvetica Neue" w:hAnsi="Helvetica Neue"/>
                <w:i/>
                <w:iCs/>
                <w:color w:val="000000" w:themeColor="text1"/>
                <w:sz w:val="16"/>
                <w:szCs w:val="16"/>
              </w:rPr>
              <w:t>Energy expenditure total</w:t>
            </w:r>
            <w:r w:rsidRPr="00C77C40">
              <w:rPr>
                <w:rFonts w:ascii="Helvetica Neue" w:hAnsi="Helvetica Neue"/>
                <w:color w:val="000000" w:themeColor="text1"/>
                <w:sz w:val="16"/>
                <w:szCs w:val="16"/>
              </w:rPr>
              <w:t xml:space="preserve"> </w:t>
            </w:r>
            <w:r w:rsidRPr="00D455C3">
              <w:rPr>
                <w:rFonts w:ascii="Helvetica Neue" w:hAnsi="Helvetica Neue"/>
                <w:color w:val="000000" w:themeColor="text1"/>
                <w:sz w:val="16"/>
                <w:szCs w:val="16"/>
                <w:vertAlign w:val="superscript"/>
              </w:rPr>
              <w:fldChar w:fldCharType="begin"/>
            </w:r>
            <w:r>
              <w:rPr>
                <w:rFonts w:ascii="Helvetica Neue" w:hAnsi="Helvetica Neue"/>
                <w:color w:val="000000" w:themeColor="text1"/>
                <w:sz w:val="16"/>
                <w:szCs w:val="16"/>
                <w:vertAlign w:val="superscript"/>
              </w:rPr>
              <w:instrText>ADDIN F1000_CSL_CITATION&lt;~#@#~&gt;[{"DOI":"10.1249/MSS.0000000000002104","First":false,"Last":false,"PMID":"31356508","abstract":"&lt;strong&gt;PURPOSE:&lt;/strong&gt; Left ventricular assist devices (LVADs) are associated with an increased aerobic capacity in patients with chronic heart failure (CHF). However, studies evaluating the impact of LVAD implantation on physical activity (PA) are lacking. The aim of this study was to compare daily PA levels in participants with LVADs with well-matched CHF participants.&lt;br&gt;&lt;br&gt;&lt;strong&gt;METHODS:&lt;/strong&gt; Sixteen participants with an LVAD (age: 59.1 ± 10.8 years) were case-matched to 16 participants with advanced CHF (age: 58.3 ± 8.7 years), who were listed or being considered for cardiac transplantation. Participants underwent a cardiopulmonary exercise test to determine peak oxygen consumption (V[Combining Dot Above]O2 peak). PA was monitored continuously for seven consecutive days with an Actiheart monitor.&lt;br&gt;&lt;br&gt;&lt;strong&gt;RESULTS:&lt;/strong&gt; V[Combining Dot Above]O2 peak in the CHF group (12.3 ± 3.5 ml·kg·min) was not significantly different to the LVAD group prior to LVAD implantation (10.4 ± 2.1 ml·kg·min), but was lower than in the LVAD group following implantation (15.8 ± 4.3 ml·kg·min; p &lt;  0.05). PA was higher in the LVAD (19.7 ± 6.4 kJ·kg·day) compared with the CHF group (11.6 ± 6.9 kJ·kg·day; p = 0.001). LVAD participants spent more time performing moderate intensity PA than their CHF counterparts, 26 (24-40) [median (IQR)] vs. 12 (9-16) min/day; p &lt;  0.001. PA was correlated with V[Combining Dot Above]O2 peak (r = 0.582; p = 0.001) across participants in the CHF and LVAD groups.&lt;br&gt;&lt;br&gt;&lt;strong&gt;CONCLUSION:&lt;/strong&gt; Higher levels of PA were observed in participants with LVAD compared with patients with advanced CHF. This may be due to a higher V[Combining Dot Above]O2 peak, resulting in an improved capacity to perform activities of daily living with less symptoms.","author":[{"family":"Moreno-Suarez","given":"Ignacio"},{"family":"Liew","given":"Sylvia"},{"family":"Dembo","given":"Lawrence G"},{"family":"Larbalestier","given":"Robert"},{"family":"Maiorana","given":"Andrew"}],"authorYearDisplayFormat":false,"citation-label":"8493452","container-title":"Medicine and Science in Sports and Exercise","container-title-short":"Med. Sci. Sports Exerc.","id":"8493452","invisible":false,"issued":{"date-parts":[["2019","7","24"]]},"journalAbbreviation":"Med. Sci. Sports Exerc.","suppress-author":false,"title":"Physical Activity Is Higher in Patients with LVADs Compared to Chronic Heart Failure.","type":"article-journal"}]</w:instrText>
            </w:r>
            <w:r w:rsidRPr="00D455C3">
              <w:rPr>
                <w:rFonts w:ascii="Helvetica Neue" w:hAnsi="Helvetica Neue"/>
                <w:color w:val="000000" w:themeColor="text1"/>
                <w:sz w:val="16"/>
                <w:szCs w:val="16"/>
                <w:vertAlign w:val="superscript"/>
              </w:rPr>
              <w:fldChar w:fldCharType="separate"/>
            </w:r>
            <w:r w:rsidRPr="00345AA3">
              <w:rPr>
                <w:rFonts w:ascii="Helvetica Neue" w:hAnsi="Helvetica Neue"/>
                <w:color w:val="000000" w:themeColor="text1"/>
                <w:sz w:val="16"/>
                <w:szCs w:val="16"/>
              </w:rPr>
              <w:t>(Moreno-Suarez, Liew, Dembo, Larbalestier, &amp; Maiorana, 2019)</w:t>
            </w:r>
            <w:r w:rsidRPr="00D455C3">
              <w:rPr>
                <w:rFonts w:ascii="Helvetica Neue" w:hAnsi="Helvetica Neue"/>
                <w:color w:val="000000" w:themeColor="text1"/>
                <w:sz w:val="16"/>
                <w:szCs w:val="16"/>
                <w:vertAlign w:val="superscript"/>
              </w:rPr>
              <w:fldChar w:fldCharType="end"/>
            </w:r>
          </w:p>
        </w:tc>
      </w:tr>
      <w:tr w:rsidR="00E24E43" w:rsidRPr="004B7867" w14:paraId="130F437C"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1DFE9E59" w14:textId="77777777" w:rsidR="00E24E43" w:rsidRPr="00ED4260" w:rsidRDefault="00E24E43" w:rsidP="00E24E43">
            <w:pPr>
              <w:spacing w:line="276" w:lineRule="auto"/>
              <w:jc w:val="center"/>
              <w:rPr>
                <w:rFonts w:ascii="Helvetica Neue" w:hAnsi="Helvetica Neue"/>
                <w:color w:val="FF0000"/>
                <w:sz w:val="16"/>
                <w:szCs w:val="16"/>
              </w:rPr>
            </w:pPr>
          </w:p>
        </w:tc>
        <w:tc>
          <w:tcPr>
            <w:tcW w:w="1418" w:type="dxa"/>
            <w:tcBorders>
              <w:left w:val="nil"/>
              <w:bottom w:val="single" w:sz="8" w:space="0" w:color="auto"/>
              <w:right w:val="nil"/>
            </w:tcBorders>
          </w:tcPr>
          <w:p w14:paraId="37873C70" w14:textId="77777777" w:rsidR="00E24E43" w:rsidRDefault="00E24E43" w:rsidP="00E24E43">
            <w:pPr>
              <w:spacing w:line="276" w:lineRule="auto"/>
              <w:rPr>
                <w:rFonts w:ascii="Helvetica Neue" w:hAnsi="Helvetica Neue"/>
                <w:i/>
                <w:iCs/>
                <w:color w:val="000000"/>
                <w:sz w:val="15"/>
                <w:szCs w:val="15"/>
              </w:rPr>
            </w:pPr>
          </w:p>
          <w:p w14:paraId="023F5E14" w14:textId="5A266FF3" w:rsidR="00E24E43" w:rsidRPr="00D84429" w:rsidRDefault="00E24E43" w:rsidP="00E24E43">
            <w:pPr>
              <w:spacing w:line="276" w:lineRule="auto"/>
              <w:rPr>
                <w:rFonts w:ascii="Helvetica Neue" w:hAnsi="Helvetica Neue"/>
                <w:i/>
                <w:iCs/>
                <w:sz w:val="16"/>
                <w:szCs w:val="16"/>
              </w:rPr>
            </w:pPr>
            <w:r w:rsidRPr="00E24E43">
              <w:rPr>
                <w:rFonts w:ascii="Helvetica Neue" w:hAnsi="Helvetica Neue"/>
                <w:i/>
                <w:iCs/>
                <w:color w:val="000000"/>
                <w:sz w:val="15"/>
                <w:szCs w:val="15"/>
              </w:rPr>
              <w:t>Continuous</w:t>
            </w:r>
          </w:p>
        </w:tc>
        <w:tc>
          <w:tcPr>
            <w:tcW w:w="8793" w:type="dxa"/>
            <w:tcBorders>
              <w:left w:val="nil"/>
              <w:bottom w:val="single" w:sz="8" w:space="0" w:color="auto"/>
              <w:right w:val="single" w:sz="8" w:space="0" w:color="auto"/>
            </w:tcBorders>
            <w:shd w:val="clear" w:color="auto" w:fill="auto"/>
            <w:vAlign w:val="center"/>
          </w:tcPr>
          <w:p w14:paraId="4C0D8696" w14:textId="2430E148" w:rsidR="00E24E43" w:rsidRPr="00D84429" w:rsidRDefault="00E24E43" w:rsidP="00E24E43">
            <w:pPr>
              <w:spacing w:line="276" w:lineRule="auto"/>
              <w:rPr>
                <w:rFonts w:ascii="Helvetica Neue" w:hAnsi="Helvetica Neue"/>
                <w:i/>
                <w:iCs/>
                <w:sz w:val="16"/>
                <w:szCs w:val="16"/>
              </w:rPr>
            </w:pPr>
            <w:r w:rsidRPr="00D84429">
              <w:rPr>
                <w:rFonts w:ascii="Helvetica Neue" w:hAnsi="Helvetica Neue"/>
                <w:i/>
                <w:iCs/>
                <w:sz w:val="16"/>
                <w:szCs w:val="16"/>
              </w:rPr>
              <w:t>--</w:t>
            </w:r>
          </w:p>
        </w:tc>
      </w:tr>
      <w:tr w:rsidR="00E24E43" w:rsidRPr="004B7867" w14:paraId="6B0F3178"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4B9C96AE" w14:textId="77777777" w:rsidR="00E24E43" w:rsidRPr="002C5B58" w:rsidRDefault="00E24E43" w:rsidP="00E24E43">
            <w:pPr>
              <w:spacing w:line="276" w:lineRule="auto"/>
              <w:jc w:val="center"/>
              <w:rPr>
                <w:rFonts w:ascii="Helvetica Neue" w:hAnsi="Helvetica Neue"/>
                <w:b/>
                <w:bCs/>
                <w:color w:val="FF0000"/>
                <w:sz w:val="16"/>
                <w:szCs w:val="16"/>
              </w:rPr>
            </w:pPr>
            <w:r w:rsidRPr="002C5B58">
              <w:rPr>
                <w:rFonts w:ascii="Helvetica Neue" w:hAnsi="Helvetica Neue"/>
                <w:b/>
                <w:bCs/>
                <w:sz w:val="16"/>
                <w:szCs w:val="16"/>
              </w:rPr>
              <w:t>Left Ventricular Remodelling</w:t>
            </w:r>
            <w:r>
              <w:rPr>
                <w:rFonts w:ascii="Helvetica Neue" w:hAnsi="Helvetica Neue"/>
                <w:b/>
                <w:bCs/>
                <w:sz w:val="16"/>
                <w:szCs w:val="16"/>
              </w:rPr>
              <w:t xml:space="preserve"> (LVR)</w:t>
            </w:r>
          </w:p>
        </w:tc>
        <w:tc>
          <w:tcPr>
            <w:tcW w:w="1418" w:type="dxa"/>
            <w:tcBorders>
              <w:top w:val="single" w:sz="8" w:space="0" w:color="auto"/>
              <w:left w:val="nil"/>
              <w:right w:val="nil"/>
            </w:tcBorders>
          </w:tcPr>
          <w:p w14:paraId="52746335" w14:textId="77777777" w:rsidR="00E24E43" w:rsidRDefault="00E24E43" w:rsidP="00E24E43">
            <w:pPr>
              <w:spacing w:line="276" w:lineRule="auto"/>
              <w:rPr>
                <w:rFonts w:ascii="Helvetica Neue" w:hAnsi="Helvetica Neue"/>
                <w:i/>
                <w:iCs/>
                <w:color w:val="000000"/>
                <w:sz w:val="15"/>
                <w:szCs w:val="15"/>
              </w:rPr>
            </w:pPr>
          </w:p>
          <w:p w14:paraId="70BAD65A" w14:textId="560EC65D" w:rsidR="00E24E43" w:rsidRPr="002C5B58" w:rsidRDefault="00E24E43" w:rsidP="00E24E43">
            <w:pPr>
              <w:spacing w:line="276" w:lineRule="auto"/>
              <w:ind w:left="172"/>
              <w:rPr>
                <w:rFonts w:ascii="Helvetica Neue" w:hAnsi="Helvetica Neue"/>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right w:val="single" w:sz="8" w:space="0" w:color="auto"/>
            </w:tcBorders>
            <w:shd w:val="pct10" w:color="auto" w:fill="auto"/>
            <w:vAlign w:val="center"/>
          </w:tcPr>
          <w:p w14:paraId="514D789C" w14:textId="5408CD5A" w:rsidR="00E24E43" w:rsidRPr="002C5B58" w:rsidRDefault="00E24E43" w:rsidP="00E24E43">
            <w:pPr>
              <w:spacing w:line="276" w:lineRule="auto"/>
              <w:ind w:left="172"/>
              <w:rPr>
                <w:rFonts w:ascii="Helvetica Neue" w:hAnsi="Helvetica Neue"/>
                <w:sz w:val="16"/>
                <w:szCs w:val="16"/>
              </w:rPr>
            </w:pPr>
            <w:r w:rsidRPr="002C5B58">
              <w:rPr>
                <w:rFonts w:ascii="Helvetica Neue" w:hAnsi="Helvetica Neue"/>
                <w:sz w:val="16"/>
                <w:szCs w:val="16"/>
              </w:rPr>
              <w:t>Relative myocardial wall thickness</w:t>
            </w:r>
          </w:p>
          <w:p w14:paraId="2418EBFD" w14:textId="77777777" w:rsidR="00E24E43" w:rsidRPr="00C77C40" w:rsidRDefault="00E24E43" w:rsidP="00E24E43">
            <w:pPr>
              <w:spacing w:line="276" w:lineRule="auto"/>
              <w:ind w:left="172"/>
              <w:rPr>
                <w:rFonts w:ascii="Helvetica Neue" w:hAnsi="Helvetica Neue"/>
                <w:i/>
                <w:iCs/>
                <w:color w:val="FF0000"/>
                <w:sz w:val="16"/>
                <w:szCs w:val="16"/>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E24E43" w:rsidRPr="004B7867" w14:paraId="0D7B4787"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40E9C8DF" w14:textId="77777777" w:rsidR="00E24E43" w:rsidRPr="00ED4260" w:rsidRDefault="00E24E43" w:rsidP="00E24E43">
            <w:pPr>
              <w:spacing w:line="276" w:lineRule="auto"/>
              <w:jc w:val="center"/>
              <w:rPr>
                <w:rFonts w:ascii="Helvetica Neue" w:hAnsi="Helvetica Neue"/>
                <w:color w:val="FF0000"/>
                <w:sz w:val="16"/>
                <w:szCs w:val="16"/>
              </w:rPr>
            </w:pPr>
          </w:p>
        </w:tc>
        <w:tc>
          <w:tcPr>
            <w:tcW w:w="1418" w:type="dxa"/>
            <w:tcBorders>
              <w:left w:val="nil"/>
              <w:bottom w:val="single" w:sz="8" w:space="0" w:color="auto"/>
              <w:right w:val="nil"/>
            </w:tcBorders>
          </w:tcPr>
          <w:p w14:paraId="0FDCBD06" w14:textId="77777777" w:rsidR="00E24E43" w:rsidRDefault="00E24E43" w:rsidP="00E24E43">
            <w:pPr>
              <w:spacing w:line="276" w:lineRule="auto"/>
              <w:rPr>
                <w:rFonts w:ascii="Helvetica Neue" w:hAnsi="Helvetica Neue"/>
                <w:i/>
                <w:iCs/>
                <w:color w:val="000000"/>
                <w:sz w:val="15"/>
                <w:szCs w:val="15"/>
              </w:rPr>
            </w:pPr>
          </w:p>
          <w:p w14:paraId="7E6AC0C9" w14:textId="224C3D7D" w:rsidR="00E24E43" w:rsidRPr="00D84429" w:rsidRDefault="00E24E43" w:rsidP="00E24E43">
            <w:pPr>
              <w:spacing w:line="276" w:lineRule="auto"/>
              <w:rPr>
                <w:rFonts w:ascii="Helvetica Neue" w:hAnsi="Helvetica Neue"/>
                <w:i/>
                <w:iCs/>
                <w:sz w:val="16"/>
                <w:szCs w:val="16"/>
              </w:rPr>
            </w:pPr>
            <w:r w:rsidRPr="00E24E43">
              <w:rPr>
                <w:rFonts w:ascii="Helvetica Neue" w:hAnsi="Helvetica Neue"/>
                <w:i/>
                <w:iCs/>
                <w:color w:val="000000"/>
                <w:sz w:val="15"/>
                <w:szCs w:val="15"/>
              </w:rPr>
              <w:t>Continuous</w:t>
            </w:r>
          </w:p>
        </w:tc>
        <w:tc>
          <w:tcPr>
            <w:tcW w:w="8793" w:type="dxa"/>
            <w:tcBorders>
              <w:left w:val="nil"/>
              <w:bottom w:val="single" w:sz="8" w:space="0" w:color="auto"/>
              <w:right w:val="single" w:sz="8" w:space="0" w:color="auto"/>
            </w:tcBorders>
            <w:vAlign w:val="center"/>
          </w:tcPr>
          <w:p w14:paraId="63CBEBA6" w14:textId="4ABE37AD" w:rsidR="00E24E43" w:rsidRPr="00D84429" w:rsidRDefault="00E24E43" w:rsidP="00E24E43">
            <w:pPr>
              <w:spacing w:line="276" w:lineRule="auto"/>
              <w:rPr>
                <w:rFonts w:ascii="Helvetica Neue" w:hAnsi="Helvetica Neue"/>
                <w:i/>
                <w:iCs/>
                <w:sz w:val="16"/>
                <w:szCs w:val="16"/>
              </w:rPr>
            </w:pPr>
            <w:r w:rsidRPr="00D84429">
              <w:rPr>
                <w:rFonts w:ascii="Helvetica Neue" w:hAnsi="Helvetica Neue"/>
                <w:i/>
                <w:iCs/>
                <w:sz w:val="16"/>
                <w:szCs w:val="16"/>
              </w:rPr>
              <w:t>--</w:t>
            </w:r>
          </w:p>
        </w:tc>
      </w:tr>
      <w:tr w:rsidR="00E24E43" w:rsidRPr="004B7867" w14:paraId="5F2950EB"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4D73BA91" w14:textId="77777777" w:rsidR="00E24E43" w:rsidRPr="00FF3A1C" w:rsidRDefault="00E24E43" w:rsidP="00E24E43">
            <w:pPr>
              <w:spacing w:line="276" w:lineRule="auto"/>
              <w:jc w:val="center"/>
              <w:rPr>
                <w:rFonts w:ascii="Helvetica Neue" w:hAnsi="Helvetica Neue"/>
                <w:b/>
                <w:bCs/>
                <w:sz w:val="16"/>
                <w:szCs w:val="16"/>
              </w:rPr>
            </w:pPr>
            <w:r w:rsidRPr="00FF3A1C">
              <w:rPr>
                <w:rFonts w:ascii="Helvetica Neue" w:hAnsi="Helvetica Neue"/>
                <w:b/>
                <w:bCs/>
                <w:sz w:val="16"/>
                <w:szCs w:val="16"/>
              </w:rPr>
              <w:t>Partner</w:t>
            </w:r>
          </w:p>
        </w:tc>
        <w:tc>
          <w:tcPr>
            <w:tcW w:w="1418" w:type="dxa"/>
            <w:tcBorders>
              <w:top w:val="single" w:sz="8" w:space="0" w:color="auto"/>
              <w:left w:val="nil"/>
              <w:right w:val="nil"/>
            </w:tcBorders>
          </w:tcPr>
          <w:p w14:paraId="118901FF" w14:textId="77777777" w:rsidR="00E24E43" w:rsidRDefault="00E24E43" w:rsidP="00E24E43">
            <w:pPr>
              <w:spacing w:line="276" w:lineRule="auto"/>
              <w:rPr>
                <w:rFonts w:ascii="Helvetica Neue" w:hAnsi="Helvetica Neue"/>
                <w:i/>
                <w:iCs/>
                <w:color w:val="000000"/>
                <w:sz w:val="15"/>
                <w:szCs w:val="15"/>
              </w:rPr>
            </w:pPr>
          </w:p>
          <w:p w14:paraId="2FA89986" w14:textId="501E56FF" w:rsidR="00E24E43" w:rsidRPr="00FF3A1C" w:rsidRDefault="00E24E43" w:rsidP="00E24E43">
            <w:pPr>
              <w:spacing w:line="276" w:lineRule="auto"/>
              <w:rPr>
                <w:rFonts w:ascii="Helvetica Neue" w:hAnsi="Helvetica Neue"/>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right w:val="single" w:sz="8" w:space="0" w:color="auto"/>
            </w:tcBorders>
            <w:shd w:val="pct10" w:color="auto" w:fill="auto"/>
            <w:vAlign w:val="center"/>
          </w:tcPr>
          <w:p w14:paraId="6BC9332D" w14:textId="6072D029" w:rsidR="00E24E43" w:rsidRPr="00FF3A1C" w:rsidRDefault="00E24E43" w:rsidP="00E24E43">
            <w:pPr>
              <w:spacing w:line="276" w:lineRule="auto"/>
              <w:rPr>
                <w:rFonts w:ascii="Helvetica Neue" w:hAnsi="Helvetica Neue"/>
                <w:sz w:val="16"/>
                <w:szCs w:val="16"/>
              </w:rPr>
            </w:pPr>
            <w:r w:rsidRPr="00FF3A1C">
              <w:rPr>
                <w:rFonts w:ascii="Helvetica Neue" w:hAnsi="Helvetica Neue"/>
                <w:sz w:val="16"/>
                <w:szCs w:val="16"/>
              </w:rPr>
              <w:t xml:space="preserve">Living with </w:t>
            </w:r>
            <w:r>
              <w:rPr>
                <w:rFonts w:ascii="Helvetica Neue" w:hAnsi="Helvetica Neue"/>
                <w:sz w:val="16"/>
                <w:szCs w:val="16"/>
              </w:rPr>
              <w:t xml:space="preserve">a </w:t>
            </w:r>
            <w:r w:rsidRPr="00FF3A1C">
              <w:rPr>
                <w:rFonts w:ascii="Helvetica Neue" w:hAnsi="Helvetica Neue"/>
                <w:sz w:val="16"/>
                <w:szCs w:val="16"/>
              </w:rPr>
              <w:t xml:space="preserve">spouse, </w:t>
            </w:r>
            <w:proofErr w:type="gramStart"/>
            <w:r w:rsidRPr="00FF3A1C">
              <w:rPr>
                <w:rFonts w:ascii="Helvetica Neue" w:hAnsi="Helvetica Neue"/>
                <w:sz w:val="16"/>
                <w:szCs w:val="16"/>
              </w:rPr>
              <w:t>Yes</w:t>
            </w:r>
            <w:proofErr w:type="gramEnd"/>
            <w:r w:rsidRPr="00FF3A1C">
              <w:rPr>
                <w:rFonts w:ascii="Helvetica Neue" w:hAnsi="Helvetica Neue"/>
                <w:sz w:val="16"/>
                <w:szCs w:val="16"/>
              </w:rPr>
              <w:t xml:space="preserve"> vs No</w:t>
            </w:r>
          </w:p>
          <w:p w14:paraId="20BD31C5" w14:textId="77777777" w:rsidR="00E24E43" w:rsidRPr="00FF3A1C" w:rsidRDefault="00E24E43" w:rsidP="00E24E43">
            <w:pPr>
              <w:spacing w:line="276" w:lineRule="auto"/>
              <w:ind w:left="175"/>
              <w:rPr>
                <w:rFonts w:ascii="Helvetica Neue" w:hAnsi="Helvetica Neue"/>
                <w:sz w:val="15"/>
                <w:szCs w:val="15"/>
              </w:rPr>
            </w:pPr>
            <w:r w:rsidRPr="00FF3A1C">
              <w:rPr>
                <w:rFonts w:ascii="Helvetica Neue" w:hAnsi="Helvetica Neue"/>
                <w:i/>
                <w:iCs/>
                <w:sz w:val="15"/>
                <w:szCs w:val="15"/>
              </w:rPr>
              <w:t>Daily energy expenditure</w:t>
            </w:r>
            <w:r w:rsidRPr="00D455C3">
              <w:rPr>
                <w:rFonts w:ascii="Helvetica Neue" w:hAnsi="Helvetica Neue"/>
                <w:sz w:val="15"/>
                <w:szCs w:val="15"/>
                <w:vertAlign w:val="superscript"/>
              </w:rPr>
              <w:t xml:space="preserve"> </w:t>
            </w:r>
            <w:r w:rsidRPr="00D455C3">
              <w:rPr>
                <w:rFonts w:ascii="Helvetica Neue" w:hAnsi="Helvetica Neue"/>
                <w:sz w:val="15"/>
                <w:szCs w:val="15"/>
                <w:vertAlign w:val="superscript"/>
              </w:rPr>
              <w:fldChar w:fldCharType="begin"/>
            </w:r>
            <w:r>
              <w:rPr>
                <w:rFonts w:ascii="Helvetica Neue" w:hAnsi="Helvetica Neue"/>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sz w:val="15"/>
                <w:szCs w:val="15"/>
                <w:vertAlign w:val="superscript"/>
              </w:rPr>
              <w:fldChar w:fldCharType="separate"/>
            </w:r>
            <w:r w:rsidRPr="00345AA3">
              <w:rPr>
                <w:rFonts w:ascii="Helvetica Neue" w:hAnsi="Helvetica Neue"/>
                <w:sz w:val="15"/>
                <w:szCs w:val="15"/>
              </w:rPr>
              <w:t>(Chien et al., 2014)</w:t>
            </w:r>
            <w:r w:rsidRPr="00D455C3">
              <w:rPr>
                <w:rFonts w:ascii="Helvetica Neue" w:hAnsi="Helvetica Neue"/>
                <w:sz w:val="15"/>
                <w:szCs w:val="15"/>
                <w:vertAlign w:val="superscript"/>
              </w:rPr>
              <w:fldChar w:fldCharType="end"/>
            </w:r>
          </w:p>
          <w:p w14:paraId="152B261D" w14:textId="77777777" w:rsidR="00E24E43" w:rsidRPr="00FF3A1C" w:rsidRDefault="00E24E43" w:rsidP="00E24E43">
            <w:pPr>
              <w:spacing w:line="276" w:lineRule="auto"/>
              <w:rPr>
                <w:rFonts w:ascii="Helvetica Neue" w:hAnsi="Helvetica Neue"/>
                <w:sz w:val="16"/>
                <w:szCs w:val="16"/>
              </w:rPr>
            </w:pPr>
            <w:r w:rsidRPr="00FF3A1C">
              <w:rPr>
                <w:rFonts w:ascii="Helvetica Neue" w:hAnsi="Helvetica Neue"/>
                <w:sz w:val="16"/>
                <w:szCs w:val="16"/>
              </w:rPr>
              <w:t>Marital status</w:t>
            </w:r>
          </w:p>
          <w:p w14:paraId="3361EE51" w14:textId="77777777" w:rsidR="00E24E43" w:rsidRPr="00FF3A1C" w:rsidRDefault="00E24E43" w:rsidP="00E24E43">
            <w:pPr>
              <w:spacing w:line="276" w:lineRule="auto"/>
              <w:ind w:left="175"/>
              <w:rPr>
                <w:rFonts w:ascii="Helvetica Neue" w:hAnsi="Helvetica Neue"/>
                <w:sz w:val="16"/>
                <w:szCs w:val="16"/>
              </w:rPr>
            </w:pPr>
            <w:r w:rsidRPr="00FF3A1C">
              <w:rPr>
                <w:rFonts w:ascii="Helvetica Neue" w:hAnsi="Helvetica Neue"/>
                <w:i/>
                <w:iCs/>
                <w:sz w:val="16"/>
                <w:szCs w:val="16"/>
              </w:rPr>
              <w:t>Compliance rate</w:t>
            </w:r>
            <w:r w:rsidRPr="00D455C3">
              <w:rPr>
                <w:rFonts w:ascii="Helvetica Neue" w:hAnsi="Helvetica Neue"/>
                <w:sz w:val="16"/>
                <w:szCs w:val="16"/>
                <w:vertAlign w:val="superscript"/>
              </w:rPr>
              <w:t xml:space="preserve"> </w:t>
            </w:r>
            <w:r w:rsidRPr="00D455C3">
              <w:rPr>
                <w:rFonts w:ascii="Helvetica Neue" w:hAnsi="Helvetica Neue"/>
                <w:sz w:val="16"/>
                <w:szCs w:val="16"/>
                <w:vertAlign w:val="superscript"/>
              </w:rPr>
              <w:fldChar w:fldCharType="begin"/>
            </w:r>
            <w:r>
              <w:rPr>
                <w:rFonts w:ascii="Helvetica Neue" w:hAnsi="Helvetica Neue"/>
                <w:sz w:val="16"/>
                <w:szCs w:val="16"/>
                <w:vertAlign w:val="superscript"/>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D455C3">
              <w:rPr>
                <w:rFonts w:ascii="Helvetica Neue" w:hAnsi="Helvetica Neue"/>
                <w:sz w:val="16"/>
                <w:szCs w:val="16"/>
                <w:vertAlign w:val="superscript"/>
              </w:rPr>
              <w:fldChar w:fldCharType="separate"/>
            </w:r>
            <w:r w:rsidRPr="00345AA3">
              <w:rPr>
                <w:rFonts w:ascii="Helvetica Neue" w:hAnsi="Helvetica Neue"/>
                <w:noProof/>
                <w:sz w:val="16"/>
                <w:szCs w:val="16"/>
              </w:rPr>
              <w:t>(L. S. Evangelista et al., 2001)</w:t>
            </w:r>
            <w:r w:rsidRPr="00D455C3">
              <w:rPr>
                <w:rFonts w:ascii="Helvetica Neue" w:hAnsi="Helvetica Neue"/>
                <w:sz w:val="16"/>
                <w:szCs w:val="16"/>
                <w:vertAlign w:val="superscript"/>
              </w:rPr>
              <w:fldChar w:fldCharType="end"/>
            </w:r>
          </w:p>
        </w:tc>
      </w:tr>
      <w:tr w:rsidR="00E24E43" w:rsidRPr="004B7867" w14:paraId="09D426D5"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4F12410E"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36FC59CA" w14:textId="77777777" w:rsidR="00E24E43" w:rsidRDefault="00E24E43" w:rsidP="00E24E43">
            <w:pPr>
              <w:spacing w:line="276" w:lineRule="auto"/>
              <w:rPr>
                <w:rFonts w:ascii="Helvetica Neue" w:hAnsi="Helvetica Neue"/>
                <w:i/>
                <w:iCs/>
                <w:color w:val="000000"/>
                <w:sz w:val="15"/>
                <w:szCs w:val="15"/>
              </w:rPr>
            </w:pPr>
          </w:p>
          <w:p w14:paraId="646CFABD" w14:textId="0A0D7C78" w:rsidR="00E24E43" w:rsidRPr="00C77C40" w:rsidRDefault="00E24E43" w:rsidP="00E24E43">
            <w:pPr>
              <w:spacing w:line="276" w:lineRule="auto"/>
              <w:rPr>
                <w:rFonts w:ascii="Helvetica Neue" w:hAnsi="Helvetica Neue"/>
                <w:i/>
                <w:iCs/>
                <w:color w:val="000000"/>
                <w:sz w:val="16"/>
                <w:szCs w:val="16"/>
              </w:rPr>
            </w:pPr>
            <w:r w:rsidRPr="00E24E43">
              <w:rPr>
                <w:rFonts w:ascii="Helvetica Neue" w:hAnsi="Helvetica Neue"/>
                <w:i/>
                <w:iCs/>
                <w:color w:val="000000"/>
                <w:sz w:val="15"/>
                <w:szCs w:val="15"/>
              </w:rPr>
              <w:t>Continuous</w:t>
            </w:r>
          </w:p>
        </w:tc>
        <w:tc>
          <w:tcPr>
            <w:tcW w:w="8793" w:type="dxa"/>
            <w:tcBorders>
              <w:left w:val="nil"/>
              <w:bottom w:val="single" w:sz="8" w:space="0" w:color="auto"/>
              <w:right w:val="single" w:sz="8" w:space="0" w:color="auto"/>
            </w:tcBorders>
            <w:shd w:val="clear" w:color="auto" w:fill="auto"/>
            <w:vAlign w:val="center"/>
          </w:tcPr>
          <w:p w14:paraId="0A568F54" w14:textId="72168158" w:rsidR="00E24E43" w:rsidRPr="00C77C40" w:rsidRDefault="00E24E43" w:rsidP="00E24E43">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E24E43" w:rsidRPr="004B7867" w14:paraId="5B653E62"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2AE2698F" w14:textId="77777777" w:rsidR="00E24E43" w:rsidRPr="007E4489" w:rsidRDefault="00E24E43" w:rsidP="00E24E43">
            <w:pPr>
              <w:spacing w:line="276" w:lineRule="auto"/>
              <w:jc w:val="center"/>
              <w:rPr>
                <w:rFonts w:ascii="Helvetica Neue" w:hAnsi="Helvetica Neue"/>
                <w:b/>
                <w:bCs/>
                <w:color w:val="000000" w:themeColor="text1"/>
                <w:sz w:val="16"/>
                <w:szCs w:val="16"/>
              </w:rPr>
            </w:pPr>
            <w:r w:rsidRPr="007E4489">
              <w:rPr>
                <w:rFonts w:ascii="Helvetica Neue" w:hAnsi="Helvetica Neue"/>
                <w:b/>
                <w:bCs/>
                <w:color w:val="000000" w:themeColor="text1"/>
                <w:sz w:val="16"/>
                <w:szCs w:val="16"/>
              </w:rPr>
              <w:t>PeakVO2</w:t>
            </w:r>
          </w:p>
        </w:tc>
        <w:tc>
          <w:tcPr>
            <w:tcW w:w="1418" w:type="dxa"/>
            <w:tcBorders>
              <w:top w:val="single" w:sz="8" w:space="0" w:color="auto"/>
              <w:left w:val="nil"/>
              <w:right w:val="nil"/>
            </w:tcBorders>
          </w:tcPr>
          <w:p w14:paraId="20D9298F" w14:textId="77777777" w:rsidR="00E24E43" w:rsidRDefault="00E24E43" w:rsidP="00E24E43">
            <w:pPr>
              <w:spacing w:line="276" w:lineRule="auto"/>
              <w:rPr>
                <w:rFonts w:ascii="Helvetica Neue" w:hAnsi="Helvetica Neue"/>
                <w:i/>
                <w:iCs/>
                <w:color w:val="000000"/>
                <w:sz w:val="15"/>
                <w:szCs w:val="15"/>
              </w:rPr>
            </w:pPr>
          </w:p>
          <w:p w14:paraId="6A5A7F30" w14:textId="461C22AC" w:rsidR="00E24E43" w:rsidRPr="00C77C40" w:rsidRDefault="00E24E43" w:rsidP="00E24E43">
            <w:pPr>
              <w:spacing w:line="276" w:lineRule="auto"/>
              <w:rPr>
                <w:rFonts w:ascii="Helvetica Neue" w:hAnsi="Helvetica Neue"/>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4AF864EC" w14:textId="43DC028C" w:rsidR="00E24E43" w:rsidRPr="00C77C40" w:rsidRDefault="00E24E43" w:rsidP="00E24E43">
            <w:pPr>
              <w:spacing w:line="276" w:lineRule="auto"/>
              <w:rPr>
                <w:rFonts w:ascii="Helvetica Neue" w:hAnsi="Helvetica Neue"/>
                <w:color w:val="000000" w:themeColor="text1"/>
                <w:sz w:val="16"/>
                <w:szCs w:val="16"/>
              </w:rPr>
            </w:pPr>
            <w:r w:rsidRPr="00C77C40">
              <w:rPr>
                <w:rFonts w:ascii="Helvetica Neue" w:hAnsi="Helvetica Neue"/>
                <w:color w:val="000000" w:themeColor="text1"/>
                <w:sz w:val="16"/>
                <w:szCs w:val="16"/>
              </w:rPr>
              <w:t>mL/kg/min</w:t>
            </w:r>
          </w:p>
          <w:p w14:paraId="364480A3" w14:textId="77777777" w:rsidR="00E24E43" w:rsidRPr="00C77C40" w:rsidRDefault="00E24E43" w:rsidP="00E24E43">
            <w:pPr>
              <w:spacing w:line="276" w:lineRule="auto"/>
              <w:ind w:left="175"/>
              <w:rPr>
                <w:rFonts w:ascii="Helvetica Neue" w:hAnsi="Helvetica Neue"/>
                <w:color w:val="000000" w:themeColor="text1"/>
                <w:sz w:val="15"/>
                <w:szCs w:val="15"/>
              </w:rPr>
            </w:pPr>
            <w:r w:rsidRPr="00C77C40">
              <w:rPr>
                <w:rFonts w:ascii="Helvetica Neue" w:hAnsi="Helvetica Neue"/>
                <w:i/>
                <w:iCs/>
                <w:color w:val="000000"/>
                <w:sz w:val="15"/>
                <w:szCs w:val="15"/>
              </w:rPr>
              <w:t>Compliant vs non-compliant with exercise prescription</w:t>
            </w:r>
            <w:r w:rsidRPr="003E135E">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(Corvera-Tindel et al., 2004)</w:t>
            </w:r>
            <w:r w:rsidRPr="00D455C3">
              <w:rPr>
                <w:rFonts w:ascii="Helvetica Neue" w:hAnsi="Helvetica Neue"/>
                <w:color w:val="000000" w:themeColor="text1"/>
                <w:sz w:val="15"/>
                <w:szCs w:val="15"/>
                <w:vertAlign w:val="superscript"/>
              </w:rPr>
              <w:fldChar w:fldCharType="end"/>
            </w:r>
          </w:p>
        </w:tc>
      </w:tr>
      <w:tr w:rsidR="00E24E43" w:rsidRPr="004B7867" w14:paraId="333464F7"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56170AB8" w14:textId="77777777" w:rsidR="00E24E43" w:rsidRPr="007E4489" w:rsidRDefault="00E24E43" w:rsidP="00E24E43">
            <w:pPr>
              <w:spacing w:line="276" w:lineRule="auto"/>
              <w:jc w:val="center"/>
              <w:rPr>
                <w:rFonts w:ascii="Helvetica Neue" w:hAnsi="Helvetica Neue"/>
                <w:color w:val="000000" w:themeColor="text1"/>
                <w:sz w:val="16"/>
                <w:szCs w:val="16"/>
              </w:rPr>
            </w:pPr>
          </w:p>
        </w:tc>
        <w:tc>
          <w:tcPr>
            <w:tcW w:w="1418" w:type="dxa"/>
            <w:tcBorders>
              <w:left w:val="nil"/>
              <w:bottom w:val="single" w:sz="8" w:space="0" w:color="auto"/>
              <w:right w:val="nil"/>
            </w:tcBorders>
          </w:tcPr>
          <w:p w14:paraId="406B0484" w14:textId="77777777" w:rsidR="00E24E43" w:rsidRDefault="00E24E43" w:rsidP="00E24E43">
            <w:pPr>
              <w:spacing w:line="276" w:lineRule="auto"/>
              <w:rPr>
                <w:rFonts w:ascii="Helvetica Neue" w:hAnsi="Helvetica Neue"/>
                <w:i/>
                <w:iCs/>
                <w:color w:val="000000"/>
                <w:sz w:val="15"/>
                <w:szCs w:val="15"/>
              </w:rPr>
            </w:pPr>
          </w:p>
          <w:p w14:paraId="7DE61F0C" w14:textId="6499023C" w:rsidR="00E24E43" w:rsidRPr="00C77C40" w:rsidRDefault="00E24E43" w:rsidP="00E24E43">
            <w:pPr>
              <w:spacing w:line="276" w:lineRule="auto"/>
              <w:rPr>
                <w:rFonts w:ascii="Helvetica Neue" w:hAnsi="Helvetica Neue"/>
                <w:color w:val="000000" w:themeColor="text1"/>
                <w:sz w:val="16"/>
                <w:szCs w:val="16"/>
              </w:rPr>
            </w:pPr>
            <w:r w:rsidRPr="00E24E43">
              <w:rPr>
                <w:rFonts w:ascii="Helvetica Neue" w:hAnsi="Helvetica Neue"/>
                <w:i/>
                <w:iCs/>
                <w:color w:val="000000"/>
                <w:sz w:val="15"/>
                <w:szCs w:val="15"/>
              </w:rPr>
              <w:lastRenderedPageBreak/>
              <w:t>Continuous</w:t>
            </w:r>
          </w:p>
        </w:tc>
        <w:tc>
          <w:tcPr>
            <w:tcW w:w="8793" w:type="dxa"/>
            <w:tcBorders>
              <w:top w:val="dotted" w:sz="4" w:space="0" w:color="auto"/>
              <w:left w:val="nil"/>
              <w:bottom w:val="single" w:sz="8" w:space="0" w:color="auto"/>
              <w:right w:val="single" w:sz="8" w:space="0" w:color="auto"/>
            </w:tcBorders>
            <w:vAlign w:val="center"/>
          </w:tcPr>
          <w:p w14:paraId="4D031BDF" w14:textId="2CCE3579" w:rsidR="00E24E43" w:rsidRPr="00C77C40" w:rsidRDefault="00E24E43" w:rsidP="00E24E43">
            <w:pPr>
              <w:spacing w:line="276" w:lineRule="auto"/>
              <w:rPr>
                <w:rFonts w:ascii="Helvetica Neue" w:hAnsi="Helvetica Neue"/>
                <w:color w:val="000000" w:themeColor="text1"/>
                <w:sz w:val="16"/>
                <w:szCs w:val="16"/>
              </w:rPr>
            </w:pPr>
            <w:r w:rsidRPr="00C77C40">
              <w:rPr>
                <w:rFonts w:ascii="Helvetica Neue" w:hAnsi="Helvetica Neue"/>
                <w:color w:val="000000" w:themeColor="text1"/>
                <w:sz w:val="16"/>
                <w:szCs w:val="16"/>
              </w:rPr>
              <w:lastRenderedPageBreak/>
              <w:t>mL/kg/min</w:t>
            </w:r>
          </w:p>
          <w:p w14:paraId="0B510A7D" w14:textId="77777777" w:rsidR="00E24E43" w:rsidRPr="00C77C40" w:rsidRDefault="00E24E43" w:rsidP="00E24E43">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5"/>
                <w:szCs w:val="15"/>
              </w:rPr>
              <w:lastRenderedPageBreak/>
              <w:t>Steps/day, total</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(Werhahn et al., 2019)</w:t>
            </w:r>
            <w:r w:rsidRPr="00D455C3">
              <w:rPr>
                <w:rFonts w:ascii="Helvetica Neue" w:hAnsi="Helvetica Neue"/>
                <w:i/>
                <w:iCs/>
                <w:color w:val="000000" w:themeColor="text1"/>
                <w:sz w:val="15"/>
                <w:szCs w:val="15"/>
                <w:vertAlign w:val="superscript"/>
              </w:rPr>
              <w:fldChar w:fldCharType="end"/>
            </w:r>
          </w:p>
        </w:tc>
      </w:tr>
      <w:tr w:rsidR="00E24E43" w:rsidRPr="004B7867" w14:paraId="3C650AF7"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7C123324"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lastRenderedPageBreak/>
              <w:t xml:space="preserve">Perceived </w:t>
            </w:r>
            <w:r>
              <w:rPr>
                <w:rFonts w:ascii="Helvetica Neue" w:hAnsi="Helvetica Neue"/>
                <w:b/>
                <w:bCs/>
                <w:color w:val="000000"/>
                <w:sz w:val="16"/>
                <w:szCs w:val="16"/>
              </w:rPr>
              <w:t>e</w:t>
            </w:r>
            <w:r w:rsidRPr="004B7867">
              <w:rPr>
                <w:rFonts w:ascii="Helvetica Neue" w:hAnsi="Helvetica Neue"/>
                <w:b/>
                <w:bCs/>
                <w:color w:val="000000"/>
                <w:sz w:val="16"/>
                <w:szCs w:val="16"/>
              </w:rPr>
              <w:t>xertion</w:t>
            </w:r>
          </w:p>
        </w:tc>
        <w:tc>
          <w:tcPr>
            <w:tcW w:w="1418" w:type="dxa"/>
            <w:tcBorders>
              <w:top w:val="single" w:sz="8" w:space="0" w:color="auto"/>
              <w:left w:val="nil"/>
              <w:right w:val="nil"/>
            </w:tcBorders>
          </w:tcPr>
          <w:p w14:paraId="75CDFF5B" w14:textId="77777777" w:rsidR="00E24E43" w:rsidRDefault="00E24E43" w:rsidP="00E24E43">
            <w:pPr>
              <w:spacing w:line="276" w:lineRule="auto"/>
              <w:rPr>
                <w:rFonts w:ascii="Helvetica Neue" w:hAnsi="Helvetica Neue"/>
                <w:i/>
                <w:iCs/>
                <w:color w:val="000000"/>
                <w:sz w:val="15"/>
                <w:szCs w:val="15"/>
              </w:rPr>
            </w:pPr>
          </w:p>
          <w:p w14:paraId="7F7EAE86" w14:textId="7ACA30C1" w:rsidR="00E24E43" w:rsidRPr="00C77C40" w:rsidRDefault="00E24E43" w:rsidP="00E24E43">
            <w:pPr>
              <w:spacing w:line="276" w:lineRule="auto"/>
              <w:rPr>
                <w:rFonts w:ascii="Helvetica Neue" w:hAnsi="Helvetica Neue"/>
                <w:i/>
                <w:iCs/>
                <w:color w:val="000000"/>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6140DCFE" w14:textId="00420321" w:rsidR="00E24E43" w:rsidRPr="00C77C40" w:rsidRDefault="00E24E43" w:rsidP="00E24E43">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E24E43" w:rsidRPr="004B7867" w14:paraId="41A44080"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0B6271A3"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39BD4F21" w14:textId="77777777" w:rsidR="00E24E43" w:rsidRDefault="00E24E43" w:rsidP="00E24E43">
            <w:pPr>
              <w:spacing w:line="276" w:lineRule="auto"/>
              <w:rPr>
                <w:rFonts w:ascii="Helvetica Neue" w:hAnsi="Helvetica Neue"/>
                <w:i/>
                <w:iCs/>
                <w:color w:val="000000"/>
                <w:sz w:val="15"/>
                <w:szCs w:val="15"/>
              </w:rPr>
            </w:pPr>
          </w:p>
          <w:p w14:paraId="521A8008" w14:textId="2E9177EF" w:rsidR="00E24E43" w:rsidRPr="00C77C40" w:rsidRDefault="00E24E43" w:rsidP="00E24E43">
            <w:pPr>
              <w:spacing w:line="276" w:lineRule="auto"/>
              <w:rPr>
                <w:rFonts w:ascii="Helvetica Neue" w:hAnsi="Helvetica Neue"/>
                <w:i/>
                <w:iCs/>
                <w:color w:val="000000"/>
                <w:sz w:val="16"/>
                <w:szCs w:val="16"/>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5AAE2DC4" w14:textId="39FA4AF6" w:rsidR="00E24E43" w:rsidRPr="00C77C40" w:rsidRDefault="00E24E43" w:rsidP="00E24E43">
            <w:pPr>
              <w:spacing w:line="276" w:lineRule="auto"/>
              <w:ind w:left="175"/>
              <w:rPr>
                <w:rFonts w:ascii="Helvetica Neue" w:hAnsi="Helvetica Neue"/>
                <w:i/>
                <w:iCs/>
                <w:color w:val="000000"/>
                <w:sz w:val="16"/>
                <w:szCs w:val="16"/>
              </w:rPr>
            </w:pPr>
            <w:r w:rsidRPr="00C77C40">
              <w:rPr>
                <w:rFonts w:ascii="Helvetica Neue" w:hAnsi="Helvetica Neue"/>
                <w:i/>
                <w:iCs/>
                <w:color w:val="000000"/>
                <w:sz w:val="16"/>
                <w:szCs w:val="16"/>
              </w:rPr>
              <w:t>IPAQ scale</w:t>
            </w:r>
            <w:r w:rsidRPr="00D455C3">
              <w:rPr>
                <w:rFonts w:ascii="Helvetica Neue" w:hAnsi="Helvetica Neue"/>
                <w:i/>
                <w:iCs/>
                <w:color w:val="000000"/>
                <w:sz w:val="16"/>
                <w:szCs w:val="16"/>
                <w:vertAlign w:val="superscript"/>
              </w:rPr>
              <w:t xml:space="preserve"> </w:t>
            </w:r>
            <w:r w:rsidRPr="00D455C3">
              <w:rPr>
                <w:rFonts w:ascii="Helvetica Neue" w:hAnsi="Helvetica Neue"/>
                <w:i/>
                <w:iCs/>
                <w:color w:val="000000"/>
                <w:sz w:val="16"/>
                <w:szCs w:val="16"/>
                <w:vertAlign w:val="superscript"/>
              </w:rPr>
              <w:fldChar w:fldCharType="begin"/>
            </w:r>
            <w:r>
              <w:rPr>
                <w:rFonts w:ascii="Helvetica Neue" w:hAnsi="Helvetica Neue"/>
                <w:i/>
                <w:iCs/>
                <w:color w:val="000000"/>
                <w:sz w:val="16"/>
                <w:szCs w:val="16"/>
                <w:vertAlign w:val="superscript"/>
              </w:rPr>
              <w:instrText>ADDIN F1000_CSL_CITATION&lt;~#@#~&gt;[{"DOI":"10.1016/s0002-9149(96)90588-3","First":false,"Last":false,"PMID":"8546084","abstract":"To identify predictors of physical activity levels in patients with chronic heart failure, 43 patients, aged 33 to 91 years, who had well-compensated heart failure were asked to perform a symptom-limited exercise treadmill test and to complete activity logs for 2 consecutive days while wearing an ambulatory heart rate activity monitor. Activity logs included information on the type of activity, duration, rating of perceived exertion, symptoms experienced, and the intensity of symptoms. Subjects also completed the Duke Activity Status Index, a brief self-administered questionnaire that assesses physical functioning, and a self-efficacy for general activity questionnaire. Simultaneous multiple regression analysis was used to predict physical activity levels from a model that included: personal variables of physical fitness (peak oxygen consumption); knowledge, attitudes, and beliefs including self-efficacy for general activity, and rating of perceived exertion during daily activity; and environmental factors such as social support (marital status). The overall model explained 38% of the variance (p &lt;  0.001). Self-efficacy (p = 0.015) was the strongest predictor of physical activity in this group. From this initial descriptive study, we conclude that self-efficacy is a better predictor of performance of physical activity than measures of physical fitness or rating of perceived exertion during activity. Additional studies are needed to examine other behavioral and physiologic mediators as well as behavioral strategies that may be used to increase participation in physical activity programs. Particularly promising are strategies to enhance self-efficacy for exercise.","author":[{"family":"Oka","given":"R K"},{"family":"Gortner","given":"S R"},{"family":"Stotts","given":"N A"},{"family":"Haskell","given":"W L"}],"authorYearDisplayFormat":false,"citation-label":"8493421","container-title":"The American Journal of Cardiology","container-title-short":"Am. J. Cardiol.","id":"8493421","invisible":false,"issue":"2","issued":{"date-parts":[["1996","1","15"]]},"journalAbbreviation":"Am. J. Cardiol.","page":"159-163","suppress-author":false,"title":"Predictors of physical activity in patients with chronic heart failure secondary to either ischemic or idiopathic dilated cardiomyopathy.","type":"article-journal","volume":"77"}]</w:instrText>
            </w:r>
            <w:r w:rsidRPr="00D455C3">
              <w:rPr>
                <w:rFonts w:ascii="Helvetica Neue" w:hAnsi="Helvetica Neue"/>
                <w:i/>
                <w:iCs/>
                <w:color w:val="000000"/>
                <w:sz w:val="16"/>
                <w:szCs w:val="16"/>
                <w:vertAlign w:val="superscript"/>
              </w:rPr>
              <w:fldChar w:fldCharType="separate"/>
            </w:r>
            <w:r w:rsidRPr="00345AA3">
              <w:rPr>
                <w:rFonts w:ascii="Helvetica Neue" w:hAnsi="Helvetica Neue"/>
                <w:iCs/>
                <w:noProof/>
                <w:color w:val="000000"/>
                <w:sz w:val="16"/>
                <w:szCs w:val="16"/>
              </w:rPr>
              <w:t>(Oka et al., 1996)</w:t>
            </w:r>
            <w:r w:rsidRPr="00D455C3">
              <w:rPr>
                <w:rFonts w:ascii="Helvetica Neue" w:hAnsi="Helvetica Neue"/>
                <w:i/>
                <w:iCs/>
                <w:color w:val="000000"/>
                <w:sz w:val="16"/>
                <w:szCs w:val="16"/>
                <w:vertAlign w:val="superscript"/>
              </w:rPr>
              <w:fldChar w:fldCharType="end"/>
            </w:r>
          </w:p>
        </w:tc>
      </w:tr>
      <w:tr w:rsidR="00E24E43" w:rsidRPr="004B7867" w14:paraId="4B75C577"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554B4125" w14:textId="77777777" w:rsidR="00E24E43" w:rsidRPr="004612D5" w:rsidRDefault="00E24E43" w:rsidP="00E24E43">
            <w:pPr>
              <w:spacing w:line="276" w:lineRule="auto"/>
              <w:jc w:val="center"/>
              <w:rPr>
                <w:rFonts w:ascii="Helvetica Neue" w:hAnsi="Helvetica Neue"/>
                <w:b/>
                <w:bCs/>
                <w:color w:val="FF0000"/>
                <w:sz w:val="16"/>
                <w:szCs w:val="16"/>
              </w:rPr>
            </w:pPr>
            <w:r w:rsidRPr="000B5359">
              <w:rPr>
                <w:rFonts w:ascii="Helvetica Neue" w:hAnsi="Helvetica Neue"/>
                <w:b/>
                <w:bCs/>
                <w:color w:val="000000" w:themeColor="text1"/>
                <w:sz w:val="16"/>
                <w:szCs w:val="16"/>
              </w:rPr>
              <w:t>Q</w:t>
            </w:r>
            <w:r>
              <w:rPr>
                <w:rFonts w:ascii="Helvetica Neue" w:hAnsi="Helvetica Neue"/>
                <w:b/>
                <w:bCs/>
                <w:color w:val="000000" w:themeColor="text1"/>
                <w:sz w:val="16"/>
                <w:szCs w:val="16"/>
              </w:rPr>
              <w:t xml:space="preserve">uality </w:t>
            </w:r>
            <w:r w:rsidRPr="000B5359">
              <w:rPr>
                <w:rFonts w:ascii="Helvetica Neue" w:hAnsi="Helvetica Neue"/>
                <w:b/>
                <w:bCs/>
                <w:color w:val="000000" w:themeColor="text1"/>
                <w:sz w:val="16"/>
                <w:szCs w:val="16"/>
              </w:rPr>
              <w:t>o</w:t>
            </w:r>
            <w:r>
              <w:rPr>
                <w:rFonts w:ascii="Helvetica Neue" w:hAnsi="Helvetica Neue"/>
                <w:b/>
                <w:bCs/>
                <w:color w:val="000000" w:themeColor="text1"/>
                <w:sz w:val="16"/>
                <w:szCs w:val="16"/>
              </w:rPr>
              <w:t xml:space="preserve">f </w:t>
            </w:r>
            <w:r w:rsidRPr="000B5359">
              <w:rPr>
                <w:rFonts w:ascii="Helvetica Neue" w:hAnsi="Helvetica Neue"/>
                <w:b/>
                <w:bCs/>
                <w:color w:val="000000" w:themeColor="text1"/>
                <w:sz w:val="16"/>
                <w:szCs w:val="16"/>
              </w:rPr>
              <w:t>L</w:t>
            </w:r>
            <w:r>
              <w:rPr>
                <w:rFonts w:ascii="Helvetica Neue" w:hAnsi="Helvetica Neue"/>
                <w:b/>
                <w:bCs/>
                <w:color w:val="000000" w:themeColor="text1"/>
                <w:sz w:val="16"/>
                <w:szCs w:val="16"/>
              </w:rPr>
              <w:t>ife (QoL)</w:t>
            </w:r>
          </w:p>
        </w:tc>
        <w:tc>
          <w:tcPr>
            <w:tcW w:w="1418" w:type="dxa"/>
            <w:tcBorders>
              <w:top w:val="single" w:sz="8" w:space="0" w:color="auto"/>
              <w:left w:val="nil"/>
              <w:right w:val="nil"/>
            </w:tcBorders>
          </w:tcPr>
          <w:p w14:paraId="568A03E0" w14:textId="77777777" w:rsidR="00E24E43" w:rsidRDefault="00E24E43" w:rsidP="00E24E43">
            <w:pPr>
              <w:spacing w:line="276" w:lineRule="auto"/>
              <w:rPr>
                <w:rFonts w:ascii="Helvetica Neue" w:hAnsi="Helvetica Neue"/>
                <w:i/>
                <w:iCs/>
                <w:color w:val="000000"/>
                <w:sz w:val="15"/>
                <w:szCs w:val="15"/>
              </w:rPr>
            </w:pPr>
          </w:p>
          <w:p w14:paraId="0AF2FD3A" w14:textId="07C39CE4" w:rsidR="00E24E43" w:rsidRPr="007B3F2C" w:rsidRDefault="00E24E43" w:rsidP="00E24E43">
            <w:pPr>
              <w:spacing w:line="276" w:lineRule="auto"/>
              <w:rPr>
                <w:rFonts w:ascii="Helvetica Neue" w:hAnsi="Helvetica Neue"/>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430F0FB1" w14:textId="5DAE8361" w:rsidR="00E24E43" w:rsidRPr="007B3F2C" w:rsidRDefault="00E24E43" w:rsidP="00E24E43">
            <w:pPr>
              <w:spacing w:line="276" w:lineRule="auto"/>
              <w:rPr>
                <w:rFonts w:ascii="Helvetica Neue" w:hAnsi="Helvetica Neue"/>
                <w:sz w:val="16"/>
                <w:szCs w:val="16"/>
              </w:rPr>
            </w:pPr>
            <w:r w:rsidRPr="007B3F2C">
              <w:rPr>
                <w:rFonts w:ascii="Helvetica Neue" w:hAnsi="Helvetica Neue"/>
                <w:sz w:val="16"/>
                <w:szCs w:val="16"/>
              </w:rPr>
              <w:t>KCCQ scale</w:t>
            </w:r>
            <w:r>
              <w:rPr>
                <w:rFonts w:ascii="Helvetica Neue" w:hAnsi="Helvetica Neue"/>
                <w:sz w:val="16"/>
                <w:szCs w:val="16"/>
                <w:vertAlign w:val="superscript"/>
              </w:rPr>
              <w:t>6</w:t>
            </w:r>
            <w:r>
              <w:rPr>
                <w:rFonts w:ascii="Helvetica Neue" w:hAnsi="Helvetica Neue"/>
                <w:sz w:val="16"/>
                <w:szCs w:val="16"/>
              </w:rPr>
              <w:t xml:space="preserve"> total </w:t>
            </w:r>
            <w:r w:rsidRPr="007B3F2C">
              <w:rPr>
                <w:rFonts w:ascii="Helvetica Neue" w:hAnsi="Helvetica Neue"/>
                <w:sz w:val="16"/>
                <w:szCs w:val="16"/>
              </w:rPr>
              <w:t>score</w:t>
            </w:r>
          </w:p>
          <w:p w14:paraId="33D9DEAE" w14:textId="77777777" w:rsidR="00E24E43" w:rsidRPr="007B3F2C" w:rsidRDefault="00E24E43" w:rsidP="00E24E43">
            <w:pPr>
              <w:spacing w:line="276" w:lineRule="auto"/>
              <w:ind w:left="175"/>
              <w:rPr>
                <w:rFonts w:ascii="Helvetica Neue" w:hAnsi="Helvetica Neue"/>
                <w:i/>
                <w:iCs/>
                <w:sz w:val="16"/>
                <w:szCs w:val="16"/>
              </w:rPr>
            </w:pPr>
            <w:r w:rsidRPr="007B3F2C">
              <w:rPr>
                <w:rFonts w:ascii="Helvetica Neue" w:hAnsi="Helvetica Neue"/>
                <w:i/>
                <w:iCs/>
                <w:sz w:val="16"/>
                <w:szCs w:val="16"/>
              </w:rPr>
              <w:t xml:space="preserve">Daily accelerometry units – lowest </w:t>
            </w:r>
            <w:proofErr w:type="spellStart"/>
            <w:r w:rsidRPr="007B3F2C">
              <w:rPr>
                <w:rFonts w:ascii="Helvetica Neue" w:hAnsi="Helvetica Neue"/>
                <w:i/>
                <w:iCs/>
                <w:sz w:val="16"/>
                <w:szCs w:val="16"/>
              </w:rPr>
              <w:t>tertile</w:t>
            </w:r>
            <w:proofErr w:type="spellEnd"/>
            <w:r w:rsidRPr="007B3F2C">
              <w:rPr>
                <w:rFonts w:ascii="Helvetica Neue" w:hAnsi="Helvetica Neue"/>
                <w:i/>
                <w:iCs/>
                <w:sz w:val="16"/>
                <w:szCs w:val="16"/>
              </w:rPr>
              <w:t xml:space="preserve"> vs highest </w:t>
            </w:r>
            <w:proofErr w:type="spellStart"/>
            <w:r w:rsidRPr="007B3F2C">
              <w:rPr>
                <w:rFonts w:ascii="Helvetica Neue" w:hAnsi="Helvetica Neue"/>
                <w:i/>
                <w:iCs/>
                <w:sz w:val="16"/>
                <w:szCs w:val="16"/>
              </w:rPr>
              <w:t>tertile</w:t>
            </w:r>
            <w:proofErr w:type="spellEnd"/>
            <w:r>
              <w:rPr>
                <w:rFonts w:ascii="Helvetica Neue" w:hAnsi="Helvetica Neue"/>
                <w:i/>
                <w:iCs/>
                <w:sz w:val="16"/>
                <w:szCs w:val="16"/>
              </w:rPr>
              <w:t xml:space="preserve"> </w:t>
            </w:r>
            <w:r w:rsidRPr="00D455C3">
              <w:rPr>
                <w:rFonts w:ascii="Helvetica Neue" w:hAnsi="Helvetica Neue"/>
                <w:i/>
                <w:iCs/>
                <w:sz w:val="16"/>
                <w:szCs w:val="16"/>
                <w:vertAlign w:val="superscript"/>
              </w:rPr>
              <w:fldChar w:fldCharType="begin"/>
            </w:r>
            <w:r>
              <w:rPr>
                <w:rFonts w:ascii="Helvetica Neue" w:hAnsi="Helvetica Neue"/>
                <w:i/>
                <w:iCs/>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sz w:val="16"/>
                <w:szCs w:val="16"/>
                <w:vertAlign w:val="superscript"/>
              </w:rPr>
              <w:instrText>β</w:instrText>
            </w:r>
            <w:r>
              <w:rPr>
                <w:rFonts w:ascii="Helvetica Neue" w:hAnsi="Helvetica Neue"/>
                <w:i/>
                <w:iCs/>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sz w:val="16"/>
                <w:szCs w:val="16"/>
                <w:vertAlign w:val="superscript"/>
              </w:rPr>
              <w:fldChar w:fldCharType="separate"/>
            </w:r>
            <w:r w:rsidRPr="00345AA3">
              <w:rPr>
                <w:rFonts w:ascii="Helvetica Neue" w:hAnsi="Helvetica Neue"/>
                <w:iCs/>
                <w:noProof/>
                <w:sz w:val="16"/>
                <w:szCs w:val="16"/>
              </w:rPr>
              <w:t>(Snipelisky et al., 2017)</w:t>
            </w:r>
            <w:r w:rsidRPr="00D455C3">
              <w:rPr>
                <w:rFonts w:ascii="Helvetica Neue" w:hAnsi="Helvetica Neue"/>
                <w:i/>
                <w:iCs/>
                <w:sz w:val="16"/>
                <w:szCs w:val="16"/>
                <w:vertAlign w:val="superscript"/>
              </w:rPr>
              <w:fldChar w:fldCharType="end"/>
            </w:r>
            <w:r w:rsidRPr="007B3F2C">
              <w:rPr>
                <w:rFonts w:ascii="Helvetica Neue" w:hAnsi="Helvetica Neue"/>
                <w:i/>
                <w:iCs/>
                <w:sz w:val="16"/>
                <w:szCs w:val="16"/>
              </w:rPr>
              <w:t xml:space="preserve"> </w:t>
            </w:r>
          </w:p>
        </w:tc>
      </w:tr>
      <w:tr w:rsidR="00E24E43" w:rsidRPr="004B7867" w14:paraId="336D061F"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00254EAF" w14:textId="77777777" w:rsidR="00E24E43" w:rsidRPr="00B31A6C" w:rsidRDefault="00E24E43" w:rsidP="00E24E43">
            <w:pPr>
              <w:spacing w:line="276" w:lineRule="auto"/>
              <w:jc w:val="center"/>
              <w:rPr>
                <w:rFonts w:ascii="Helvetica Neue" w:hAnsi="Helvetica Neue"/>
                <w:color w:val="000000" w:themeColor="text1"/>
                <w:sz w:val="16"/>
                <w:szCs w:val="16"/>
              </w:rPr>
            </w:pPr>
          </w:p>
        </w:tc>
        <w:tc>
          <w:tcPr>
            <w:tcW w:w="1418" w:type="dxa"/>
            <w:tcBorders>
              <w:left w:val="nil"/>
              <w:bottom w:val="single" w:sz="8" w:space="0" w:color="auto"/>
              <w:right w:val="nil"/>
            </w:tcBorders>
          </w:tcPr>
          <w:p w14:paraId="76669B9C" w14:textId="77777777" w:rsidR="00E24E43" w:rsidRDefault="00E24E43" w:rsidP="00E24E43">
            <w:pPr>
              <w:spacing w:line="276" w:lineRule="auto"/>
              <w:rPr>
                <w:rFonts w:ascii="Helvetica Neue" w:hAnsi="Helvetica Neue"/>
                <w:i/>
                <w:iCs/>
                <w:color w:val="000000"/>
                <w:sz w:val="15"/>
                <w:szCs w:val="15"/>
              </w:rPr>
            </w:pPr>
          </w:p>
          <w:p w14:paraId="61B509FC" w14:textId="596CA622" w:rsidR="00E24E43" w:rsidRPr="00C77C40" w:rsidRDefault="00E24E43" w:rsidP="00E24E43">
            <w:pPr>
              <w:spacing w:line="276" w:lineRule="auto"/>
              <w:rPr>
                <w:rFonts w:ascii="Helvetica Neue" w:hAnsi="Helvetica Neue"/>
                <w:color w:val="000000" w:themeColor="text1"/>
                <w:sz w:val="16"/>
                <w:szCs w:val="16"/>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32484AFE" w14:textId="26E95D82" w:rsidR="00E24E43" w:rsidRPr="00C77C40" w:rsidRDefault="00E24E43" w:rsidP="00E24E43">
            <w:pPr>
              <w:spacing w:line="276" w:lineRule="auto"/>
              <w:rPr>
                <w:color w:val="000000" w:themeColor="text1"/>
                <w:vertAlign w:val="superscript"/>
              </w:rPr>
            </w:pPr>
            <w:r w:rsidRPr="00C77C40">
              <w:rPr>
                <w:rFonts w:ascii="Helvetica Neue" w:hAnsi="Helvetica Neue"/>
                <w:color w:val="000000" w:themeColor="text1"/>
                <w:sz w:val="16"/>
                <w:szCs w:val="16"/>
              </w:rPr>
              <w:t xml:space="preserve">KCCQ scale </w:t>
            </w:r>
            <w:r>
              <w:rPr>
                <w:rFonts w:ascii="Helvetica Neue" w:hAnsi="Helvetica Neue"/>
                <w:color w:val="000000" w:themeColor="text1"/>
                <w:sz w:val="16"/>
                <w:szCs w:val="16"/>
                <w:vertAlign w:val="superscript"/>
              </w:rPr>
              <w:t>5</w:t>
            </w:r>
            <w:r w:rsidRPr="00C77C40">
              <w:rPr>
                <w:rFonts w:ascii="Helvetica Neue" w:hAnsi="Helvetica Neue"/>
                <w:color w:val="000000" w:themeColor="text1"/>
                <w:sz w:val="16"/>
                <w:szCs w:val="16"/>
              </w:rPr>
              <w:t xml:space="preserve"> </w:t>
            </w:r>
            <w:r>
              <w:rPr>
                <w:rFonts w:ascii="Helvetica Neue" w:hAnsi="Helvetica Neue"/>
                <w:color w:val="000000" w:themeColor="text1"/>
                <w:sz w:val="16"/>
                <w:szCs w:val="16"/>
              </w:rPr>
              <w:t xml:space="preserve">total </w:t>
            </w:r>
            <w:r w:rsidRPr="00C77C40">
              <w:rPr>
                <w:rFonts w:ascii="Helvetica Neue" w:hAnsi="Helvetica Neue"/>
                <w:color w:val="000000" w:themeColor="text1"/>
                <w:sz w:val="16"/>
                <w:szCs w:val="16"/>
              </w:rPr>
              <w:t>score</w:t>
            </w:r>
          </w:p>
          <w:p w14:paraId="1A71CDB1" w14:textId="77777777" w:rsidR="00E24E43" w:rsidRPr="00C77C40" w:rsidRDefault="00E24E43" w:rsidP="00E24E43">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6"/>
                <w:szCs w:val="16"/>
              </w:rPr>
              <w:t>Energy expenditure</w:t>
            </w:r>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(Lee et al., 2016; Pozehl, Mcguire, et al., 2018)</w:t>
            </w:r>
            <w:r w:rsidRPr="00D455C3">
              <w:rPr>
                <w:rFonts w:ascii="Helvetica Neue" w:hAnsi="Helvetica Neue"/>
                <w:i/>
                <w:iCs/>
                <w:color w:val="000000" w:themeColor="text1"/>
                <w:sz w:val="16"/>
                <w:szCs w:val="16"/>
                <w:vertAlign w:val="superscript"/>
              </w:rPr>
              <w:fldChar w:fldCharType="end"/>
            </w:r>
          </w:p>
        </w:tc>
      </w:tr>
      <w:tr w:rsidR="00E24E43" w:rsidRPr="004B7867" w14:paraId="09B3F827"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tcPr>
          <w:p w14:paraId="7890B51D" w14:textId="77777777" w:rsidR="00E24E43" w:rsidRPr="00B31A6C" w:rsidRDefault="00E24E43" w:rsidP="00E24E43">
            <w:pPr>
              <w:spacing w:line="276" w:lineRule="auto"/>
              <w:jc w:val="center"/>
              <w:rPr>
                <w:rFonts w:ascii="Helvetica Neue" w:hAnsi="Helvetica Neue"/>
                <w:color w:val="000000" w:themeColor="text1"/>
                <w:sz w:val="16"/>
                <w:szCs w:val="16"/>
              </w:rPr>
            </w:pPr>
            <w:r w:rsidRPr="00B31A6C">
              <w:rPr>
                <w:rFonts w:ascii="Helvetica Neue" w:hAnsi="Helvetica Neue"/>
                <w:b/>
                <w:bCs/>
                <w:color w:val="000000" w:themeColor="text1"/>
                <w:sz w:val="16"/>
                <w:szCs w:val="16"/>
              </w:rPr>
              <w:t xml:space="preserve">Renal </w:t>
            </w:r>
            <w:r>
              <w:rPr>
                <w:rFonts w:ascii="Helvetica Neue" w:hAnsi="Helvetica Neue"/>
                <w:b/>
                <w:bCs/>
                <w:color w:val="000000" w:themeColor="text1"/>
                <w:sz w:val="16"/>
                <w:szCs w:val="16"/>
              </w:rPr>
              <w:t>f</w:t>
            </w:r>
            <w:r w:rsidRPr="00B31A6C">
              <w:rPr>
                <w:rFonts w:ascii="Helvetica Neue" w:hAnsi="Helvetica Neue"/>
                <w:b/>
                <w:bCs/>
                <w:color w:val="000000" w:themeColor="text1"/>
                <w:sz w:val="16"/>
                <w:szCs w:val="16"/>
              </w:rPr>
              <w:t>unction</w:t>
            </w:r>
          </w:p>
        </w:tc>
        <w:tc>
          <w:tcPr>
            <w:tcW w:w="1418" w:type="dxa"/>
            <w:tcBorders>
              <w:top w:val="single" w:sz="8" w:space="0" w:color="auto"/>
              <w:left w:val="nil"/>
              <w:right w:val="nil"/>
            </w:tcBorders>
          </w:tcPr>
          <w:p w14:paraId="251624EA" w14:textId="77777777" w:rsidR="00E24E43" w:rsidRDefault="00E24E43" w:rsidP="00E24E43">
            <w:pPr>
              <w:spacing w:line="276" w:lineRule="auto"/>
              <w:rPr>
                <w:rFonts w:ascii="Helvetica Neue" w:hAnsi="Helvetica Neue"/>
                <w:i/>
                <w:iCs/>
                <w:color w:val="000000"/>
                <w:sz w:val="15"/>
                <w:szCs w:val="15"/>
              </w:rPr>
            </w:pPr>
          </w:p>
          <w:p w14:paraId="1633DA87" w14:textId="5D92E405" w:rsidR="00E24E43" w:rsidRDefault="00E24E43" w:rsidP="00E24E43">
            <w:pPr>
              <w:spacing w:line="276" w:lineRule="auto"/>
              <w:ind w:left="30"/>
              <w:rPr>
                <w:rFonts w:ascii="Helvetica Neue" w:hAnsi="Helvetica Neue"/>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62812247" w14:textId="794CE681" w:rsidR="00E24E43" w:rsidRPr="003D1CBC" w:rsidRDefault="00E24E43" w:rsidP="00E24E43">
            <w:pPr>
              <w:spacing w:line="276" w:lineRule="auto"/>
              <w:ind w:left="30"/>
              <w:rPr>
                <w:rFonts w:ascii="Helvetica Neue" w:hAnsi="Helvetica Neue"/>
                <w:color w:val="000000" w:themeColor="text1"/>
                <w:sz w:val="16"/>
                <w:szCs w:val="16"/>
              </w:rPr>
            </w:pPr>
            <w:r>
              <w:rPr>
                <w:rFonts w:ascii="Helvetica Neue" w:hAnsi="Helvetica Neue"/>
                <w:color w:val="000000" w:themeColor="text1"/>
                <w:sz w:val="16"/>
                <w:szCs w:val="16"/>
              </w:rPr>
              <w:t>E</w:t>
            </w:r>
            <w:r w:rsidRPr="00DC5911">
              <w:rPr>
                <w:rFonts w:ascii="Helvetica Neue" w:hAnsi="Helvetica Neue"/>
                <w:color w:val="000000" w:themeColor="text1"/>
                <w:sz w:val="16"/>
                <w:szCs w:val="16"/>
              </w:rPr>
              <w:t>stimated glomerular filtration rate</w:t>
            </w:r>
            <w:r>
              <w:rPr>
                <w:rFonts w:ascii="Helvetica Neue" w:hAnsi="Helvetica Neue"/>
                <w:color w:val="000000" w:themeColor="text1"/>
                <w:sz w:val="16"/>
                <w:szCs w:val="16"/>
              </w:rPr>
              <w:t xml:space="preserve"> (</w:t>
            </w:r>
            <w:r w:rsidRPr="003D1CBC">
              <w:rPr>
                <w:rFonts w:ascii="Helvetica Neue" w:hAnsi="Helvetica Neue"/>
                <w:color w:val="000000" w:themeColor="text1"/>
                <w:sz w:val="16"/>
                <w:szCs w:val="16"/>
              </w:rPr>
              <w:t>eGFR</w:t>
            </w:r>
            <w:r>
              <w:rPr>
                <w:rFonts w:ascii="Helvetica Neue" w:hAnsi="Helvetica Neue"/>
                <w:color w:val="000000" w:themeColor="text1"/>
                <w:sz w:val="16"/>
                <w:szCs w:val="16"/>
              </w:rPr>
              <w:t>)</w:t>
            </w:r>
            <w:r w:rsidRPr="003D1CBC">
              <w:rPr>
                <w:rFonts w:ascii="Helvetica Neue" w:hAnsi="Helvetica Neue"/>
                <w:color w:val="000000" w:themeColor="text1"/>
                <w:sz w:val="16"/>
                <w:szCs w:val="16"/>
              </w:rPr>
              <w:t xml:space="preserve"> ml/min</w:t>
            </w:r>
          </w:p>
          <w:p w14:paraId="0F0CEAAB" w14:textId="77777777" w:rsidR="00E24E43" w:rsidRPr="00C77C40" w:rsidRDefault="00E24E43" w:rsidP="00E24E43">
            <w:pPr>
              <w:spacing w:line="276" w:lineRule="auto"/>
              <w:ind w:left="175"/>
              <w:rPr>
                <w:rFonts w:ascii="Helvetica Neue" w:hAnsi="Helvetica Neue"/>
                <w:i/>
                <w:iCs/>
                <w:color w:val="FF0000"/>
                <w:sz w:val="16"/>
                <w:szCs w:val="16"/>
              </w:rPr>
            </w:pPr>
            <w:r w:rsidRPr="00C77C40">
              <w:rPr>
                <w:rFonts w:ascii="Helvetica Neue" w:hAnsi="Helvetica Neue"/>
                <w:i/>
                <w:iCs/>
                <w:color w:val="000000" w:themeColor="text1"/>
                <w:sz w:val="16"/>
                <w:szCs w:val="16"/>
              </w:rPr>
              <w:t>Accelerometer units</w:t>
            </w:r>
            <w:r w:rsidRPr="00D455C3">
              <w:rPr>
                <w:rFonts w:ascii="Helvetica Neue" w:hAnsi="Helvetica Neue"/>
                <w:i/>
                <w:iCs/>
                <w:color w:val="000000" w:themeColor="text1"/>
                <w:sz w:val="15"/>
                <w:szCs w:val="15"/>
                <w:vertAlign w:val="superscript"/>
              </w:rPr>
              <w:t xml:space="preserve"> </w:t>
            </w:r>
            <w:r w:rsidRPr="00F34A7B">
              <w:rPr>
                <w:rFonts w:ascii="Helvetica Neue" w:hAnsi="Helvetica Neue"/>
                <w:i/>
                <w:iCs/>
                <w:color w:val="000000" w:themeColor="text1"/>
                <w:sz w:val="16"/>
                <w:szCs w:val="16"/>
              </w:rPr>
              <w:t xml:space="preserve">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5"/>
                <w:szCs w:val="15"/>
                <w:vertAlign w:val="superscript"/>
              </w:rPr>
              <w:instrText>β</w:instrText>
            </w:r>
            <w:r>
              <w:rPr>
                <w:rFonts w:ascii="Helvetica Neue" w:hAnsi="Helvetica Neue"/>
                <w:i/>
                <w:iCs/>
                <w:color w:val="000000" w:themeColor="text1"/>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(Snipelisky et al., 2017)</w:t>
            </w:r>
            <w:r w:rsidRPr="00D455C3">
              <w:rPr>
                <w:rFonts w:ascii="Helvetica Neue" w:hAnsi="Helvetica Neue"/>
                <w:i/>
                <w:iCs/>
                <w:color w:val="000000" w:themeColor="text1"/>
                <w:sz w:val="15"/>
                <w:szCs w:val="15"/>
                <w:vertAlign w:val="superscript"/>
              </w:rPr>
              <w:fldChar w:fldCharType="end"/>
            </w:r>
          </w:p>
        </w:tc>
      </w:tr>
      <w:tr w:rsidR="00E24E43" w:rsidRPr="004B7867" w14:paraId="0804CC6D"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5843A691"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left w:val="nil"/>
              <w:bottom w:val="single" w:sz="8" w:space="0" w:color="auto"/>
              <w:right w:val="nil"/>
            </w:tcBorders>
          </w:tcPr>
          <w:p w14:paraId="67428ACD" w14:textId="77777777" w:rsidR="00E24E43" w:rsidRDefault="00E24E43" w:rsidP="00E24E43">
            <w:pPr>
              <w:spacing w:line="276" w:lineRule="auto"/>
              <w:rPr>
                <w:rFonts w:ascii="Helvetica Neue" w:hAnsi="Helvetica Neue"/>
                <w:i/>
                <w:iCs/>
                <w:color w:val="000000"/>
                <w:sz w:val="15"/>
                <w:szCs w:val="15"/>
              </w:rPr>
            </w:pPr>
          </w:p>
          <w:p w14:paraId="368C1A8F" w14:textId="7ED3C564" w:rsidR="00E24E43" w:rsidRPr="00C77C40" w:rsidRDefault="00E24E43" w:rsidP="00E24E43">
            <w:pPr>
              <w:spacing w:line="276" w:lineRule="auto"/>
              <w:rPr>
                <w:rFonts w:ascii="Helvetica Neue" w:hAnsi="Helvetica Neue"/>
                <w:i/>
                <w:iCs/>
                <w:color w:val="000000"/>
                <w:sz w:val="16"/>
                <w:szCs w:val="16"/>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shd w:val="clear" w:color="auto" w:fill="auto"/>
            <w:vAlign w:val="center"/>
          </w:tcPr>
          <w:p w14:paraId="3659DD92" w14:textId="5E5323AA" w:rsidR="00E24E43" w:rsidRPr="00C77C40" w:rsidRDefault="00E24E43" w:rsidP="00E24E43">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E24E43" w:rsidRPr="004B7867" w14:paraId="1AFA1EE9"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3B231530"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Smoking</w:t>
            </w:r>
          </w:p>
        </w:tc>
        <w:tc>
          <w:tcPr>
            <w:tcW w:w="1418" w:type="dxa"/>
            <w:tcBorders>
              <w:top w:val="single" w:sz="8" w:space="0" w:color="auto"/>
              <w:left w:val="nil"/>
              <w:right w:val="nil"/>
            </w:tcBorders>
          </w:tcPr>
          <w:p w14:paraId="1FD0DA25" w14:textId="77777777" w:rsidR="00E24E43" w:rsidRDefault="00E24E43" w:rsidP="00E24E43">
            <w:pPr>
              <w:spacing w:line="276" w:lineRule="auto"/>
              <w:rPr>
                <w:rFonts w:ascii="Helvetica Neue" w:hAnsi="Helvetica Neue"/>
                <w:i/>
                <w:iCs/>
                <w:color w:val="000000"/>
                <w:sz w:val="15"/>
                <w:szCs w:val="15"/>
              </w:rPr>
            </w:pPr>
          </w:p>
          <w:p w14:paraId="3358EEB7" w14:textId="2A4D8D04" w:rsidR="00E24E43" w:rsidRPr="00C77C40" w:rsidRDefault="00E24E43" w:rsidP="00E24E43">
            <w:pPr>
              <w:spacing w:line="276" w:lineRule="auto"/>
              <w:rPr>
                <w:rFonts w:ascii="Helvetica Neue" w:hAnsi="Helvetica Neue"/>
                <w:i/>
                <w:iCs/>
                <w:color w:val="000000"/>
                <w:sz w:val="16"/>
                <w:szCs w:val="16"/>
              </w:rPr>
            </w:pPr>
            <w:r>
              <w:rPr>
                <w:rFonts w:ascii="Helvetica Neue" w:hAnsi="Helvetica Neue"/>
                <w:i/>
                <w:iCs/>
                <w:color w:val="000000"/>
                <w:sz w:val="15"/>
                <w:szCs w:val="15"/>
              </w:rPr>
              <w:t xml:space="preserve">Binary </w:t>
            </w:r>
          </w:p>
        </w:tc>
        <w:tc>
          <w:tcPr>
            <w:tcW w:w="8793" w:type="dxa"/>
            <w:tcBorders>
              <w:top w:val="single" w:sz="8" w:space="0" w:color="auto"/>
              <w:left w:val="nil"/>
              <w:bottom w:val="dotted" w:sz="4" w:space="0" w:color="auto"/>
              <w:right w:val="single" w:sz="8" w:space="0" w:color="auto"/>
            </w:tcBorders>
            <w:shd w:val="pct10" w:color="auto" w:fill="auto"/>
            <w:vAlign w:val="center"/>
          </w:tcPr>
          <w:p w14:paraId="4BF0B6FE" w14:textId="37E3A5B5" w:rsidR="00E24E43" w:rsidRPr="00C77C40" w:rsidRDefault="00E24E43" w:rsidP="00E24E43">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E24E43" w:rsidRPr="004B7867" w14:paraId="409CD883" w14:textId="77777777" w:rsidTr="00E24E43">
        <w:trPr>
          <w:trHeight w:val="260"/>
        </w:trPr>
        <w:tc>
          <w:tcPr>
            <w:tcW w:w="3109" w:type="dxa"/>
            <w:vMerge/>
            <w:tcBorders>
              <w:left w:val="single" w:sz="8" w:space="0" w:color="auto"/>
              <w:bottom w:val="single" w:sz="8" w:space="0" w:color="auto"/>
            </w:tcBorders>
            <w:shd w:val="clear" w:color="auto" w:fill="auto"/>
            <w:noWrap/>
            <w:vAlign w:val="center"/>
            <w:hideMark/>
          </w:tcPr>
          <w:p w14:paraId="08807F67" w14:textId="77777777" w:rsidR="00E24E43" w:rsidRPr="00631287" w:rsidRDefault="00E24E43" w:rsidP="00E24E43">
            <w:pPr>
              <w:spacing w:line="276" w:lineRule="auto"/>
              <w:jc w:val="center"/>
              <w:rPr>
                <w:rFonts w:ascii="Helvetica Neue" w:hAnsi="Helvetica Neue"/>
                <w:color w:val="000000" w:themeColor="text1"/>
                <w:sz w:val="16"/>
                <w:szCs w:val="16"/>
              </w:rPr>
            </w:pPr>
          </w:p>
        </w:tc>
        <w:tc>
          <w:tcPr>
            <w:tcW w:w="1418" w:type="dxa"/>
            <w:tcBorders>
              <w:left w:val="nil"/>
              <w:bottom w:val="single" w:sz="8" w:space="0" w:color="auto"/>
              <w:right w:val="nil"/>
            </w:tcBorders>
          </w:tcPr>
          <w:p w14:paraId="7C27A88B" w14:textId="77777777" w:rsidR="00E24E43" w:rsidRDefault="00E24E43" w:rsidP="00E24E43">
            <w:pPr>
              <w:spacing w:line="276" w:lineRule="auto"/>
              <w:rPr>
                <w:rFonts w:ascii="Helvetica Neue" w:hAnsi="Helvetica Neue"/>
                <w:i/>
                <w:iCs/>
                <w:color w:val="000000"/>
                <w:sz w:val="15"/>
                <w:szCs w:val="15"/>
              </w:rPr>
            </w:pPr>
          </w:p>
          <w:p w14:paraId="7C5FB633" w14:textId="1879D163" w:rsidR="00E24E43" w:rsidRPr="00C77C40" w:rsidRDefault="00E24E43" w:rsidP="00E24E43">
            <w:pPr>
              <w:spacing w:line="276" w:lineRule="auto"/>
              <w:rPr>
                <w:rFonts w:ascii="Helvetica Neue" w:hAnsi="Helvetica Neue"/>
                <w:color w:val="000000" w:themeColor="text1"/>
                <w:sz w:val="15"/>
                <w:szCs w:val="15"/>
              </w:rPr>
            </w:pPr>
            <w:r w:rsidRPr="00E24E43">
              <w:rPr>
                <w:rFonts w:ascii="Helvetica Neue" w:hAnsi="Helvetica Neue"/>
                <w:i/>
                <w:iCs/>
                <w:color w:val="000000"/>
                <w:sz w:val="15"/>
                <w:szCs w:val="15"/>
              </w:rPr>
              <w:t>Continuous</w:t>
            </w:r>
          </w:p>
        </w:tc>
        <w:tc>
          <w:tcPr>
            <w:tcW w:w="8793" w:type="dxa"/>
            <w:tcBorders>
              <w:top w:val="dotted" w:sz="4" w:space="0" w:color="auto"/>
              <w:left w:val="nil"/>
              <w:bottom w:val="single" w:sz="8" w:space="0" w:color="auto"/>
              <w:right w:val="single" w:sz="8" w:space="0" w:color="auto"/>
            </w:tcBorders>
            <w:vAlign w:val="center"/>
          </w:tcPr>
          <w:p w14:paraId="44A45315" w14:textId="75CAB3C6" w:rsidR="00E24E43" w:rsidRPr="00C77C40" w:rsidRDefault="00E24E43" w:rsidP="00E24E43">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Smoking (yes vs no)</w:t>
            </w:r>
          </w:p>
          <w:p w14:paraId="6F141D19" w14:textId="77777777" w:rsidR="00E24E43" w:rsidRPr="00C77C40" w:rsidRDefault="00E24E43" w:rsidP="00E24E43">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5"/>
                <w:szCs w:val="15"/>
              </w:rPr>
              <w:t>Energy expenditure</w:t>
            </w:r>
            <w:r w:rsidRPr="003E135E">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(Lee et al., 2016)</w:t>
            </w:r>
            <w:r w:rsidRPr="00D455C3">
              <w:rPr>
                <w:rFonts w:ascii="Helvetica Neue" w:hAnsi="Helvetica Neue"/>
                <w:i/>
                <w:iCs/>
                <w:color w:val="000000" w:themeColor="text1"/>
                <w:sz w:val="16"/>
                <w:szCs w:val="16"/>
                <w:vertAlign w:val="superscript"/>
              </w:rPr>
              <w:fldChar w:fldCharType="end"/>
            </w:r>
          </w:p>
        </w:tc>
      </w:tr>
      <w:tr w:rsidR="00E24E43" w:rsidRPr="004B7867" w14:paraId="0BBF7ED0" w14:textId="77777777" w:rsidTr="00E24E43">
        <w:trPr>
          <w:trHeight w:val="260"/>
        </w:trPr>
        <w:tc>
          <w:tcPr>
            <w:tcW w:w="3109" w:type="dxa"/>
            <w:vMerge w:val="restart"/>
            <w:tcBorders>
              <w:top w:val="single" w:sz="8" w:space="0" w:color="auto"/>
              <w:left w:val="single" w:sz="8" w:space="0" w:color="auto"/>
            </w:tcBorders>
            <w:shd w:val="clear" w:color="auto" w:fill="auto"/>
            <w:noWrap/>
            <w:vAlign w:val="center"/>
            <w:hideMark/>
          </w:tcPr>
          <w:p w14:paraId="5C2AF513" w14:textId="77777777" w:rsidR="00E24E43" w:rsidRPr="004B7867" w:rsidRDefault="00E24E43" w:rsidP="00E24E43">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Symptom distress</w:t>
            </w:r>
          </w:p>
        </w:tc>
        <w:tc>
          <w:tcPr>
            <w:tcW w:w="1418" w:type="dxa"/>
            <w:tcBorders>
              <w:top w:val="single" w:sz="8" w:space="0" w:color="auto"/>
            </w:tcBorders>
          </w:tcPr>
          <w:p w14:paraId="449943D9" w14:textId="77777777" w:rsidR="00E24E43" w:rsidRDefault="00E24E43" w:rsidP="00E24E43">
            <w:pPr>
              <w:spacing w:line="276" w:lineRule="auto"/>
              <w:rPr>
                <w:rFonts w:ascii="Helvetica Neue" w:hAnsi="Helvetica Neue"/>
                <w:i/>
                <w:iCs/>
                <w:color w:val="000000"/>
                <w:sz w:val="15"/>
                <w:szCs w:val="15"/>
              </w:rPr>
            </w:pPr>
          </w:p>
          <w:p w14:paraId="1DDD422A" w14:textId="46CCAE7A" w:rsidR="00E24E43" w:rsidRPr="00C77C40" w:rsidRDefault="00E24E43" w:rsidP="00E24E43">
            <w:pPr>
              <w:spacing w:line="276" w:lineRule="auto"/>
              <w:rPr>
                <w:rFonts w:ascii="Helvetica Neue" w:hAnsi="Helvetica Neue"/>
                <w:color w:val="000000" w:themeColor="text1"/>
                <w:sz w:val="16"/>
                <w:szCs w:val="16"/>
              </w:rPr>
            </w:pPr>
            <w:r>
              <w:rPr>
                <w:rFonts w:ascii="Helvetica Neue" w:hAnsi="Helvetica Neue"/>
                <w:i/>
                <w:iCs/>
                <w:color w:val="000000"/>
                <w:sz w:val="15"/>
                <w:szCs w:val="15"/>
              </w:rPr>
              <w:t xml:space="preserve">Binary </w:t>
            </w:r>
          </w:p>
        </w:tc>
        <w:tc>
          <w:tcPr>
            <w:tcW w:w="8793" w:type="dxa"/>
            <w:tcBorders>
              <w:top w:val="single" w:sz="8" w:space="0" w:color="auto"/>
              <w:right w:val="single" w:sz="8" w:space="0" w:color="auto"/>
            </w:tcBorders>
            <w:shd w:val="pct10" w:color="auto" w:fill="auto"/>
            <w:vAlign w:val="center"/>
          </w:tcPr>
          <w:p w14:paraId="7708D1C9" w14:textId="7EDDCBB8" w:rsidR="00E24E43" w:rsidRPr="00C77C40" w:rsidRDefault="00E24E43" w:rsidP="00E24E43">
            <w:pPr>
              <w:spacing w:line="276" w:lineRule="auto"/>
              <w:rPr>
                <w:rFonts w:ascii="Helvetica Neue" w:hAnsi="Helvetica Neue"/>
                <w:i/>
                <w:iCs/>
                <w:color w:val="000000"/>
                <w:sz w:val="16"/>
                <w:szCs w:val="16"/>
              </w:rPr>
            </w:pPr>
            <w:r w:rsidRPr="00C77C40">
              <w:rPr>
                <w:rFonts w:ascii="Helvetica Neue" w:hAnsi="Helvetica Neue"/>
                <w:color w:val="000000" w:themeColor="text1"/>
                <w:sz w:val="16"/>
                <w:szCs w:val="16"/>
              </w:rPr>
              <w:t>--</w:t>
            </w:r>
          </w:p>
        </w:tc>
      </w:tr>
      <w:tr w:rsidR="00E24E43" w:rsidRPr="004B7867" w14:paraId="7F6741E1" w14:textId="77777777" w:rsidTr="00E24E43">
        <w:trPr>
          <w:trHeight w:val="68"/>
        </w:trPr>
        <w:tc>
          <w:tcPr>
            <w:tcW w:w="3109" w:type="dxa"/>
            <w:vMerge/>
            <w:tcBorders>
              <w:left w:val="single" w:sz="8" w:space="0" w:color="auto"/>
              <w:bottom w:val="single" w:sz="8" w:space="0" w:color="auto"/>
            </w:tcBorders>
            <w:shd w:val="clear" w:color="auto" w:fill="auto"/>
            <w:vAlign w:val="center"/>
            <w:hideMark/>
          </w:tcPr>
          <w:p w14:paraId="4C709D9F" w14:textId="77777777" w:rsidR="00E24E43" w:rsidRPr="004B7867" w:rsidRDefault="00E24E43" w:rsidP="00E24E43">
            <w:pPr>
              <w:spacing w:line="276" w:lineRule="auto"/>
              <w:jc w:val="center"/>
              <w:rPr>
                <w:rFonts w:ascii="Helvetica Neue" w:hAnsi="Helvetica Neue"/>
                <w:color w:val="000000"/>
                <w:sz w:val="16"/>
                <w:szCs w:val="16"/>
              </w:rPr>
            </w:pPr>
          </w:p>
        </w:tc>
        <w:tc>
          <w:tcPr>
            <w:tcW w:w="1418" w:type="dxa"/>
            <w:tcBorders>
              <w:bottom w:val="single" w:sz="8" w:space="0" w:color="auto"/>
            </w:tcBorders>
          </w:tcPr>
          <w:p w14:paraId="354E6593" w14:textId="77777777" w:rsidR="00E24E43" w:rsidRDefault="00E24E43" w:rsidP="00E24E43">
            <w:pPr>
              <w:spacing w:line="276" w:lineRule="auto"/>
              <w:rPr>
                <w:rFonts w:ascii="Helvetica Neue" w:hAnsi="Helvetica Neue"/>
                <w:i/>
                <w:iCs/>
                <w:color w:val="000000"/>
                <w:sz w:val="15"/>
                <w:szCs w:val="15"/>
              </w:rPr>
            </w:pPr>
          </w:p>
          <w:p w14:paraId="4ED40358" w14:textId="1B9B776B" w:rsidR="00E24E43" w:rsidRPr="00C77C40" w:rsidRDefault="00E24E43" w:rsidP="00E24E43">
            <w:pPr>
              <w:spacing w:line="276" w:lineRule="auto"/>
              <w:rPr>
                <w:rFonts w:ascii="Helvetica Neue" w:hAnsi="Helvetica Neue"/>
                <w:color w:val="000000" w:themeColor="text1"/>
                <w:sz w:val="15"/>
                <w:szCs w:val="15"/>
              </w:rPr>
            </w:pPr>
            <w:r w:rsidRPr="00E24E43">
              <w:rPr>
                <w:rFonts w:ascii="Helvetica Neue" w:hAnsi="Helvetica Neue"/>
                <w:i/>
                <w:iCs/>
                <w:color w:val="000000"/>
                <w:sz w:val="15"/>
                <w:szCs w:val="15"/>
              </w:rPr>
              <w:t>Continuous</w:t>
            </w:r>
          </w:p>
        </w:tc>
        <w:tc>
          <w:tcPr>
            <w:tcW w:w="8793" w:type="dxa"/>
            <w:tcBorders>
              <w:top w:val="nil"/>
              <w:bottom w:val="single" w:sz="8" w:space="0" w:color="auto"/>
              <w:right w:val="single" w:sz="8" w:space="0" w:color="auto"/>
            </w:tcBorders>
            <w:shd w:val="clear" w:color="auto" w:fill="auto"/>
            <w:vAlign w:val="center"/>
          </w:tcPr>
          <w:p w14:paraId="79BC10B1" w14:textId="77777777" w:rsidR="00E24E43" w:rsidRDefault="00E24E43" w:rsidP="00E24E43">
            <w:pPr>
              <w:spacing w:line="276" w:lineRule="auto"/>
              <w:rPr>
                <w:rFonts w:ascii="Helvetica Neue" w:hAnsi="Helvetica Neue"/>
                <w:color w:val="000000" w:themeColor="text1"/>
                <w:sz w:val="15"/>
                <w:szCs w:val="15"/>
                <w:vertAlign w:val="superscript"/>
              </w:rPr>
            </w:pPr>
            <w:r w:rsidRPr="00C77C40">
              <w:rPr>
                <w:rFonts w:ascii="Helvetica Neue" w:hAnsi="Helvetica Neue"/>
                <w:color w:val="000000" w:themeColor="text1"/>
                <w:sz w:val="15"/>
                <w:szCs w:val="15"/>
              </w:rPr>
              <w:t xml:space="preserve">MSAS-SF </w:t>
            </w:r>
            <w:r w:rsidRPr="00C77C40">
              <w:rPr>
                <w:rFonts w:ascii="Helvetica Neue" w:hAnsi="Helvetica Neue"/>
                <w:color w:val="000000" w:themeColor="text1"/>
                <w:sz w:val="15"/>
                <w:szCs w:val="15"/>
                <w:vertAlign w:val="superscript"/>
              </w:rPr>
              <w:t>12</w:t>
            </w:r>
          </w:p>
          <w:p w14:paraId="175BAF1C" w14:textId="3641147F" w:rsidR="00E24E43" w:rsidRPr="00C77C40" w:rsidRDefault="00E24E43" w:rsidP="00E24E43">
            <w:pPr>
              <w:spacing w:line="276" w:lineRule="auto"/>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 xml:space="preserve">Energy expenditure, total daily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color w:val="000000" w:themeColor="text1"/>
                <w:sz w:val="15"/>
                <w:szCs w:val="15"/>
              </w:rPr>
              <w:t>(Chien et al., 2014)</w:t>
            </w:r>
            <w:r w:rsidRPr="00D455C3">
              <w:rPr>
                <w:rFonts w:ascii="Helvetica Neue" w:hAnsi="Helvetica Neue"/>
                <w:color w:val="000000" w:themeColor="text1"/>
                <w:sz w:val="15"/>
                <w:szCs w:val="15"/>
                <w:vertAlign w:val="superscript"/>
              </w:rPr>
              <w:fldChar w:fldCharType="end"/>
            </w:r>
          </w:p>
        </w:tc>
      </w:tr>
    </w:tbl>
    <w:p w14:paraId="003A9987" w14:textId="77777777" w:rsidR="002B3DD4" w:rsidRDefault="002B3DD4"/>
    <w:p w14:paraId="34FB34E3" w14:textId="77777777" w:rsidR="00E24E43" w:rsidRDefault="00E24E43">
      <w:pPr>
        <w:sectPr w:rsidR="00E24E43" w:rsidSect="00E24E43">
          <w:pgSz w:w="16840" w:h="11900" w:orient="landscape"/>
          <w:pgMar w:top="1440" w:right="1440" w:bottom="1440" w:left="1440" w:header="708" w:footer="708" w:gutter="0"/>
          <w:cols w:space="708"/>
          <w:docGrid w:linePitch="360"/>
        </w:sectPr>
      </w:pPr>
    </w:p>
    <w:p w14:paraId="7F872706" w14:textId="453F2724" w:rsidR="002C3F28" w:rsidRDefault="003E2B76">
      <w:r>
        <w:lastRenderedPageBreak/>
        <w:t>References:</w:t>
      </w:r>
    </w:p>
    <w:p w14:paraId="7784A41A" w14:textId="77777777" w:rsidR="002B3DD4" w:rsidRPr="002B3DD4" w:rsidRDefault="002B3DD4">
      <w:pPr>
        <w:widowControl w:val="0"/>
        <w:autoSpaceDE w:val="0"/>
        <w:autoSpaceDN w:val="0"/>
        <w:adjustRightInd w:val="0"/>
        <w:rPr>
          <w:noProof/>
        </w:rPr>
      </w:pPr>
      <w:r>
        <w:fldChar w:fldCharType="begin"/>
      </w:r>
      <w:r>
        <w:instrText>ADDIN F1000_CSL_BIBLIOGRAPHY</w:instrText>
      </w:r>
      <w:r>
        <w:fldChar w:fldCharType="separate"/>
      </w:r>
    </w:p>
    <w:p w14:paraId="36985FF3" w14:textId="77777777" w:rsidR="002B3DD4" w:rsidRPr="002B3DD4" w:rsidRDefault="002B3DD4">
      <w:pPr>
        <w:widowControl w:val="0"/>
        <w:autoSpaceDE w:val="0"/>
        <w:autoSpaceDN w:val="0"/>
        <w:adjustRightInd w:val="0"/>
        <w:ind w:left="720" w:hanging="720"/>
        <w:rPr>
          <w:noProof/>
        </w:rPr>
      </w:pPr>
      <w:r w:rsidRPr="002B3DD4">
        <w:rPr>
          <w:noProof/>
        </w:rPr>
        <w:t xml:space="preserve">Alosco, M. L., Spitznagel, M. B., Miller, L., Raz, N., Cohen, R., Sweet, L. H., … Gunstad, J. (2012). Depression is associated with reduced physical activity in persons with heart failure. </w:t>
      </w:r>
      <w:r w:rsidRPr="002B3DD4">
        <w:rPr>
          <w:i/>
          <w:iCs/>
          <w:noProof/>
        </w:rPr>
        <w:t>Health Psychology</w:t>
      </w:r>
      <w:r w:rsidRPr="002B3DD4">
        <w:rPr>
          <w:noProof/>
        </w:rPr>
        <w:t xml:space="preserve">, </w:t>
      </w:r>
      <w:r w:rsidRPr="002B3DD4">
        <w:rPr>
          <w:i/>
          <w:iCs/>
          <w:noProof/>
        </w:rPr>
        <w:t>31</w:t>
      </w:r>
      <w:r w:rsidRPr="002B3DD4">
        <w:rPr>
          <w:noProof/>
        </w:rPr>
        <w:t>(6), 754–762. https://doi.org/10.1037/a0028711</w:t>
      </w:r>
    </w:p>
    <w:p w14:paraId="0EA5B357" w14:textId="77777777" w:rsidR="002B3DD4" w:rsidRPr="002B3DD4" w:rsidRDefault="002B3DD4">
      <w:pPr>
        <w:widowControl w:val="0"/>
        <w:autoSpaceDE w:val="0"/>
        <w:autoSpaceDN w:val="0"/>
        <w:adjustRightInd w:val="0"/>
        <w:ind w:left="720" w:hanging="720"/>
        <w:rPr>
          <w:noProof/>
        </w:rPr>
      </w:pPr>
      <w:r w:rsidRPr="002B3DD4">
        <w:rPr>
          <w:noProof/>
        </w:rPr>
        <w:t xml:space="preserve">Chien, H.-C., Chen, H.-M., Garet, M., &amp; Wang, R.-H. (2014). Predictors of physical activity in patients with heart failure: a questionnaire study. </w:t>
      </w:r>
      <w:r w:rsidRPr="002B3DD4">
        <w:rPr>
          <w:i/>
          <w:iCs/>
          <w:noProof/>
        </w:rPr>
        <w:t>The Journal of Cardiovascular Nursing</w:t>
      </w:r>
      <w:r w:rsidRPr="002B3DD4">
        <w:rPr>
          <w:noProof/>
        </w:rPr>
        <w:t xml:space="preserve">, </w:t>
      </w:r>
      <w:r w:rsidRPr="002B3DD4">
        <w:rPr>
          <w:i/>
          <w:iCs/>
          <w:noProof/>
        </w:rPr>
        <w:t>29</w:t>
      </w:r>
      <w:r w:rsidRPr="002B3DD4">
        <w:rPr>
          <w:noProof/>
        </w:rPr>
        <w:t>(4), 324–331. https://doi.org/10.1097/JCN.0b013e31828568d6</w:t>
      </w:r>
    </w:p>
    <w:p w14:paraId="05DDBDB7" w14:textId="77777777" w:rsidR="002B3DD4" w:rsidRPr="002B3DD4" w:rsidRDefault="002B3DD4">
      <w:pPr>
        <w:widowControl w:val="0"/>
        <w:autoSpaceDE w:val="0"/>
        <w:autoSpaceDN w:val="0"/>
        <w:adjustRightInd w:val="0"/>
        <w:ind w:left="720" w:hanging="720"/>
        <w:rPr>
          <w:noProof/>
        </w:rPr>
      </w:pPr>
      <w:r w:rsidRPr="002B3DD4">
        <w:rPr>
          <w:noProof/>
        </w:rPr>
        <w:t xml:space="preserve">Corvera-Tindel, T., Doering, L. V., Gomez, T., &amp; Dracup, K. (2004). Predictors of noncompliance to exercise training in heart failure. </w:t>
      </w:r>
      <w:r w:rsidRPr="002B3DD4">
        <w:rPr>
          <w:i/>
          <w:iCs/>
          <w:noProof/>
        </w:rPr>
        <w:t>The Journal of Cardiovascular Nursing</w:t>
      </w:r>
      <w:r w:rsidRPr="002B3DD4">
        <w:rPr>
          <w:noProof/>
        </w:rPr>
        <w:t xml:space="preserve">, </w:t>
      </w:r>
      <w:r w:rsidRPr="002B3DD4">
        <w:rPr>
          <w:i/>
          <w:iCs/>
          <w:noProof/>
        </w:rPr>
        <w:t>19</w:t>
      </w:r>
      <w:r w:rsidRPr="002B3DD4">
        <w:rPr>
          <w:noProof/>
        </w:rPr>
        <w:t>(4), 269–77; quiz 278. https://doi.org/10.1097/00005082-200407000-00006</w:t>
      </w:r>
    </w:p>
    <w:p w14:paraId="26C3D64C" w14:textId="77777777" w:rsidR="002B3DD4" w:rsidRPr="002B3DD4" w:rsidRDefault="002B3DD4">
      <w:pPr>
        <w:widowControl w:val="0"/>
        <w:autoSpaceDE w:val="0"/>
        <w:autoSpaceDN w:val="0"/>
        <w:adjustRightInd w:val="0"/>
        <w:ind w:left="720" w:hanging="720"/>
        <w:rPr>
          <w:noProof/>
        </w:rPr>
      </w:pPr>
      <w:r w:rsidRPr="002B3DD4">
        <w:rPr>
          <w:noProof/>
        </w:rPr>
        <w:t xml:space="preserve">Dontje, M. L., van der Wal, M. H. L., Stolk, R. P., Brügemann, J., Jaarsma, T., Wijtvliet, P. E. P. J., … de Greef, M. H. G. (2014). Daily physical activity in stable heart failure patients. </w:t>
      </w:r>
      <w:r w:rsidRPr="002B3DD4">
        <w:rPr>
          <w:i/>
          <w:iCs/>
          <w:noProof/>
        </w:rPr>
        <w:t>The Journal of Cardiovascular Nursing</w:t>
      </w:r>
      <w:r w:rsidRPr="002B3DD4">
        <w:rPr>
          <w:noProof/>
        </w:rPr>
        <w:t xml:space="preserve">, </w:t>
      </w:r>
      <w:r w:rsidRPr="002B3DD4">
        <w:rPr>
          <w:i/>
          <w:iCs/>
          <w:noProof/>
        </w:rPr>
        <w:t>29</w:t>
      </w:r>
      <w:r w:rsidRPr="002B3DD4">
        <w:rPr>
          <w:noProof/>
        </w:rPr>
        <w:t>(3), 218–226. https://doi.org/10.1097/JCN.0b013e318283ba14</w:t>
      </w:r>
    </w:p>
    <w:p w14:paraId="4200D9A8" w14:textId="77777777" w:rsidR="002B3DD4" w:rsidRPr="002B3DD4" w:rsidRDefault="002B3DD4">
      <w:pPr>
        <w:widowControl w:val="0"/>
        <w:autoSpaceDE w:val="0"/>
        <w:autoSpaceDN w:val="0"/>
        <w:adjustRightInd w:val="0"/>
        <w:ind w:left="720" w:hanging="720"/>
        <w:rPr>
          <w:noProof/>
        </w:rPr>
      </w:pPr>
      <w:r w:rsidRPr="002B3DD4">
        <w:rPr>
          <w:noProof/>
        </w:rPr>
        <w:t xml:space="preserve">Evangelista, L., Doering, L. V., Dracup, K., Westlake, C., Hamilton, M., &amp; Fonarow, G. C. (2003). Compliance behaviors of elderly patients with advanced heart failure. </w:t>
      </w:r>
      <w:r w:rsidRPr="002B3DD4">
        <w:rPr>
          <w:i/>
          <w:iCs/>
          <w:noProof/>
        </w:rPr>
        <w:t>The Journal of Cardiovascular Nursing</w:t>
      </w:r>
      <w:r w:rsidRPr="002B3DD4">
        <w:rPr>
          <w:noProof/>
        </w:rPr>
        <w:t xml:space="preserve">, </w:t>
      </w:r>
      <w:r w:rsidRPr="002B3DD4">
        <w:rPr>
          <w:i/>
          <w:iCs/>
          <w:noProof/>
        </w:rPr>
        <w:t>18</w:t>
      </w:r>
      <w:r w:rsidRPr="002B3DD4">
        <w:rPr>
          <w:noProof/>
        </w:rPr>
        <w:t>(3), 197–206; quiz 207. https://doi.org/10.1097/00005082-200307000-00005</w:t>
      </w:r>
    </w:p>
    <w:p w14:paraId="35AAD6C7" w14:textId="77777777" w:rsidR="002B3DD4" w:rsidRPr="002B3DD4" w:rsidRDefault="002B3DD4">
      <w:pPr>
        <w:widowControl w:val="0"/>
        <w:autoSpaceDE w:val="0"/>
        <w:autoSpaceDN w:val="0"/>
        <w:adjustRightInd w:val="0"/>
        <w:ind w:left="720" w:hanging="720"/>
        <w:rPr>
          <w:noProof/>
        </w:rPr>
      </w:pPr>
      <w:r w:rsidRPr="002B3DD4">
        <w:rPr>
          <w:noProof/>
        </w:rPr>
        <w:t xml:space="preserve">Evangelista, L. S., Berg, J., &amp; Dracup, K. (2001). Relationship between psychosocial variables and compliance in patients with heart failure. </w:t>
      </w:r>
      <w:r w:rsidRPr="002B3DD4">
        <w:rPr>
          <w:i/>
          <w:iCs/>
          <w:noProof/>
        </w:rPr>
        <w:t>Heart &amp; Lung : The Journal of Critical Care</w:t>
      </w:r>
      <w:r w:rsidRPr="002B3DD4">
        <w:rPr>
          <w:noProof/>
        </w:rPr>
        <w:t xml:space="preserve">, </w:t>
      </w:r>
      <w:r w:rsidRPr="002B3DD4">
        <w:rPr>
          <w:i/>
          <w:iCs/>
          <w:noProof/>
        </w:rPr>
        <w:t>30</w:t>
      </w:r>
      <w:r w:rsidRPr="002B3DD4">
        <w:rPr>
          <w:noProof/>
        </w:rPr>
        <w:t>(4), 294–301. https://doi.org/10.1067/mhl.2001.116011</w:t>
      </w:r>
    </w:p>
    <w:p w14:paraId="75FE547A" w14:textId="77777777" w:rsidR="002B3DD4" w:rsidRPr="002B3DD4" w:rsidRDefault="002B3DD4">
      <w:pPr>
        <w:widowControl w:val="0"/>
        <w:autoSpaceDE w:val="0"/>
        <w:autoSpaceDN w:val="0"/>
        <w:adjustRightInd w:val="0"/>
        <w:ind w:left="720" w:hanging="720"/>
        <w:rPr>
          <w:noProof/>
        </w:rPr>
      </w:pPr>
      <w:r w:rsidRPr="002B3DD4">
        <w:rPr>
          <w:noProof/>
        </w:rPr>
        <w:t xml:space="preserve">Gallagher, R., Luttik, M.-L., &amp; Jaarsma, T. (2011). Social support and self-care in heart failure. </w:t>
      </w:r>
      <w:r w:rsidRPr="002B3DD4">
        <w:rPr>
          <w:i/>
          <w:iCs/>
          <w:noProof/>
        </w:rPr>
        <w:t>The Journal of Cardiovascular Nursing</w:t>
      </w:r>
      <w:r w:rsidRPr="002B3DD4">
        <w:rPr>
          <w:noProof/>
        </w:rPr>
        <w:t xml:space="preserve">, </w:t>
      </w:r>
      <w:r w:rsidRPr="002B3DD4">
        <w:rPr>
          <w:i/>
          <w:iCs/>
          <w:noProof/>
        </w:rPr>
        <w:t>26</w:t>
      </w:r>
      <w:r w:rsidRPr="002B3DD4">
        <w:rPr>
          <w:noProof/>
        </w:rPr>
        <w:t>(6), 439–445. https://doi.org/10.1097/JCN.0b013e31820984e1</w:t>
      </w:r>
    </w:p>
    <w:p w14:paraId="38FBB166" w14:textId="77777777" w:rsidR="002B3DD4" w:rsidRPr="002B3DD4" w:rsidRDefault="002B3DD4">
      <w:pPr>
        <w:widowControl w:val="0"/>
        <w:autoSpaceDE w:val="0"/>
        <w:autoSpaceDN w:val="0"/>
        <w:adjustRightInd w:val="0"/>
        <w:ind w:left="720" w:hanging="720"/>
        <w:rPr>
          <w:noProof/>
        </w:rPr>
      </w:pPr>
      <w:r w:rsidRPr="002B3DD4">
        <w:rPr>
          <w:noProof/>
        </w:rPr>
        <w:t xml:space="preserve">Klompstra, L., Jaarsma, T., &amp; Strömberg, A. (2018). Self-efficacy Mediates the Relationship Between Motivation and Physical Activity in Patients With Heart Failure. </w:t>
      </w:r>
      <w:r w:rsidRPr="002B3DD4">
        <w:rPr>
          <w:i/>
          <w:iCs/>
          <w:noProof/>
        </w:rPr>
        <w:t>The Journal of Cardiovascular Nursing</w:t>
      </w:r>
      <w:r w:rsidRPr="002B3DD4">
        <w:rPr>
          <w:noProof/>
        </w:rPr>
        <w:t xml:space="preserve">, </w:t>
      </w:r>
      <w:r w:rsidRPr="002B3DD4">
        <w:rPr>
          <w:i/>
          <w:iCs/>
          <w:noProof/>
        </w:rPr>
        <w:t>33</w:t>
      </w:r>
      <w:r w:rsidRPr="002B3DD4">
        <w:rPr>
          <w:noProof/>
        </w:rPr>
        <w:t>(3), 211–216. https://doi.org/10.1097/JCN.0000000000000456</w:t>
      </w:r>
    </w:p>
    <w:p w14:paraId="2AD1713E" w14:textId="77777777" w:rsidR="002B3DD4" w:rsidRPr="002B3DD4" w:rsidRDefault="002B3DD4">
      <w:pPr>
        <w:widowControl w:val="0"/>
        <w:autoSpaceDE w:val="0"/>
        <w:autoSpaceDN w:val="0"/>
        <w:adjustRightInd w:val="0"/>
        <w:ind w:left="720" w:hanging="720"/>
        <w:rPr>
          <w:noProof/>
        </w:rPr>
      </w:pPr>
      <w:r w:rsidRPr="002B3DD4">
        <w:rPr>
          <w:noProof/>
        </w:rPr>
        <w:t xml:space="preserve">Lee, H., Boo, S., Yu, J., Suh, S.-R., Chun, K. J., &amp; Kim, J. H. (2016). Physical Functioning, Physical Activity, Exercise Self-Efficacy, and Quality of Life Among Individuals With Chronic Heart Failure in Korea: A Cross-Sectional Descriptive Study. </w:t>
      </w:r>
      <w:r w:rsidRPr="002B3DD4">
        <w:rPr>
          <w:i/>
          <w:iCs/>
          <w:noProof/>
        </w:rPr>
        <w:t>The Journal of Nursing Research : JNR</w:t>
      </w:r>
      <w:r w:rsidRPr="002B3DD4">
        <w:rPr>
          <w:noProof/>
        </w:rPr>
        <w:t>. https://doi.org/10.1097/jnr.0000000000000150</w:t>
      </w:r>
    </w:p>
    <w:p w14:paraId="3FF23389" w14:textId="77777777" w:rsidR="002B3DD4" w:rsidRPr="002B3DD4" w:rsidRDefault="002B3DD4">
      <w:pPr>
        <w:widowControl w:val="0"/>
        <w:autoSpaceDE w:val="0"/>
        <w:autoSpaceDN w:val="0"/>
        <w:adjustRightInd w:val="0"/>
        <w:ind w:left="720" w:hanging="720"/>
        <w:rPr>
          <w:noProof/>
        </w:rPr>
      </w:pPr>
      <w:r w:rsidRPr="002B3DD4">
        <w:rPr>
          <w:noProof/>
        </w:rPr>
        <w:t xml:space="preserve">Moreno-Suarez, I., Liew, S., Dembo, L. G., Larbalestier, R., &amp; Maiorana, A. (2019). Physical Activity Is Higher in Patients with LVADs Compared to Chronic Heart Failure. </w:t>
      </w:r>
      <w:r w:rsidRPr="002B3DD4">
        <w:rPr>
          <w:i/>
          <w:iCs/>
          <w:noProof/>
        </w:rPr>
        <w:t>Medicine and Science in Sports and Exercise</w:t>
      </w:r>
      <w:r w:rsidRPr="002B3DD4">
        <w:rPr>
          <w:noProof/>
        </w:rPr>
        <w:t>. https://doi.org/10.1249/MSS.0000000000002104</w:t>
      </w:r>
    </w:p>
    <w:p w14:paraId="49AFEAB5" w14:textId="77777777" w:rsidR="002B3DD4" w:rsidRPr="002B3DD4" w:rsidRDefault="002B3DD4">
      <w:pPr>
        <w:widowControl w:val="0"/>
        <w:autoSpaceDE w:val="0"/>
        <w:autoSpaceDN w:val="0"/>
        <w:adjustRightInd w:val="0"/>
        <w:ind w:left="720" w:hanging="720"/>
        <w:rPr>
          <w:noProof/>
        </w:rPr>
      </w:pPr>
      <w:r w:rsidRPr="002B3DD4">
        <w:rPr>
          <w:noProof/>
        </w:rPr>
        <w:t xml:space="preserve">Oka, R. K., Gortner, S. R., Stotts, N. A., &amp; Haskell, W. L. (1996). Predictors of physical activity in patients with chronic heart failure secondary to either ischemic or idiopathic dilated cardiomyopathy. </w:t>
      </w:r>
      <w:r w:rsidRPr="002B3DD4">
        <w:rPr>
          <w:i/>
          <w:iCs/>
          <w:noProof/>
        </w:rPr>
        <w:t>The American Journal of Cardiology</w:t>
      </w:r>
      <w:r w:rsidRPr="002B3DD4">
        <w:rPr>
          <w:noProof/>
        </w:rPr>
        <w:t xml:space="preserve">, </w:t>
      </w:r>
      <w:r w:rsidRPr="002B3DD4">
        <w:rPr>
          <w:i/>
          <w:iCs/>
          <w:noProof/>
        </w:rPr>
        <w:t>77</w:t>
      </w:r>
      <w:r w:rsidRPr="002B3DD4">
        <w:rPr>
          <w:noProof/>
        </w:rPr>
        <w:t>(2), 159–163. https://doi.org/10.1016/s0002-9149(96)90588-3</w:t>
      </w:r>
    </w:p>
    <w:p w14:paraId="7CCBF6B8" w14:textId="77777777" w:rsidR="002B3DD4" w:rsidRPr="002B3DD4" w:rsidRDefault="002B3DD4">
      <w:pPr>
        <w:widowControl w:val="0"/>
        <w:autoSpaceDE w:val="0"/>
        <w:autoSpaceDN w:val="0"/>
        <w:adjustRightInd w:val="0"/>
        <w:ind w:left="720" w:hanging="720"/>
        <w:rPr>
          <w:noProof/>
        </w:rPr>
      </w:pPr>
      <w:r w:rsidRPr="002B3DD4">
        <w:rPr>
          <w:noProof/>
        </w:rPr>
        <w:t xml:space="preserve">Pozehl, B. J., Mcguire, R., Duncan, K., Hertzog, M., Deka, P., Norman, J., … Keteyian, S. J. (2018). Accelerometer-Measured Daily Activity Levels and Related Factors in Patients With Heart Failure. </w:t>
      </w:r>
      <w:r w:rsidRPr="002B3DD4">
        <w:rPr>
          <w:i/>
          <w:iCs/>
          <w:noProof/>
        </w:rPr>
        <w:t>The Journal of Cardiovascular Nursing</w:t>
      </w:r>
      <w:r w:rsidRPr="002B3DD4">
        <w:rPr>
          <w:noProof/>
        </w:rPr>
        <w:t xml:space="preserve">, </w:t>
      </w:r>
      <w:r w:rsidRPr="002B3DD4">
        <w:rPr>
          <w:i/>
          <w:iCs/>
          <w:noProof/>
        </w:rPr>
        <w:t>33</w:t>
      </w:r>
      <w:r w:rsidRPr="002B3DD4">
        <w:rPr>
          <w:noProof/>
        </w:rPr>
        <w:t>(4), 329–335. https://doi.org/10.1097/JCN.0000000000000464</w:t>
      </w:r>
    </w:p>
    <w:p w14:paraId="37C4F04C" w14:textId="77777777" w:rsidR="002B3DD4" w:rsidRPr="002B3DD4" w:rsidRDefault="002B3DD4">
      <w:pPr>
        <w:widowControl w:val="0"/>
        <w:autoSpaceDE w:val="0"/>
        <w:autoSpaceDN w:val="0"/>
        <w:adjustRightInd w:val="0"/>
        <w:ind w:left="720" w:hanging="720"/>
        <w:rPr>
          <w:noProof/>
        </w:rPr>
      </w:pPr>
      <w:r w:rsidRPr="002B3DD4">
        <w:rPr>
          <w:noProof/>
        </w:rPr>
        <w:t xml:space="preserve">Snipelisky, D., Kelly, J., Levine, J. A., Koepp, G. A., Anstrom, K. J., McNulty, S. E., … Redfield, M. M. (2017). Accelerometer-Measured Daily Activity in Heart Failure With Preserved Ejection Fraction: Clinical Correlates and Association With Standard Heart Failure Severity Indices. </w:t>
      </w:r>
      <w:r w:rsidRPr="002B3DD4">
        <w:rPr>
          <w:i/>
          <w:iCs/>
          <w:noProof/>
        </w:rPr>
        <w:t>Circulation. Heart Failure</w:t>
      </w:r>
      <w:r w:rsidRPr="002B3DD4">
        <w:rPr>
          <w:noProof/>
        </w:rPr>
        <w:t xml:space="preserve">, </w:t>
      </w:r>
      <w:r w:rsidRPr="002B3DD4">
        <w:rPr>
          <w:i/>
          <w:iCs/>
          <w:noProof/>
        </w:rPr>
        <w:t>10</w:t>
      </w:r>
      <w:r w:rsidRPr="002B3DD4">
        <w:rPr>
          <w:noProof/>
        </w:rPr>
        <w:t xml:space="preserve">(6), e003878. </w:t>
      </w:r>
      <w:r w:rsidRPr="002B3DD4">
        <w:rPr>
          <w:noProof/>
        </w:rPr>
        <w:lastRenderedPageBreak/>
        <w:t>https://doi.org/10.1161/CIRCHEARTFAILURE.117.003878</w:t>
      </w:r>
    </w:p>
    <w:p w14:paraId="19436C67" w14:textId="77777777" w:rsidR="002B3DD4" w:rsidRPr="002B3DD4" w:rsidRDefault="002B3DD4">
      <w:pPr>
        <w:widowControl w:val="0"/>
        <w:autoSpaceDE w:val="0"/>
        <w:autoSpaceDN w:val="0"/>
        <w:adjustRightInd w:val="0"/>
        <w:ind w:left="720" w:hanging="720"/>
        <w:rPr>
          <w:noProof/>
        </w:rPr>
      </w:pPr>
      <w:r w:rsidRPr="002B3DD4">
        <w:rPr>
          <w:noProof/>
        </w:rPr>
        <w:t xml:space="preserve">van der Wal, M. H. L., Jaarsma, T., Moser, D. K., Veeger, N. J. G. M., van Gilst, W. H., &amp; van Veldhuisen, D. J. (2006). Compliance in heart failure patients: the importance of knowledge and beliefs. </w:t>
      </w:r>
      <w:r w:rsidRPr="002B3DD4">
        <w:rPr>
          <w:i/>
          <w:iCs/>
          <w:noProof/>
        </w:rPr>
        <w:t>European Heart Journal</w:t>
      </w:r>
      <w:r w:rsidRPr="002B3DD4">
        <w:rPr>
          <w:noProof/>
        </w:rPr>
        <w:t xml:space="preserve">, </w:t>
      </w:r>
      <w:r w:rsidRPr="002B3DD4">
        <w:rPr>
          <w:i/>
          <w:iCs/>
          <w:noProof/>
        </w:rPr>
        <w:t>27</w:t>
      </w:r>
      <w:r w:rsidRPr="002B3DD4">
        <w:rPr>
          <w:noProof/>
        </w:rPr>
        <w:t>(4), 434–440. https://doi.org/10.1093/eurheartj/ehi603</w:t>
      </w:r>
    </w:p>
    <w:p w14:paraId="4AA26842" w14:textId="77777777" w:rsidR="002B3DD4" w:rsidRPr="002B3DD4" w:rsidRDefault="002B3DD4">
      <w:pPr>
        <w:widowControl w:val="0"/>
        <w:autoSpaceDE w:val="0"/>
        <w:autoSpaceDN w:val="0"/>
        <w:adjustRightInd w:val="0"/>
        <w:ind w:left="720" w:hanging="720"/>
        <w:rPr>
          <w:noProof/>
        </w:rPr>
      </w:pPr>
      <w:r w:rsidRPr="002B3DD4">
        <w:rPr>
          <w:noProof/>
        </w:rPr>
        <w:t xml:space="preserve">Werhahn, S. M., Dathe, H., Rottmann, T., Franke, T., Vahdat, D., Hasenfuß, G., &amp; Seidler, T. (2019). Designing meaningful outcome parameters using mobile technology: a new mobile application for telemonitoring of patients with heart failure. </w:t>
      </w:r>
      <w:r w:rsidRPr="002B3DD4">
        <w:rPr>
          <w:i/>
          <w:iCs/>
          <w:noProof/>
        </w:rPr>
        <w:t>ESC Heart Failure</w:t>
      </w:r>
      <w:r w:rsidRPr="002B3DD4">
        <w:rPr>
          <w:noProof/>
        </w:rPr>
        <w:t xml:space="preserve">, </w:t>
      </w:r>
      <w:r w:rsidRPr="002B3DD4">
        <w:rPr>
          <w:i/>
          <w:iCs/>
          <w:noProof/>
        </w:rPr>
        <w:t>6</w:t>
      </w:r>
      <w:r w:rsidRPr="002B3DD4">
        <w:rPr>
          <w:noProof/>
        </w:rPr>
        <w:t>(3), 516–525. https://doi.org/10.1002/ehf2.12425</w:t>
      </w:r>
    </w:p>
    <w:p w14:paraId="538698B2" w14:textId="77777777" w:rsidR="002B3DD4" w:rsidRPr="002B3DD4" w:rsidRDefault="002B3DD4">
      <w:pPr>
        <w:widowControl w:val="0"/>
        <w:autoSpaceDE w:val="0"/>
        <w:autoSpaceDN w:val="0"/>
        <w:adjustRightInd w:val="0"/>
        <w:ind w:left="720" w:hanging="720"/>
        <w:rPr>
          <w:noProof/>
        </w:rPr>
      </w:pPr>
      <w:r w:rsidRPr="002B3DD4">
        <w:rPr>
          <w:noProof/>
        </w:rPr>
        <w:t xml:space="preserve">Witham, M. D., Argo, I. S., Johnston, D. W., Struthers, A. D., &amp; McMurdo, M. E. T. (2006). Predictors of exercise capacity and everyday activity in older heart failure patients. </w:t>
      </w:r>
      <w:r w:rsidRPr="002B3DD4">
        <w:rPr>
          <w:i/>
          <w:iCs/>
          <w:noProof/>
        </w:rPr>
        <w:t>European Journal of Heart Failure</w:t>
      </w:r>
      <w:r w:rsidRPr="002B3DD4">
        <w:rPr>
          <w:noProof/>
        </w:rPr>
        <w:t xml:space="preserve">, </w:t>
      </w:r>
      <w:r w:rsidRPr="002B3DD4">
        <w:rPr>
          <w:i/>
          <w:iCs/>
          <w:noProof/>
        </w:rPr>
        <w:t>8</w:t>
      </w:r>
      <w:r w:rsidRPr="002B3DD4">
        <w:rPr>
          <w:noProof/>
        </w:rPr>
        <w:t>(2), 203–207. https://doi.org/10.1016/j.ejheart.2005.03.008</w:t>
      </w:r>
    </w:p>
    <w:p w14:paraId="7BFF34E0" w14:textId="6D9CD401" w:rsidR="002B3DD4" w:rsidRDefault="002B3DD4" w:rsidP="002B3DD4">
      <w:pPr>
        <w:widowControl w:val="0"/>
        <w:autoSpaceDE w:val="0"/>
        <w:autoSpaceDN w:val="0"/>
        <w:adjustRightInd w:val="0"/>
      </w:pPr>
      <w:r>
        <w:fldChar w:fldCharType="end"/>
      </w:r>
    </w:p>
    <w:sectPr w:rsidR="002B3DD4" w:rsidSect="00E24E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375B" w14:textId="77777777" w:rsidR="0088028F" w:rsidRDefault="0088028F" w:rsidP="009170F8">
      <w:r>
        <w:separator/>
      </w:r>
    </w:p>
  </w:endnote>
  <w:endnote w:type="continuationSeparator" w:id="0">
    <w:p w14:paraId="431D6C51" w14:textId="77777777" w:rsidR="0088028F" w:rsidRDefault="0088028F" w:rsidP="0091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vOT5fcf1b24">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dvbasSN">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altName w:val="﷽﷽﷽﷽﷽﷽遀瘵螷"/>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B2"/>
    <w:family w:val="script"/>
    <w:pitch w:val="variable"/>
    <w:sig w:usb0="80002007" w:usb1="80000000" w:usb2="00000008" w:usb3="00000000" w:csb0="000000D3" w:csb1="00000000"/>
  </w:font>
  <w:font w:name="Constantia">
    <w:panose1 w:val="02030602050306030303"/>
    <w:charset w:val="00"/>
    <w:family w:val="roman"/>
    <w:pitch w:val="variable"/>
    <w:sig w:usb0="A00002EF" w:usb1="400020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711552"/>
      <w:docPartObj>
        <w:docPartGallery w:val="Page Numbers (Bottom of Page)"/>
        <w:docPartUnique/>
      </w:docPartObj>
    </w:sdtPr>
    <w:sdtEndPr>
      <w:rPr>
        <w:rStyle w:val="PageNumber"/>
      </w:rPr>
    </w:sdtEndPr>
    <w:sdtContent>
      <w:p w14:paraId="0CE0D7BB" w14:textId="0A481ECF" w:rsidR="009170F8" w:rsidRDefault="009170F8" w:rsidP="00D010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82E039" w14:textId="77777777" w:rsidR="009170F8" w:rsidRDefault="009170F8" w:rsidP="009170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74597"/>
      <w:docPartObj>
        <w:docPartGallery w:val="Page Numbers (Bottom of Page)"/>
        <w:docPartUnique/>
      </w:docPartObj>
    </w:sdtPr>
    <w:sdtEndPr>
      <w:rPr>
        <w:rStyle w:val="PageNumber"/>
      </w:rPr>
    </w:sdtEndPr>
    <w:sdtContent>
      <w:p w14:paraId="06B46D35" w14:textId="7B9EB469" w:rsidR="009170F8" w:rsidRDefault="009170F8" w:rsidP="00D010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F42175" w14:textId="77777777" w:rsidR="009170F8" w:rsidRDefault="009170F8" w:rsidP="009170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723F" w14:textId="77777777" w:rsidR="0088028F" w:rsidRDefault="0088028F" w:rsidP="009170F8">
      <w:r>
        <w:separator/>
      </w:r>
    </w:p>
  </w:footnote>
  <w:footnote w:type="continuationSeparator" w:id="0">
    <w:p w14:paraId="64E0518C" w14:textId="77777777" w:rsidR="0088028F" w:rsidRDefault="0088028F" w:rsidP="00917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35C"/>
    <w:multiLevelType w:val="hybridMultilevel"/>
    <w:tmpl w:val="0F1052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54153"/>
    <w:multiLevelType w:val="hybridMultilevel"/>
    <w:tmpl w:val="4A8AF3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024C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421D2B"/>
    <w:multiLevelType w:val="multilevel"/>
    <w:tmpl w:val="5E0662A4"/>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543464"/>
    <w:multiLevelType w:val="hybridMultilevel"/>
    <w:tmpl w:val="C390DFFE"/>
    <w:lvl w:ilvl="0" w:tplc="84B44E78">
      <w:start w:val="2"/>
      <w:numFmt w:val="bullet"/>
      <w:lvlText w:val="-"/>
      <w:lvlJc w:val="left"/>
      <w:pPr>
        <w:ind w:left="1080" w:hanging="360"/>
      </w:pPr>
      <w:rPr>
        <w:rFonts w:ascii="AdvOT5fcf1b24" w:eastAsia="Times New Roman" w:hAnsi="AdvOT5fcf1b24"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B91AC1"/>
    <w:multiLevelType w:val="hybridMultilevel"/>
    <w:tmpl w:val="EED4FA18"/>
    <w:lvl w:ilvl="0" w:tplc="B12C8C8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0FE442BD"/>
    <w:multiLevelType w:val="multilevel"/>
    <w:tmpl w:val="3264A7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43573"/>
    <w:multiLevelType w:val="hybridMultilevel"/>
    <w:tmpl w:val="5D867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1456CA"/>
    <w:multiLevelType w:val="hybridMultilevel"/>
    <w:tmpl w:val="8200DE24"/>
    <w:lvl w:ilvl="0" w:tplc="A0B4A78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3C7DB4"/>
    <w:multiLevelType w:val="multilevel"/>
    <w:tmpl w:val="6C544BB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F0A3A"/>
    <w:multiLevelType w:val="hybridMultilevel"/>
    <w:tmpl w:val="FA121296"/>
    <w:lvl w:ilvl="0" w:tplc="6A9ECAEA">
      <w:start w:val="4"/>
      <w:numFmt w:val="bullet"/>
      <w:lvlText w:val="-"/>
      <w:lvlJc w:val="left"/>
      <w:pPr>
        <w:ind w:left="720" w:hanging="360"/>
      </w:pPr>
      <w:rPr>
        <w:rFonts w:ascii="AdvOT5fcf1b24" w:eastAsia="Times New Roman" w:hAnsi="AdvOT5fcf1b24"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2B51"/>
    <w:multiLevelType w:val="hybridMultilevel"/>
    <w:tmpl w:val="EB00F4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072F55"/>
    <w:multiLevelType w:val="hybridMultilevel"/>
    <w:tmpl w:val="E9227F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70C22"/>
    <w:multiLevelType w:val="hybridMultilevel"/>
    <w:tmpl w:val="678CEDA8"/>
    <w:lvl w:ilvl="0" w:tplc="F15AADA6">
      <w:start w:val="1"/>
      <w:numFmt w:val="decimal"/>
      <w:lvlText w:val="%1."/>
      <w:lvlJc w:val="left"/>
      <w:pPr>
        <w:ind w:left="1080" w:hanging="360"/>
      </w:pPr>
      <w:rPr>
        <w:rFonts w:hint="default"/>
        <w:color w:val="0E101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676B8B"/>
    <w:multiLevelType w:val="hybridMultilevel"/>
    <w:tmpl w:val="68363706"/>
    <w:lvl w:ilvl="0" w:tplc="14D2206C">
      <w:start w:val="1"/>
      <w:numFmt w:val="upperLetter"/>
      <w:lvlText w:val="%1."/>
      <w:lvlJc w:val="left"/>
      <w:pPr>
        <w:ind w:left="720" w:hanging="360"/>
      </w:pPr>
      <w:rPr>
        <w:rFonts w:ascii="Arial" w:eastAsia="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A14839"/>
    <w:multiLevelType w:val="hybridMultilevel"/>
    <w:tmpl w:val="ECE4AF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6" w15:restartNumberingAfterBreak="0">
    <w:nsid w:val="28B25E3A"/>
    <w:multiLevelType w:val="hybridMultilevel"/>
    <w:tmpl w:val="147C1B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D733DA"/>
    <w:multiLevelType w:val="hybridMultilevel"/>
    <w:tmpl w:val="2A985EC8"/>
    <w:lvl w:ilvl="0" w:tplc="A33A7746">
      <w:start w:val="5"/>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8" w15:restartNumberingAfterBreak="0">
    <w:nsid w:val="2E7F744A"/>
    <w:multiLevelType w:val="multilevel"/>
    <w:tmpl w:val="10F4B426"/>
    <w:lvl w:ilvl="0">
      <w:start w:val="1"/>
      <w:numFmt w:val="bullet"/>
      <w:pStyle w:val="COnstructLIs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37019EC"/>
    <w:multiLevelType w:val="hybridMultilevel"/>
    <w:tmpl w:val="8E3CF7E8"/>
    <w:lvl w:ilvl="0" w:tplc="3E4AE80A">
      <w:start w:val="1"/>
      <w:numFmt w:val="upperLetter"/>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0" w15:restartNumberingAfterBreak="0">
    <w:nsid w:val="36314345"/>
    <w:multiLevelType w:val="multilevel"/>
    <w:tmpl w:val="C7AC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F78CC"/>
    <w:multiLevelType w:val="hybridMultilevel"/>
    <w:tmpl w:val="09F2C42E"/>
    <w:lvl w:ilvl="0" w:tplc="C26E6F94">
      <w:start w:val="1"/>
      <w:numFmt w:val="upperLetter"/>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2" w15:restartNumberingAfterBreak="0">
    <w:nsid w:val="40070B1C"/>
    <w:multiLevelType w:val="hybridMultilevel"/>
    <w:tmpl w:val="89701DA4"/>
    <w:lvl w:ilvl="0" w:tplc="FE58252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8D6C39"/>
    <w:multiLevelType w:val="hybridMultilevel"/>
    <w:tmpl w:val="E29868F4"/>
    <w:lvl w:ilvl="0" w:tplc="F6E2C012">
      <w:start w:val="1"/>
      <w:numFmt w:val="upperLetter"/>
      <w:lvlText w:val="%1."/>
      <w:lvlJc w:val="left"/>
      <w:pPr>
        <w:ind w:left="2073" w:hanging="360"/>
      </w:pPr>
      <w:rPr>
        <w:rFonts w:hint="default"/>
      </w:rPr>
    </w:lvl>
    <w:lvl w:ilvl="1" w:tplc="08090019" w:tentative="1">
      <w:start w:val="1"/>
      <w:numFmt w:val="lowerLetter"/>
      <w:lvlText w:val="%2."/>
      <w:lvlJc w:val="left"/>
      <w:pPr>
        <w:ind w:left="2793" w:hanging="360"/>
      </w:pPr>
    </w:lvl>
    <w:lvl w:ilvl="2" w:tplc="0809001B" w:tentative="1">
      <w:start w:val="1"/>
      <w:numFmt w:val="lowerRoman"/>
      <w:lvlText w:val="%3."/>
      <w:lvlJc w:val="right"/>
      <w:pPr>
        <w:ind w:left="3513" w:hanging="180"/>
      </w:pPr>
    </w:lvl>
    <w:lvl w:ilvl="3" w:tplc="0809000F" w:tentative="1">
      <w:start w:val="1"/>
      <w:numFmt w:val="decimal"/>
      <w:lvlText w:val="%4."/>
      <w:lvlJc w:val="left"/>
      <w:pPr>
        <w:ind w:left="4233" w:hanging="360"/>
      </w:pPr>
    </w:lvl>
    <w:lvl w:ilvl="4" w:tplc="08090019" w:tentative="1">
      <w:start w:val="1"/>
      <w:numFmt w:val="lowerLetter"/>
      <w:lvlText w:val="%5."/>
      <w:lvlJc w:val="left"/>
      <w:pPr>
        <w:ind w:left="4953" w:hanging="360"/>
      </w:pPr>
    </w:lvl>
    <w:lvl w:ilvl="5" w:tplc="0809001B" w:tentative="1">
      <w:start w:val="1"/>
      <w:numFmt w:val="lowerRoman"/>
      <w:lvlText w:val="%6."/>
      <w:lvlJc w:val="right"/>
      <w:pPr>
        <w:ind w:left="5673" w:hanging="180"/>
      </w:pPr>
    </w:lvl>
    <w:lvl w:ilvl="6" w:tplc="0809000F" w:tentative="1">
      <w:start w:val="1"/>
      <w:numFmt w:val="decimal"/>
      <w:lvlText w:val="%7."/>
      <w:lvlJc w:val="left"/>
      <w:pPr>
        <w:ind w:left="6393" w:hanging="360"/>
      </w:pPr>
    </w:lvl>
    <w:lvl w:ilvl="7" w:tplc="08090019" w:tentative="1">
      <w:start w:val="1"/>
      <w:numFmt w:val="lowerLetter"/>
      <w:lvlText w:val="%8."/>
      <w:lvlJc w:val="left"/>
      <w:pPr>
        <w:ind w:left="7113" w:hanging="360"/>
      </w:pPr>
    </w:lvl>
    <w:lvl w:ilvl="8" w:tplc="0809001B" w:tentative="1">
      <w:start w:val="1"/>
      <w:numFmt w:val="lowerRoman"/>
      <w:lvlText w:val="%9."/>
      <w:lvlJc w:val="right"/>
      <w:pPr>
        <w:ind w:left="7833" w:hanging="180"/>
      </w:pPr>
    </w:lvl>
  </w:abstractNum>
  <w:abstractNum w:abstractNumId="24" w15:restartNumberingAfterBreak="0">
    <w:nsid w:val="460C6B9F"/>
    <w:multiLevelType w:val="hybridMultilevel"/>
    <w:tmpl w:val="34BEBB3E"/>
    <w:lvl w:ilvl="0" w:tplc="9BDE0320">
      <w:start w:val="5"/>
      <w:numFmt w:val="bullet"/>
      <w:lvlText w:val="-"/>
      <w:lvlJc w:val="left"/>
      <w:pPr>
        <w:ind w:left="840" w:hanging="360"/>
      </w:pPr>
      <w:rPr>
        <w:rFonts w:ascii="Times New Roman" w:eastAsia="MS Mincho"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5" w15:restartNumberingAfterBreak="0">
    <w:nsid w:val="48837DBA"/>
    <w:multiLevelType w:val="hybridMultilevel"/>
    <w:tmpl w:val="7C100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6B438E"/>
    <w:multiLevelType w:val="hybridMultilevel"/>
    <w:tmpl w:val="4748F1D2"/>
    <w:lvl w:ilvl="0" w:tplc="38684848">
      <w:start w:val="4"/>
      <w:numFmt w:val="bullet"/>
      <w:lvlText w:val="-"/>
      <w:lvlJc w:val="left"/>
      <w:pPr>
        <w:ind w:left="720" w:hanging="360"/>
      </w:pPr>
      <w:rPr>
        <w:rFonts w:ascii="AdvOT5fcf1b24" w:eastAsia="Times New Roman" w:hAnsi="AdvOT5fcf1b24"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8B2A8C"/>
    <w:multiLevelType w:val="hybridMultilevel"/>
    <w:tmpl w:val="7E282C08"/>
    <w:lvl w:ilvl="0" w:tplc="3668A73E">
      <w:start w:val="1"/>
      <w:numFmt w:val="decimal"/>
      <w:lvlText w:val="3.%1."/>
      <w:lvlJc w:val="left"/>
      <w:pPr>
        <w:ind w:left="720" w:hanging="360"/>
      </w:pPr>
      <w:rPr>
        <w:rFonts w:hint="default"/>
      </w:rPr>
    </w:lvl>
    <w:lvl w:ilvl="1" w:tplc="90C204C4">
      <w:start w:val="8"/>
      <w:numFmt w:val="bullet"/>
      <w:lvlText w:val="-"/>
      <w:lvlJc w:val="left"/>
      <w:pPr>
        <w:ind w:left="1440" w:hanging="360"/>
      </w:pPr>
      <w:rPr>
        <w:rFonts w:ascii="Times New Roman" w:eastAsia="Times New Roman" w:hAnsi="Times New Roman" w:cs="Times New Roman"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DE1D11"/>
    <w:multiLevelType w:val="hybridMultilevel"/>
    <w:tmpl w:val="15EC5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295D24"/>
    <w:multiLevelType w:val="multilevel"/>
    <w:tmpl w:val="5E0662A4"/>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3FF33D5"/>
    <w:multiLevelType w:val="hybridMultilevel"/>
    <w:tmpl w:val="2B4EB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C66D65"/>
    <w:multiLevelType w:val="hybridMultilevel"/>
    <w:tmpl w:val="A1C0E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5C4A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623769"/>
    <w:multiLevelType w:val="hybridMultilevel"/>
    <w:tmpl w:val="89807BA8"/>
    <w:lvl w:ilvl="0" w:tplc="9EA48B54">
      <w:start w:val="2"/>
      <w:numFmt w:val="bullet"/>
      <w:lvlText w:val="-"/>
      <w:lvlJc w:val="left"/>
      <w:pPr>
        <w:ind w:left="1080" w:hanging="360"/>
      </w:pPr>
      <w:rPr>
        <w:rFonts w:ascii="AdvOT5fcf1b24" w:eastAsia="Times New Roman" w:hAnsi="AdvOT5fcf1b24" w:cs="Times New Roman"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1902ED3"/>
    <w:multiLevelType w:val="hybridMultilevel"/>
    <w:tmpl w:val="55F61D64"/>
    <w:lvl w:ilvl="0" w:tplc="6C06A034">
      <w:start w:val="1"/>
      <w:numFmt w:val="decimal"/>
      <w:lvlText w:val="%1."/>
      <w:lvlJc w:val="left"/>
      <w:pPr>
        <w:ind w:left="720" w:hanging="360"/>
      </w:pPr>
      <w:rPr>
        <w:rFonts w:ascii="Segoe UI" w:hAnsi="Segoe UI" w:cs="Segoe UI" w:hint="default"/>
        <w:color w:val="201F1E"/>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3146E0"/>
    <w:multiLevelType w:val="multilevel"/>
    <w:tmpl w:val="B5A40428"/>
    <w:lvl w:ilvl="0">
      <w:start w:val="3"/>
      <w:numFmt w:val="decimal"/>
      <w:lvlText w:val="%1"/>
      <w:lvlJc w:val="left"/>
      <w:pPr>
        <w:ind w:left="3693" w:hanging="432"/>
      </w:pPr>
    </w:lvl>
    <w:lvl w:ilvl="1">
      <w:start w:val="1"/>
      <w:numFmt w:val="decimal"/>
      <w:lvlText w:val="%1.%2"/>
      <w:lvlJc w:val="left"/>
      <w:pPr>
        <w:ind w:left="2987" w:hanging="576"/>
      </w:pPr>
      <w:rPr>
        <w:color w:val="000000"/>
      </w:r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307452B"/>
    <w:multiLevelType w:val="multilevel"/>
    <w:tmpl w:val="653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F53AB6"/>
    <w:multiLevelType w:val="hybridMultilevel"/>
    <w:tmpl w:val="AE00B9C2"/>
    <w:lvl w:ilvl="0" w:tplc="7DE8AF82">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8" w15:restartNumberingAfterBreak="0">
    <w:nsid w:val="692A5012"/>
    <w:multiLevelType w:val="hybridMultilevel"/>
    <w:tmpl w:val="F6E67A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D940C7"/>
    <w:multiLevelType w:val="hybridMultilevel"/>
    <w:tmpl w:val="A3265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CD4D9F"/>
    <w:multiLevelType w:val="hybridMultilevel"/>
    <w:tmpl w:val="E7CAEDF6"/>
    <w:lvl w:ilvl="0" w:tplc="2196F104">
      <w:start w:val="1"/>
      <w:numFmt w:val="decimal"/>
      <w:lvlText w:val="%1."/>
      <w:lvlJc w:val="left"/>
      <w:pPr>
        <w:ind w:left="720" w:hanging="360"/>
      </w:pPr>
      <w:rPr>
        <w:rFonts w:ascii="AdvbasSN" w:hAnsi="AdvbasS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5B6F00"/>
    <w:multiLevelType w:val="hybridMultilevel"/>
    <w:tmpl w:val="6C627714"/>
    <w:lvl w:ilvl="0" w:tplc="EAB81880">
      <w:start w:val="4"/>
      <w:numFmt w:val="bullet"/>
      <w:lvlText w:val="-"/>
      <w:lvlJc w:val="left"/>
      <w:pPr>
        <w:ind w:left="720" w:hanging="360"/>
      </w:pPr>
      <w:rPr>
        <w:rFonts w:ascii="AdvOT5fcf1b24" w:eastAsia="Times New Roman" w:hAnsi="AdvOT5fcf1b24"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9E6E3D"/>
    <w:multiLevelType w:val="hybridMultilevel"/>
    <w:tmpl w:val="C532B0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3" w15:restartNumberingAfterBreak="0">
    <w:nsid w:val="7A2D64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BFD6C27"/>
    <w:multiLevelType w:val="multilevel"/>
    <w:tmpl w:val="5E0662A4"/>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7E171397"/>
    <w:multiLevelType w:val="hybridMultilevel"/>
    <w:tmpl w:val="8348BFA6"/>
    <w:lvl w:ilvl="0" w:tplc="14D2206C">
      <w:start w:val="1"/>
      <w:numFmt w:val="upperLetter"/>
      <w:lvlText w:val="%1."/>
      <w:lvlJc w:val="left"/>
      <w:pPr>
        <w:ind w:left="720" w:hanging="360"/>
      </w:pPr>
      <w:rPr>
        <w:rFonts w:ascii="Arial" w:eastAsia="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3217645">
    <w:abstractNumId w:val="44"/>
  </w:num>
  <w:num w:numId="2" w16cid:durableId="834028355">
    <w:abstractNumId w:val="18"/>
  </w:num>
  <w:num w:numId="3" w16cid:durableId="1112358483">
    <w:abstractNumId w:val="27"/>
  </w:num>
  <w:num w:numId="4" w16cid:durableId="358631833">
    <w:abstractNumId w:val="42"/>
  </w:num>
  <w:num w:numId="5" w16cid:durableId="1258371934">
    <w:abstractNumId w:val="15"/>
  </w:num>
  <w:num w:numId="6" w16cid:durableId="119495517">
    <w:abstractNumId w:val="36"/>
  </w:num>
  <w:num w:numId="7" w16cid:durableId="2124765175">
    <w:abstractNumId w:val="20"/>
  </w:num>
  <w:num w:numId="8" w16cid:durableId="902252656">
    <w:abstractNumId w:val="17"/>
  </w:num>
  <w:num w:numId="9" w16cid:durableId="12997350">
    <w:abstractNumId w:val="24"/>
  </w:num>
  <w:num w:numId="10" w16cid:durableId="1886528424">
    <w:abstractNumId w:val="31"/>
  </w:num>
  <w:num w:numId="11" w16cid:durableId="8323741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756176">
    <w:abstractNumId w:val="35"/>
  </w:num>
  <w:num w:numId="13" w16cid:durableId="1182938120">
    <w:abstractNumId w:val="32"/>
  </w:num>
  <w:num w:numId="14" w16cid:durableId="1178691068">
    <w:abstractNumId w:val="2"/>
  </w:num>
  <w:num w:numId="15" w16cid:durableId="840269742">
    <w:abstractNumId w:val="29"/>
  </w:num>
  <w:num w:numId="16" w16cid:durableId="178159598">
    <w:abstractNumId w:val="43"/>
  </w:num>
  <w:num w:numId="17" w16cid:durableId="1535575339">
    <w:abstractNumId w:val="3"/>
  </w:num>
  <w:num w:numId="18" w16cid:durableId="2119637155">
    <w:abstractNumId w:val="9"/>
  </w:num>
  <w:num w:numId="19" w16cid:durableId="1917280635">
    <w:abstractNumId w:val="6"/>
  </w:num>
  <w:num w:numId="20" w16cid:durableId="1254433820">
    <w:abstractNumId w:val="33"/>
  </w:num>
  <w:num w:numId="21" w16cid:durableId="697001145">
    <w:abstractNumId w:val="4"/>
  </w:num>
  <w:num w:numId="22" w16cid:durableId="237522821">
    <w:abstractNumId w:val="41"/>
  </w:num>
  <w:num w:numId="23" w16cid:durableId="1473523501">
    <w:abstractNumId w:val="26"/>
  </w:num>
  <w:num w:numId="24" w16cid:durableId="1076588176">
    <w:abstractNumId w:val="10"/>
  </w:num>
  <w:num w:numId="25" w16cid:durableId="773407078">
    <w:abstractNumId w:val="25"/>
  </w:num>
  <w:num w:numId="26" w16cid:durableId="1194533875">
    <w:abstractNumId w:val="21"/>
  </w:num>
  <w:num w:numId="27" w16cid:durableId="744497358">
    <w:abstractNumId w:val="19"/>
  </w:num>
  <w:num w:numId="28" w16cid:durableId="1271625923">
    <w:abstractNumId w:val="23"/>
  </w:num>
  <w:num w:numId="29" w16cid:durableId="1103575421">
    <w:abstractNumId w:val="37"/>
  </w:num>
  <w:num w:numId="30" w16cid:durableId="319189524">
    <w:abstractNumId w:val="1"/>
  </w:num>
  <w:num w:numId="31" w16cid:durableId="1816481526">
    <w:abstractNumId w:val="13"/>
  </w:num>
  <w:num w:numId="32" w16cid:durableId="617297516">
    <w:abstractNumId w:val="28"/>
  </w:num>
  <w:num w:numId="33" w16cid:durableId="526523579">
    <w:abstractNumId w:val="12"/>
  </w:num>
  <w:num w:numId="34" w16cid:durableId="1143429668">
    <w:abstractNumId w:val="11"/>
  </w:num>
  <w:num w:numId="35" w16cid:durableId="27802168">
    <w:abstractNumId w:val="0"/>
  </w:num>
  <w:num w:numId="36" w16cid:durableId="1596942261">
    <w:abstractNumId w:val="22"/>
  </w:num>
  <w:num w:numId="37" w16cid:durableId="412094148">
    <w:abstractNumId w:val="14"/>
  </w:num>
  <w:num w:numId="38" w16cid:durableId="1427767454">
    <w:abstractNumId w:val="45"/>
  </w:num>
  <w:num w:numId="39" w16cid:durableId="729110371">
    <w:abstractNumId w:val="38"/>
  </w:num>
  <w:num w:numId="40" w16cid:durableId="1975518674">
    <w:abstractNumId w:val="40"/>
  </w:num>
  <w:num w:numId="41" w16cid:durableId="1316570685">
    <w:abstractNumId w:val="5"/>
  </w:num>
  <w:num w:numId="42" w16cid:durableId="622423437">
    <w:abstractNumId w:val="7"/>
  </w:num>
  <w:num w:numId="43" w16cid:durableId="1965455101">
    <w:abstractNumId w:val="39"/>
  </w:num>
  <w:num w:numId="44" w16cid:durableId="2089577860">
    <w:abstractNumId w:val="30"/>
  </w:num>
  <w:num w:numId="45" w16cid:durableId="480081699">
    <w:abstractNumId w:val="8"/>
  </w:num>
  <w:num w:numId="46" w16cid:durableId="1961721689">
    <w:abstractNumId w:val="16"/>
  </w:num>
  <w:num w:numId="47" w16cid:durableId="5004350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B9"/>
    <w:rsid w:val="000161EC"/>
    <w:rsid w:val="000465E3"/>
    <w:rsid w:val="000A582A"/>
    <w:rsid w:val="00116314"/>
    <w:rsid w:val="0012427D"/>
    <w:rsid w:val="001253C7"/>
    <w:rsid w:val="00155730"/>
    <w:rsid w:val="002228AF"/>
    <w:rsid w:val="00295DFD"/>
    <w:rsid w:val="002B3DD4"/>
    <w:rsid w:val="002B449C"/>
    <w:rsid w:val="002C3262"/>
    <w:rsid w:val="003272FA"/>
    <w:rsid w:val="003E2B76"/>
    <w:rsid w:val="003F074F"/>
    <w:rsid w:val="00471BDD"/>
    <w:rsid w:val="0049779B"/>
    <w:rsid w:val="004C14F7"/>
    <w:rsid w:val="004C55BF"/>
    <w:rsid w:val="00510030"/>
    <w:rsid w:val="005115C5"/>
    <w:rsid w:val="005D0909"/>
    <w:rsid w:val="005F1471"/>
    <w:rsid w:val="00662FA0"/>
    <w:rsid w:val="00693040"/>
    <w:rsid w:val="007326DE"/>
    <w:rsid w:val="007A4BFD"/>
    <w:rsid w:val="007D3FA3"/>
    <w:rsid w:val="00851A1C"/>
    <w:rsid w:val="0088028F"/>
    <w:rsid w:val="008D59FA"/>
    <w:rsid w:val="009170F8"/>
    <w:rsid w:val="00924E18"/>
    <w:rsid w:val="00967DB2"/>
    <w:rsid w:val="009A63E7"/>
    <w:rsid w:val="00A47A6C"/>
    <w:rsid w:val="00A70B60"/>
    <w:rsid w:val="00AD45EC"/>
    <w:rsid w:val="00B467C9"/>
    <w:rsid w:val="00C15302"/>
    <w:rsid w:val="00C336CD"/>
    <w:rsid w:val="00C4690A"/>
    <w:rsid w:val="00C91D12"/>
    <w:rsid w:val="00CB0225"/>
    <w:rsid w:val="00CC30D0"/>
    <w:rsid w:val="00D22A9A"/>
    <w:rsid w:val="00D30391"/>
    <w:rsid w:val="00D4654A"/>
    <w:rsid w:val="00DD6DB2"/>
    <w:rsid w:val="00E07EBE"/>
    <w:rsid w:val="00E12DB9"/>
    <w:rsid w:val="00E24E43"/>
    <w:rsid w:val="00F5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CBFE34"/>
  <w15:chartTrackingRefBased/>
  <w15:docId w15:val="{F3AEE1C2-FF65-3A42-B222-188C50DF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B9"/>
    <w:rPr>
      <w:rFonts w:ascii="Times New Roman" w:eastAsia="Times New Roman" w:hAnsi="Times New Roman" w:cs="Times New Roman"/>
      <w:lang w:eastAsia="en-GB"/>
    </w:rPr>
  </w:style>
  <w:style w:type="paragraph" w:styleId="Heading1">
    <w:name w:val="heading 1"/>
    <w:basedOn w:val="Normal"/>
    <w:next w:val="Normal"/>
    <w:link w:val="Heading1Char"/>
    <w:qFormat/>
    <w:rsid w:val="003E2B76"/>
    <w:pPr>
      <w:keepNext/>
      <w:keepLines/>
      <w:spacing w:before="480" w:line="480" w:lineRule="auto"/>
      <w:jc w:val="both"/>
      <w:outlineLvl w:val="0"/>
    </w:pPr>
    <w:rPr>
      <w:rFonts w:ascii="Arial" w:eastAsia="Arial" w:hAnsi="Arial" w:cs="Arial"/>
      <w:b/>
      <w:color w:val="000000"/>
    </w:rPr>
  </w:style>
  <w:style w:type="paragraph" w:styleId="Heading2">
    <w:name w:val="heading 2"/>
    <w:basedOn w:val="Normal"/>
    <w:next w:val="Normal"/>
    <w:link w:val="Heading2Char"/>
    <w:unhideWhenUsed/>
    <w:qFormat/>
    <w:rsid w:val="003E2B76"/>
    <w:pPr>
      <w:keepNext/>
      <w:keepLines/>
      <w:spacing w:before="200" w:line="480" w:lineRule="auto"/>
      <w:ind w:right="-187"/>
      <w:jc w:val="both"/>
      <w:outlineLvl w:val="1"/>
    </w:pPr>
    <w:rPr>
      <w:rFonts w:ascii="Arial" w:eastAsia="Arial" w:hAnsi="Arial" w:cs="Arial"/>
      <w:b/>
      <w:color w:val="000000"/>
      <w:sz w:val="28"/>
      <w:szCs w:val="26"/>
    </w:rPr>
  </w:style>
  <w:style w:type="paragraph" w:styleId="Heading3">
    <w:name w:val="heading 3"/>
    <w:basedOn w:val="Normal"/>
    <w:next w:val="Normal"/>
    <w:link w:val="Heading3Char"/>
    <w:unhideWhenUsed/>
    <w:qFormat/>
    <w:rsid w:val="003E2B76"/>
    <w:pPr>
      <w:keepNext/>
      <w:keepLines/>
      <w:spacing w:before="320" w:after="80" w:line="360" w:lineRule="auto"/>
      <w:ind w:right="-187"/>
      <w:outlineLvl w:val="2"/>
    </w:pPr>
    <w:rPr>
      <w:rFonts w:ascii="Arial" w:eastAsia="Arial" w:hAnsi="Arial" w:cs="Arial"/>
      <w:b/>
      <w:bCs/>
      <w:iCs/>
      <w:color w:val="000000"/>
      <w:sz w:val="20"/>
      <w:szCs w:val="20"/>
    </w:rPr>
  </w:style>
  <w:style w:type="paragraph" w:styleId="Heading4">
    <w:name w:val="heading 4"/>
    <w:basedOn w:val="Normal"/>
    <w:next w:val="Normal"/>
    <w:link w:val="Heading4Char"/>
    <w:unhideWhenUsed/>
    <w:qFormat/>
    <w:rsid w:val="003E2B76"/>
    <w:pPr>
      <w:keepNext/>
      <w:keepLines/>
      <w:spacing w:before="360" w:line="480" w:lineRule="auto"/>
      <w:ind w:right="-187"/>
      <w:jc w:val="both"/>
      <w:outlineLvl w:val="3"/>
    </w:pPr>
    <w:rPr>
      <w:rFonts w:ascii="Arial" w:eastAsia="Arial" w:hAnsi="Arial" w:cs="Arial"/>
      <w:b/>
      <w:bCs/>
      <w:i/>
      <w:color w:val="000000"/>
      <w:sz w:val="20"/>
      <w:szCs w:val="20"/>
    </w:rPr>
  </w:style>
  <w:style w:type="paragraph" w:styleId="Heading5">
    <w:name w:val="heading 5"/>
    <w:basedOn w:val="Normal"/>
    <w:next w:val="Normal"/>
    <w:link w:val="Heading5Char"/>
    <w:unhideWhenUsed/>
    <w:qFormat/>
    <w:rsid w:val="003E2B76"/>
    <w:pPr>
      <w:keepNext/>
      <w:keepLines/>
      <w:spacing w:before="200" w:line="480" w:lineRule="auto"/>
      <w:jc w:val="both"/>
      <w:outlineLvl w:val="4"/>
    </w:pPr>
    <w:rPr>
      <w:rFonts w:ascii="Arial" w:eastAsia="Arial" w:hAnsi="Arial" w:cs="Arial"/>
      <w:bCs/>
      <w:color w:val="000000"/>
    </w:rPr>
  </w:style>
  <w:style w:type="paragraph" w:styleId="Heading6">
    <w:name w:val="heading 6"/>
    <w:basedOn w:val="Normal"/>
    <w:next w:val="Normal"/>
    <w:link w:val="Heading6Char"/>
    <w:unhideWhenUsed/>
    <w:qFormat/>
    <w:rsid w:val="003E2B76"/>
    <w:pPr>
      <w:keepNext/>
      <w:keepLines/>
      <w:numPr>
        <w:ilvl w:val="5"/>
        <w:numId w:val="1"/>
      </w:numPr>
      <w:spacing w:before="200" w:line="480" w:lineRule="auto"/>
      <w:jc w:val="both"/>
      <w:outlineLvl w:val="5"/>
    </w:pPr>
    <w:rPr>
      <w:rFonts w:ascii="Calibri" w:eastAsia="Calibri" w:hAnsi="Calibri" w:cs="Calibri"/>
      <w:i/>
      <w:color w:val="000000"/>
    </w:rPr>
  </w:style>
  <w:style w:type="paragraph" w:styleId="Heading7">
    <w:name w:val="heading 7"/>
    <w:basedOn w:val="Heading6"/>
    <w:next w:val="Normal"/>
    <w:link w:val="Heading7Char"/>
    <w:uiPriority w:val="9"/>
    <w:unhideWhenUsed/>
    <w:qFormat/>
    <w:rsid w:val="003E2B76"/>
    <w:pPr>
      <w:numPr>
        <w:ilvl w:val="6"/>
      </w:numPr>
      <w:spacing w:before="240" w:after="80" w:line="276" w:lineRule="auto"/>
      <w:outlineLvl w:val="6"/>
    </w:pPr>
    <w:rPr>
      <w:rFonts w:ascii="Times New Roman" w:eastAsia="Times New Roman" w:hAnsi="Times New Roman" w:cs="Times New Roman"/>
      <w:b/>
      <w:bCs/>
      <w:i w:val="0"/>
      <w:sz w:val="16"/>
      <w:szCs w:val="16"/>
    </w:rPr>
  </w:style>
  <w:style w:type="paragraph" w:styleId="Heading8">
    <w:name w:val="heading 8"/>
    <w:basedOn w:val="Normal"/>
    <w:next w:val="Normal"/>
    <w:link w:val="Heading8Char"/>
    <w:uiPriority w:val="9"/>
    <w:unhideWhenUsed/>
    <w:qFormat/>
    <w:rsid w:val="003E2B76"/>
    <w:pPr>
      <w:keepNext/>
      <w:keepLines/>
      <w:numPr>
        <w:ilvl w:val="7"/>
        <w:numId w:val="1"/>
      </w:numPr>
      <w:spacing w:before="40" w:line="276" w:lineRule="auto"/>
      <w:jc w:val="both"/>
      <w:outlineLvl w:val="7"/>
    </w:pPr>
    <w:rPr>
      <w:rFonts w:ascii="Calibri" w:eastAsia="MS Gothic" w:hAnsi="Calibri"/>
      <w:color w:val="272727"/>
      <w:sz w:val="21"/>
      <w:szCs w:val="21"/>
    </w:rPr>
  </w:style>
  <w:style w:type="paragraph" w:styleId="Heading9">
    <w:name w:val="heading 9"/>
    <w:basedOn w:val="Normal"/>
    <w:next w:val="Normal"/>
    <w:link w:val="Heading9Char"/>
    <w:uiPriority w:val="9"/>
    <w:semiHidden/>
    <w:unhideWhenUsed/>
    <w:qFormat/>
    <w:rsid w:val="003E2B76"/>
    <w:pPr>
      <w:keepNext/>
      <w:keepLines/>
      <w:numPr>
        <w:ilvl w:val="8"/>
        <w:numId w:val="1"/>
      </w:numPr>
      <w:spacing w:before="40" w:line="276" w:lineRule="auto"/>
      <w:jc w:val="both"/>
      <w:outlineLvl w:val="8"/>
    </w:pPr>
    <w:rPr>
      <w:rFonts w:ascii="Calibri" w:eastAsia="MS Gothic" w:hAnsi="Calibr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295DFD"/>
    <w:rPr>
      <w:sz w:val="16"/>
      <w:szCs w:val="16"/>
    </w:rPr>
  </w:style>
  <w:style w:type="paragraph" w:styleId="CommentText">
    <w:name w:val="annotation text"/>
    <w:basedOn w:val="Normal"/>
    <w:link w:val="CommentTextChar"/>
    <w:uiPriority w:val="99"/>
    <w:unhideWhenUsed/>
    <w:qFormat/>
    <w:rsid w:val="00295DFD"/>
    <w:rPr>
      <w:sz w:val="20"/>
      <w:szCs w:val="20"/>
    </w:rPr>
  </w:style>
  <w:style w:type="character" w:customStyle="1" w:styleId="CommentTextChar">
    <w:name w:val="Comment Text Char"/>
    <w:basedOn w:val="DefaultParagraphFont"/>
    <w:link w:val="CommentText"/>
    <w:uiPriority w:val="99"/>
    <w:rsid w:val="00295DF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95DFD"/>
    <w:rPr>
      <w:b/>
      <w:bCs/>
    </w:rPr>
  </w:style>
  <w:style w:type="character" w:customStyle="1" w:styleId="CommentSubjectChar">
    <w:name w:val="Comment Subject Char"/>
    <w:basedOn w:val="CommentTextChar"/>
    <w:link w:val="CommentSubject"/>
    <w:uiPriority w:val="99"/>
    <w:semiHidden/>
    <w:rsid w:val="00295DFD"/>
    <w:rPr>
      <w:rFonts w:ascii="Times New Roman" w:eastAsia="Times New Roman" w:hAnsi="Times New Roman" w:cs="Times New Roman"/>
      <w:b/>
      <w:bCs/>
      <w:sz w:val="20"/>
      <w:szCs w:val="20"/>
      <w:lang w:eastAsia="en-GB"/>
    </w:rPr>
  </w:style>
  <w:style w:type="paragraph" w:styleId="Caption">
    <w:name w:val="caption"/>
    <w:basedOn w:val="Normal"/>
    <w:next w:val="Normal"/>
    <w:uiPriority w:val="35"/>
    <w:unhideWhenUsed/>
    <w:qFormat/>
    <w:rsid w:val="00D30391"/>
    <w:pPr>
      <w:spacing w:after="200"/>
    </w:pPr>
    <w:rPr>
      <w:i/>
      <w:iCs/>
      <w:color w:val="44546A" w:themeColor="text2"/>
      <w:sz w:val="18"/>
      <w:szCs w:val="18"/>
    </w:rPr>
  </w:style>
  <w:style w:type="paragraph" w:styleId="Title">
    <w:name w:val="Title"/>
    <w:basedOn w:val="Normal"/>
    <w:next w:val="Normal"/>
    <w:link w:val="TitleChar"/>
    <w:qFormat/>
    <w:rsid w:val="00D303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30391"/>
    <w:rPr>
      <w:rFonts w:asciiTheme="majorHAnsi" w:eastAsiaTheme="majorEastAsia" w:hAnsiTheme="majorHAnsi" w:cstheme="majorBidi"/>
      <w:spacing w:val="-10"/>
      <w:kern w:val="28"/>
      <w:sz w:val="56"/>
      <w:szCs w:val="56"/>
      <w:lang w:eastAsia="en-GB"/>
    </w:rPr>
  </w:style>
  <w:style w:type="character" w:styleId="BookTitle">
    <w:name w:val="Book Title"/>
    <w:basedOn w:val="DefaultParagraphFont"/>
    <w:uiPriority w:val="33"/>
    <w:qFormat/>
    <w:rsid w:val="00D30391"/>
    <w:rPr>
      <w:b/>
      <w:bCs/>
      <w:i/>
      <w:iCs/>
      <w:spacing w:val="5"/>
    </w:rPr>
  </w:style>
  <w:style w:type="character" w:styleId="Strong">
    <w:name w:val="Strong"/>
    <w:basedOn w:val="DefaultParagraphFont"/>
    <w:uiPriority w:val="22"/>
    <w:qFormat/>
    <w:rsid w:val="00D30391"/>
    <w:rPr>
      <w:b/>
      <w:bCs/>
    </w:rPr>
  </w:style>
  <w:style w:type="character" w:customStyle="1" w:styleId="Heading1Char">
    <w:name w:val="Heading 1 Char"/>
    <w:basedOn w:val="DefaultParagraphFont"/>
    <w:link w:val="Heading1"/>
    <w:rsid w:val="003E2B76"/>
    <w:rPr>
      <w:rFonts w:ascii="Arial" w:eastAsia="Arial" w:hAnsi="Arial" w:cs="Arial"/>
      <w:b/>
      <w:color w:val="000000"/>
      <w:lang w:eastAsia="en-GB"/>
    </w:rPr>
  </w:style>
  <w:style w:type="character" w:customStyle="1" w:styleId="Heading2Char">
    <w:name w:val="Heading 2 Char"/>
    <w:basedOn w:val="DefaultParagraphFont"/>
    <w:link w:val="Heading2"/>
    <w:rsid w:val="003E2B76"/>
    <w:rPr>
      <w:rFonts w:ascii="Arial" w:eastAsia="Arial" w:hAnsi="Arial" w:cs="Arial"/>
      <w:b/>
      <w:color w:val="000000"/>
      <w:sz w:val="28"/>
      <w:szCs w:val="26"/>
      <w:lang w:eastAsia="en-GB"/>
    </w:rPr>
  </w:style>
  <w:style w:type="character" w:customStyle="1" w:styleId="Heading3Char">
    <w:name w:val="Heading 3 Char"/>
    <w:basedOn w:val="DefaultParagraphFont"/>
    <w:link w:val="Heading3"/>
    <w:rsid w:val="003E2B76"/>
    <w:rPr>
      <w:rFonts w:ascii="Arial" w:eastAsia="Arial" w:hAnsi="Arial" w:cs="Arial"/>
      <w:b/>
      <w:bCs/>
      <w:iCs/>
      <w:color w:val="000000"/>
      <w:sz w:val="20"/>
      <w:szCs w:val="20"/>
      <w:lang w:eastAsia="en-GB"/>
    </w:rPr>
  </w:style>
  <w:style w:type="character" w:customStyle="1" w:styleId="Heading4Char">
    <w:name w:val="Heading 4 Char"/>
    <w:basedOn w:val="DefaultParagraphFont"/>
    <w:link w:val="Heading4"/>
    <w:rsid w:val="003E2B76"/>
    <w:rPr>
      <w:rFonts w:ascii="Arial" w:eastAsia="Arial" w:hAnsi="Arial" w:cs="Arial"/>
      <w:b/>
      <w:bCs/>
      <w:i/>
      <w:color w:val="000000"/>
      <w:sz w:val="20"/>
      <w:szCs w:val="20"/>
      <w:lang w:eastAsia="en-GB"/>
    </w:rPr>
  </w:style>
  <w:style w:type="character" w:customStyle="1" w:styleId="Heading5Char">
    <w:name w:val="Heading 5 Char"/>
    <w:basedOn w:val="DefaultParagraphFont"/>
    <w:link w:val="Heading5"/>
    <w:rsid w:val="003E2B76"/>
    <w:rPr>
      <w:rFonts w:ascii="Arial" w:eastAsia="Arial" w:hAnsi="Arial" w:cs="Arial"/>
      <w:bCs/>
      <w:color w:val="000000"/>
      <w:lang w:eastAsia="en-GB"/>
    </w:rPr>
  </w:style>
  <w:style w:type="character" w:customStyle="1" w:styleId="Heading6Char">
    <w:name w:val="Heading 6 Char"/>
    <w:basedOn w:val="DefaultParagraphFont"/>
    <w:link w:val="Heading6"/>
    <w:rsid w:val="003E2B76"/>
    <w:rPr>
      <w:rFonts w:ascii="Calibri" w:eastAsia="Calibri" w:hAnsi="Calibri" w:cs="Calibri"/>
      <w:i/>
      <w:color w:val="000000"/>
      <w:lang w:eastAsia="en-GB"/>
    </w:rPr>
  </w:style>
  <w:style w:type="character" w:customStyle="1" w:styleId="Heading7Char">
    <w:name w:val="Heading 7 Char"/>
    <w:basedOn w:val="DefaultParagraphFont"/>
    <w:link w:val="Heading7"/>
    <w:uiPriority w:val="9"/>
    <w:rsid w:val="003E2B76"/>
    <w:rPr>
      <w:rFonts w:ascii="Times New Roman" w:eastAsia="Times New Roman" w:hAnsi="Times New Roman" w:cs="Times New Roman"/>
      <w:b/>
      <w:bCs/>
      <w:color w:val="000000"/>
      <w:sz w:val="16"/>
      <w:szCs w:val="16"/>
      <w:lang w:eastAsia="en-GB"/>
    </w:rPr>
  </w:style>
  <w:style w:type="character" w:customStyle="1" w:styleId="Heading8Char">
    <w:name w:val="Heading 8 Char"/>
    <w:basedOn w:val="DefaultParagraphFont"/>
    <w:link w:val="Heading8"/>
    <w:uiPriority w:val="9"/>
    <w:rsid w:val="003E2B76"/>
    <w:rPr>
      <w:rFonts w:ascii="Calibri" w:eastAsia="MS Gothic" w:hAnsi="Calibri" w:cs="Times New Roman"/>
      <w:color w:val="272727"/>
      <w:sz w:val="21"/>
      <w:szCs w:val="21"/>
      <w:lang w:eastAsia="en-GB"/>
    </w:rPr>
  </w:style>
  <w:style w:type="character" w:customStyle="1" w:styleId="Heading9Char">
    <w:name w:val="Heading 9 Char"/>
    <w:basedOn w:val="DefaultParagraphFont"/>
    <w:link w:val="Heading9"/>
    <w:uiPriority w:val="9"/>
    <w:semiHidden/>
    <w:rsid w:val="003E2B76"/>
    <w:rPr>
      <w:rFonts w:ascii="Calibri" w:eastAsia="MS Gothic" w:hAnsi="Calibri" w:cs="Times New Roman"/>
      <w:i/>
      <w:iCs/>
      <w:color w:val="272727"/>
      <w:sz w:val="21"/>
      <w:szCs w:val="21"/>
      <w:lang w:eastAsia="en-GB"/>
    </w:rPr>
  </w:style>
  <w:style w:type="character" w:styleId="Hyperlink">
    <w:name w:val="Hyperlink"/>
    <w:uiPriority w:val="99"/>
    <w:unhideWhenUsed/>
    <w:rsid w:val="003E2B76"/>
    <w:rPr>
      <w:color w:val="0000FF"/>
      <w:u w:val="single"/>
    </w:rPr>
  </w:style>
  <w:style w:type="character" w:styleId="FollowedHyperlink">
    <w:name w:val="FollowedHyperlink"/>
    <w:uiPriority w:val="99"/>
    <w:semiHidden/>
    <w:unhideWhenUsed/>
    <w:rsid w:val="003E2B76"/>
    <w:rPr>
      <w:color w:val="800080"/>
      <w:u w:val="single"/>
    </w:rPr>
  </w:style>
  <w:style w:type="paragraph" w:customStyle="1" w:styleId="msonormal0">
    <w:name w:val="msonormal"/>
    <w:basedOn w:val="Normal"/>
    <w:rsid w:val="003E2B76"/>
    <w:pPr>
      <w:spacing w:before="100" w:beforeAutospacing="1" w:after="100" w:afterAutospacing="1"/>
    </w:pPr>
  </w:style>
  <w:style w:type="paragraph" w:styleId="NormalWeb">
    <w:name w:val="Normal (Web)"/>
    <w:basedOn w:val="Normal"/>
    <w:uiPriority w:val="99"/>
    <w:unhideWhenUsed/>
    <w:rsid w:val="003E2B76"/>
    <w:pPr>
      <w:spacing w:before="100" w:beforeAutospacing="1" w:after="100" w:afterAutospacing="1"/>
    </w:pPr>
  </w:style>
  <w:style w:type="paragraph" w:styleId="TOC1">
    <w:name w:val="toc 1"/>
    <w:basedOn w:val="Normal"/>
    <w:next w:val="Normal"/>
    <w:autoRedefine/>
    <w:uiPriority w:val="39"/>
    <w:unhideWhenUsed/>
    <w:rsid w:val="003E2B76"/>
    <w:pPr>
      <w:tabs>
        <w:tab w:val="left" w:pos="480"/>
        <w:tab w:val="right" w:leader="dot" w:pos="9017"/>
      </w:tabs>
      <w:spacing w:before="120" w:line="480" w:lineRule="auto"/>
    </w:pPr>
    <w:rPr>
      <w:rFonts w:ascii="Cambria" w:eastAsia="Arial" w:hAnsi="Cambria" w:cs="Arial"/>
      <w:b/>
      <w:bCs/>
      <w:i/>
      <w:iCs/>
      <w:color w:val="000000"/>
    </w:rPr>
  </w:style>
  <w:style w:type="paragraph" w:styleId="TOC2">
    <w:name w:val="toc 2"/>
    <w:basedOn w:val="Normal"/>
    <w:next w:val="Normal"/>
    <w:autoRedefine/>
    <w:uiPriority w:val="39"/>
    <w:unhideWhenUsed/>
    <w:rsid w:val="003E2B76"/>
    <w:pPr>
      <w:spacing w:before="120" w:line="480" w:lineRule="auto"/>
      <w:ind w:left="240"/>
    </w:pPr>
    <w:rPr>
      <w:rFonts w:ascii="Cambria" w:eastAsia="Arial" w:hAnsi="Cambria" w:cs="Arial"/>
      <w:b/>
      <w:bCs/>
      <w:color w:val="000000"/>
      <w:sz w:val="22"/>
      <w:szCs w:val="22"/>
    </w:rPr>
  </w:style>
  <w:style w:type="paragraph" w:styleId="TOC3">
    <w:name w:val="toc 3"/>
    <w:basedOn w:val="Normal"/>
    <w:next w:val="Normal"/>
    <w:autoRedefine/>
    <w:uiPriority w:val="39"/>
    <w:unhideWhenUsed/>
    <w:rsid w:val="003E2B76"/>
    <w:pPr>
      <w:spacing w:line="480" w:lineRule="auto"/>
      <w:ind w:left="480"/>
    </w:pPr>
    <w:rPr>
      <w:rFonts w:ascii="Cambria" w:eastAsia="Arial" w:hAnsi="Cambria" w:cs="Arial"/>
      <w:color w:val="000000"/>
      <w:sz w:val="20"/>
      <w:szCs w:val="20"/>
    </w:rPr>
  </w:style>
  <w:style w:type="paragraph" w:styleId="TOC4">
    <w:name w:val="toc 4"/>
    <w:basedOn w:val="Normal"/>
    <w:next w:val="Normal"/>
    <w:autoRedefine/>
    <w:uiPriority w:val="39"/>
    <w:unhideWhenUsed/>
    <w:rsid w:val="003E2B76"/>
    <w:pPr>
      <w:spacing w:line="480" w:lineRule="auto"/>
      <w:ind w:left="720"/>
    </w:pPr>
    <w:rPr>
      <w:rFonts w:ascii="Cambria" w:eastAsia="Arial" w:hAnsi="Cambria" w:cs="Arial"/>
      <w:color w:val="000000"/>
      <w:sz w:val="20"/>
      <w:szCs w:val="20"/>
    </w:rPr>
  </w:style>
  <w:style w:type="paragraph" w:styleId="TOC5">
    <w:name w:val="toc 5"/>
    <w:basedOn w:val="Normal"/>
    <w:next w:val="Normal"/>
    <w:autoRedefine/>
    <w:uiPriority w:val="39"/>
    <w:unhideWhenUsed/>
    <w:rsid w:val="003E2B76"/>
    <w:pPr>
      <w:spacing w:line="480" w:lineRule="auto"/>
      <w:ind w:left="960"/>
    </w:pPr>
    <w:rPr>
      <w:rFonts w:ascii="Cambria" w:eastAsia="Arial" w:hAnsi="Cambria" w:cs="Arial"/>
      <w:color w:val="000000"/>
      <w:sz w:val="20"/>
      <w:szCs w:val="20"/>
    </w:rPr>
  </w:style>
  <w:style w:type="paragraph" w:styleId="TOC6">
    <w:name w:val="toc 6"/>
    <w:basedOn w:val="Normal"/>
    <w:next w:val="Normal"/>
    <w:autoRedefine/>
    <w:uiPriority w:val="39"/>
    <w:unhideWhenUsed/>
    <w:rsid w:val="003E2B76"/>
    <w:pPr>
      <w:spacing w:line="480" w:lineRule="auto"/>
      <w:ind w:left="1200"/>
    </w:pPr>
    <w:rPr>
      <w:rFonts w:ascii="Cambria" w:eastAsia="Arial" w:hAnsi="Cambria" w:cs="Arial"/>
      <w:color w:val="000000"/>
      <w:sz w:val="20"/>
      <w:szCs w:val="20"/>
    </w:rPr>
  </w:style>
  <w:style w:type="paragraph" w:styleId="TOC7">
    <w:name w:val="toc 7"/>
    <w:basedOn w:val="Normal"/>
    <w:next w:val="Normal"/>
    <w:autoRedefine/>
    <w:uiPriority w:val="39"/>
    <w:unhideWhenUsed/>
    <w:rsid w:val="003E2B76"/>
    <w:pPr>
      <w:spacing w:line="480" w:lineRule="auto"/>
      <w:ind w:left="1440"/>
    </w:pPr>
    <w:rPr>
      <w:rFonts w:ascii="Cambria" w:eastAsia="Arial" w:hAnsi="Cambria" w:cs="Arial"/>
      <w:color w:val="000000"/>
      <w:sz w:val="20"/>
      <w:szCs w:val="20"/>
    </w:rPr>
  </w:style>
  <w:style w:type="paragraph" w:styleId="TOC8">
    <w:name w:val="toc 8"/>
    <w:basedOn w:val="Normal"/>
    <w:next w:val="Normal"/>
    <w:autoRedefine/>
    <w:uiPriority w:val="39"/>
    <w:unhideWhenUsed/>
    <w:rsid w:val="003E2B76"/>
    <w:pPr>
      <w:spacing w:line="480" w:lineRule="auto"/>
      <w:ind w:left="1680"/>
    </w:pPr>
    <w:rPr>
      <w:rFonts w:ascii="Cambria" w:eastAsia="Arial" w:hAnsi="Cambria" w:cs="Arial"/>
      <w:color w:val="000000"/>
      <w:sz w:val="20"/>
      <w:szCs w:val="20"/>
    </w:rPr>
  </w:style>
  <w:style w:type="paragraph" w:styleId="TOC9">
    <w:name w:val="toc 9"/>
    <w:basedOn w:val="Normal"/>
    <w:next w:val="Normal"/>
    <w:autoRedefine/>
    <w:uiPriority w:val="39"/>
    <w:unhideWhenUsed/>
    <w:rsid w:val="003E2B76"/>
    <w:pPr>
      <w:spacing w:line="480" w:lineRule="auto"/>
      <w:ind w:left="1920"/>
    </w:pPr>
    <w:rPr>
      <w:rFonts w:ascii="Cambria" w:eastAsia="Arial" w:hAnsi="Cambria" w:cs="Arial"/>
      <w:color w:val="000000"/>
      <w:sz w:val="20"/>
      <w:szCs w:val="20"/>
    </w:rPr>
  </w:style>
  <w:style w:type="paragraph" w:styleId="FootnoteText">
    <w:name w:val="footnote text"/>
    <w:basedOn w:val="Normal"/>
    <w:link w:val="FootnoteTextChar"/>
    <w:uiPriority w:val="99"/>
    <w:unhideWhenUsed/>
    <w:rsid w:val="003E2B76"/>
    <w:pPr>
      <w:spacing w:before="120" w:line="276" w:lineRule="auto"/>
      <w:jc w:val="both"/>
    </w:pPr>
    <w:rPr>
      <w:sz w:val="20"/>
      <w:szCs w:val="20"/>
    </w:rPr>
  </w:style>
  <w:style w:type="character" w:customStyle="1" w:styleId="FootnoteTextChar">
    <w:name w:val="Footnote Text Char"/>
    <w:basedOn w:val="DefaultParagraphFont"/>
    <w:link w:val="FootnoteText"/>
    <w:uiPriority w:val="99"/>
    <w:rsid w:val="003E2B76"/>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3E2B76"/>
    <w:pPr>
      <w:tabs>
        <w:tab w:val="center" w:pos="4680"/>
        <w:tab w:val="right" w:pos="9360"/>
      </w:tabs>
      <w:spacing w:before="360" w:line="276" w:lineRule="auto"/>
      <w:jc w:val="both"/>
    </w:pPr>
  </w:style>
  <w:style w:type="character" w:customStyle="1" w:styleId="HeaderChar">
    <w:name w:val="Header Char"/>
    <w:basedOn w:val="DefaultParagraphFont"/>
    <w:link w:val="Header"/>
    <w:uiPriority w:val="99"/>
    <w:rsid w:val="003E2B76"/>
    <w:rPr>
      <w:rFonts w:ascii="Times New Roman" w:eastAsia="Times New Roman" w:hAnsi="Times New Roman" w:cs="Times New Roman"/>
      <w:lang w:eastAsia="en-GB"/>
    </w:rPr>
  </w:style>
  <w:style w:type="paragraph" w:styleId="Footer">
    <w:name w:val="footer"/>
    <w:basedOn w:val="Normal"/>
    <w:link w:val="FooterChar"/>
    <w:uiPriority w:val="99"/>
    <w:unhideWhenUsed/>
    <w:rsid w:val="003E2B76"/>
    <w:pPr>
      <w:tabs>
        <w:tab w:val="center" w:pos="4680"/>
        <w:tab w:val="right" w:pos="9360"/>
      </w:tabs>
      <w:spacing w:before="360" w:line="276" w:lineRule="auto"/>
      <w:jc w:val="both"/>
    </w:pPr>
  </w:style>
  <w:style w:type="character" w:customStyle="1" w:styleId="FooterChar">
    <w:name w:val="Footer Char"/>
    <w:basedOn w:val="DefaultParagraphFont"/>
    <w:link w:val="Footer"/>
    <w:uiPriority w:val="99"/>
    <w:rsid w:val="003E2B76"/>
    <w:rPr>
      <w:rFonts w:ascii="Times New Roman" w:eastAsia="Times New Roman" w:hAnsi="Times New Roman" w:cs="Times New Roman"/>
      <w:lang w:eastAsia="en-GB"/>
    </w:rPr>
  </w:style>
  <w:style w:type="paragraph" w:styleId="TableofFigures">
    <w:name w:val="table of figures"/>
    <w:basedOn w:val="Normal"/>
    <w:next w:val="Normal"/>
    <w:uiPriority w:val="99"/>
    <w:unhideWhenUsed/>
    <w:rsid w:val="003E2B76"/>
    <w:pPr>
      <w:ind w:left="480" w:hanging="480"/>
    </w:pPr>
    <w:rPr>
      <w:rFonts w:ascii="Cambria" w:hAnsi="Cambria"/>
      <w:caps/>
      <w:sz w:val="20"/>
      <w:szCs w:val="20"/>
    </w:rPr>
  </w:style>
  <w:style w:type="paragraph" w:styleId="EndnoteText">
    <w:name w:val="endnote text"/>
    <w:basedOn w:val="Normal"/>
    <w:link w:val="EndnoteTextChar"/>
    <w:uiPriority w:val="99"/>
    <w:semiHidden/>
    <w:unhideWhenUsed/>
    <w:rsid w:val="003E2B76"/>
    <w:rPr>
      <w:sz w:val="20"/>
      <w:szCs w:val="20"/>
    </w:rPr>
  </w:style>
  <w:style w:type="character" w:customStyle="1" w:styleId="EndnoteTextChar">
    <w:name w:val="Endnote Text Char"/>
    <w:basedOn w:val="DefaultParagraphFont"/>
    <w:link w:val="EndnoteText"/>
    <w:uiPriority w:val="99"/>
    <w:semiHidden/>
    <w:rsid w:val="003E2B76"/>
    <w:rPr>
      <w:rFonts w:ascii="Times New Roman" w:eastAsia="Times New Roman" w:hAnsi="Times New Roman" w:cs="Times New Roman"/>
      <w:sz w:val="20"/>
      <w:szCs w:val="20"/>
      <w:lang w:eastAsia="en-GB"/>
    </w:rPr>
  </w:style>
  <w:style w:type="paragraph" w:styleId="Subtitle">
    <w:name w:val="Subtitle"/>
    <w:basedOn w:val="Normal"/>
    <w:next w:val="Normal"/>
    <w:link w:val="SubtitleChar"/>
    <w:qFormat/>
    <w:rsid w:val="003E2B76"/>
    <w:pPr>
      <w:keepNext/>
      <w:keepLines/>
      <w:spacing w:before="360" w:after="80" w:line="48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3E2B76"/>
    <w:rPr>
      <w:rFonts w:ascii="Georgia" w:eastAsia="Georgia" w:hAnsi="Georgia" w:cs="Georgia"/>
      <w:i/>
      <w:color w:val="666666"/>
      <w:sz w:val="48"/>
      <w:szCs w:val="48"/>
      <w:lang w:eastAsia="en-GB"/>
    </w:rPr>
  </w:style>
  <w:style w:type="paragraph" w:styleId="BalloonText">
    <w:name w:val="Balloon Text"/>
    <w:basedOn w:val="Normal"/>
    <w:link w:val="BalloonTextChar"/>
    <w:uiPriority w:val="99"/>
    <w:semiHidden/>
    <w:unhideWhenUsed/>
    <w:rsid w:val="003E2B76"/>
    <w:pPr>
      <w:jc w:val="both"/>
    </w:pPr>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3E2B76"/>
    <w:rPr>
      <w:rFonts w:ascii="Segoe UI" w:eastAsia="Arial" w:hAnsi="Segoe UI" w:cs="Segoe UI"/>
      <w:color w:val="000000"/>
      <w:sz w:val="18"/>
      <w:szCs w:val="18"/>
      <w:lang w:eastAsia="en-GB"/>
    </w:rPr>
  </w:style>
  <w:style w:type="paragraph" w:styleId="NoSpacing">
    <w:name w:val="No Spacing"/>
    <w:uiPriority w:val="1"/>
    <w:qFormat/>
    <w:rsid w:val="003E2B76"/>
    <w:pPr>
      <w:jc w:val="both"/>
    </w:pPr>
    <w:rPr>
      <w:rFonts w:ascii="Times New Roman" w:eastAsia="Arial" w:hAnsi="Times New Roman" w:cs="Times New Roman"/>
      <w:lang w:eastAsia="en-GB"/>
    </w:rPr>
  </w:style>
  <w:style w:type="paragraph" w:styleId="Revision">
    <w:name w:val="Revision"/>
    <w:uiPriority w:val="99"/>
    <w:semiHidden/>
    <w:rsid w:val="003E2B76"/>
    <w:rPr>
      <w:rFonts w:ascii="Arial" w:eastAsia="Arial" w:hAnsi="Arial" w:cs="Arial"/>
      <w:color w:val="000000"/>
      <w:lang w:eastAsia="en-GB"/>
    </w:rPr>
  </w:style>
  <w:style w:type="paragraph" w:styleId="ListParagraph">
    <w:name w:val="List Paragraph"/>
    <w:basedOn w:val="Normal"/>
    <w:uiPriority w:val="34"/>
    <w:qFormat/>
    <w:rsid w:val="003E2B76"/>
    <w:pPr>
      <w:spacing w:before="360" w:line="276" w:lineRule="auto"/>
      <w:contextualSpacing/>
      <w:jc w:val="both"/>
    </w:pPr>
    <w:rPr>
      <w:rFonts w:eastAsia="MS Mincho"/>
      <w:lang w:eastAsia="ru-RU"/>
    </w:rPr>
  </w:style>
  <w:style w:type="paragraph" w:styleId="Quote">
    <w:name w:val="Quote"/>
    <w:basedOn w:val="Normal"/>
    <w:next w:val="Normal"/>
    <w:link w:val="QuoteChar"/>
    <w:uiPriority w:val="29"/>
    <w:qFormat/>
    <w:rsid w:val="003E2B76"/>
    <w:pPr>
      <w:spacing w:before="360" w:line="276" w:lineRule="auto"/>
      <w:ind w:left="864"/>
      <w:jc w:val="center"/>
    </w:pPr>
    <w:rPr>
      <w:i/>
      <w:iCs/>
      <w:color w:val="404040"/>
    </w:rPr>
  </w:style>
  <w:style w:type="character" w:customStyle="1" w:styleId="QuoteChar">
    <w:name w:val="Quote Char"/>
    <w:basedOn w:val="DefaultParagraphFont"/>
    <w:link w:val="Quote"/>
    <w:uiPriority w:val="29"/>
    <w:rsid w:val="003E2B76"/>
    <w:rPr>
      <w:rFonts w:ascii="Times New Roman" w:eastAsia="Times New Roman" w:hAnsi="Times New Roman" w:cs="Times New Roman"/>
      <w:i/>
      <w:iCs/>
      <w:color w:val="404040"/>
      <w:lang w:eastAsia="en-GB"/>
    </w:rPr>
  </w:style>
  <w:style w:type="paragraph" w:styleId="TOCHeading">
    <w:name w:val="TOC Heading"/>
    <w:basedOn w:val="Heading1"/>
    <w:next w:val="Normal"/>
    <w:uiPriority w:val="39"/>
    <w:unhideWhenUsed/>
    <w:qFormat/>
    <w:rsid w:val="003E2B76"/>
    <w:pPr>
      <w:spacing w:line="276" w:lineRule="auto"/>
      <w:ind w:hanging="360"/>
      <w:jc w:val="left"/>
      <w:outlineLvl w:val="9"/>
    </w:pPr>
    <w:rPr>
      <w:rFonts w:ascii="Calibri" w:eastAsia="MS Gothic" w:hAnsi="Calibri" w:cs="Times New Roman"/>
      <w:b w:val="0"/>
      <w:color w:val="365F91"/>
      <w:lang w:val="en-US" w:eastAsia="en-US"/>
    </w:rPr>
  </w:style>
  <w:style w:type="character" w:customStyle="1" w:styleId="TableChar">
    <w:name w:val="Table Char"/>
    <w:link w:val="Table"/>
    <w:locked/>
    <w:rsid w:val="003E2B76"/>
    <w:rPr>
      <w:rFonts w:ascii="Times" w:eastAsia="Times New Roman" w:hAnsi="Times" w:cs="Times"/>
      <w:b/>
      <w:bCs/>
      <w:color w:val="000000"/>
      <w:sz w:val="20"/>
      <w:szCs w:val="20"/>
    </w:rPr>
  </w:style>
  <w:style w:type="paragraph" w:customStyle="1" w:styleId="Table">
    <w:name w:val="Table"/>
    <w:basedOn w:val="Caption"/>
    <w:link w:val="TableChar"/>
    <w:qFormat/>
    <w:rsid w:val="003E2B76"/>
    <w:pPr>
      <w:keepNext/>
      <w:autoSpaceDE w:val="0"/>
      <w:autoSpaceDN w:val="0"/>
      <w:adjustRightInd w:val="0"/>
      <w:spacing w:after="240" w:line="280" w:lineRule="atLeast"/>
      <w:ind w:left="142" w:right="-187"/>
      <w:jc w:val="both"/>
    </w:pPr>
    <w:rPr>
      <w:rFonts w:ascii="Times" w:hAnsi="Times" w:cs="Times"/>
      <w:b/>
      <w:bCs/>
      <w:i w:val="0"/>
      <w:iCs w:val="0"/>
      <w:color w:val="000000"/>
      <w:sz w:val="20"/>
      <w:szCs w:val="20"/>
      <w:lang w:eastAsia="en-US"/>
    </w:rPr>
  </w:style>
  <w:style w:type="character" w:customStyle="1" w:styleId="FigureChar">
    <w:name w:val="Figure Char"/>
    <w:link w:val="Figure"/>
    <w:locked/>
    <w:rsid w:val="003E2B76"/>
    <w:rPr>
      <w:rFonts w:ascii="Times" w:eastAsia="Times New Roman" w:hAnsi="Times" w:cs="Times"/>
      <w:b/>
      <w:bCs/>
      <w:color w:val="000000"/>
      <w:sz w:val="20"/>
      <w:szCs w:val="20"/>
    </w:rPr>
  </w:style>
  <w:style w:type="paragraph" w:customStyle="1" w:styleId="Figure">
    <w:name w:val="Figure"/>
    <w:basedOn w:val="Caption"/>
    <w:link w:val="FigureChar"/>
    <w:qFormat/>
    <w:rsid w:val="003E2B76"/>
    <w:pPr>
      <w:autoSpaceDE w:val="0"/>
      <w:autoSpaceDN w:val="0"/>
      <w:adjustRightInd w:val="0"/>
      <w:spacing w:after="240" w:line="280" w:lineRule="atLeast"/>
      <w:jc w:val="center"/>
    </w:pPr>
    <w:rPr>
      <w:rFonts w:ascii="Times" w:hAnsi="Times" w:cs="Times"/>
      <w:b/>
      <w:bCs/>
      <w:i w:val="0"/>
      <w:iCs w:val="0"/>
      <w:color w:val="000000"/>
      <w:sz w:val="20"/>
      <w:szCs w:val="20"/>
      <w:lang w:eastAsia="en-US"/>
    </w:rPr>
  </w:style>
  <w:style w:type="paragraph" w:customStyle="1" w:styleId="Pararagh">
    <w:name w:val="Pararagh"/>
    <w:basedOn w:val="Normal"/>
    <w:qFormat/>
    <w:rsid w:val="003E2B76"/>
    <w:pPr>
      <w:spacing w:after="160" w:line="360" w:lineRule="auto"/>
      <w:ind w:left="142" w:right="95" w:firstLine="567"/>
      <w:jc w:val="both"/>
    </w:pPr>
    <w:rPr>
      <w:rFonts w:eastAsia="Arial"/>
      <w:color w:val="000000"/>
      <w:sz w:val="20"/>
      <w:szCs w:val="20"/>
    </w:rPr>
  </w:style>
  <w:style w:type="paragraph" w:customStyle="1" w:styleId="TableContents">
    <w:name w:val="Table Contents"/>
    <w:basedOn w:val="Normal"/>
    <w:qFormat/>
    <w:rsid w:val="003E2B76"/>
    <w:pPr>
      <w:widowControl w:val="0"/>
      <w:suppressLineNumbers/>
      <w:spacing w:line="200" w:lineRule="exact"/>
      <w:contextualSpacing/>
    </w:pPr>
    <w:rPr>
      <w:rFonts w:eastAsia="Arial Unicode MS"/>
      <w:sz w:val="20"/>
      <w:szCs w:val="20"/>
      <w:lang w:val="en-US" w:bidi="hi-IN"/>
    </w:rPr>
  </w:style>
  <w:style w:type="character" w:customStyle="1" w:styleId="QuoteParagraphChar">
    <w:name w:val="Quote Paragraph Char"/>
    <w:link w:val="QuoteParagraph"/>
    <w:locked/>
    <w:rsid w:val="003E2B76"/>
    <w:rPr>
      <w:rFonts w:ascii="Arabic Typesetting" w:eastAsia="Times New Roman" w:hAnsi="Arabic Typesetting" w:cs="Arabic Typesetting"/>
      <w:i/>
      <w:iCs/>
      <w:sz w:val="28"/>
      <w:szCs w:val="28"/>
    </w:rPr>
  </w:style>
  <w:style w:type="paragraph" w:customStyle="1" w:styleId="QuoteParagraph">
    <w:name w:val="Quote Paragraph"/>
    <w:basedOn w:val="Normal"/>
    <w:link w:val="QuoteParagraphChar"/>
    <w:qFormat/>
    <w:rsid w:val="003E2B76"/>
    <w:pPr>
      <w:spacing w:before="120" w:after="100" w:afterAutospacing="1" w:line="200" w:lineRule="exact"/>
      <w:ind w:left="1276" w:right="2155"/>
      <w:jc w:val="both"/>
    </w:pPr>
    <w:rPr>
      <w:rFonts w:ascii="Arabic Typesetting" w:hAnsi="Arabic Typesetting" w:cs="Arabic Typesetting"/>
      <w:i/>
      <w:iCs/>
      <w:sz w:val="28"/>
      <w:szCs w:val="28"/>
      <w:lang w:eastAsia="en-US"/>
    </w:rPr>
  </w:style>
  <w:style w:type="paragraph" w:customStyle="1" w:styleId="BeliefStatements">
    <w:name w:val="Belief Statements"/>
    <w:basedOn w:val="Normal"/>
    <w:qFormat/>
    <w:rsid w:val="003E2B76"/>
    <w:pPr>
      <w:spacing w:before="360" w:line="276" w:lineRule="auto"/>
      <w:ind w:left="320" w:right="284" w:hanging="284"/>
      <w:contextualSpacing/>
      <w:jc w:val="both"/>
    </w:pPr>
    <w:rPr>
      <w:rFonts w:ascii="Constantia" w:hAnsi="Constantia"/>
      <w:i/>
      <w:iCs/>
      <w:color w:val="171717"/>
      <w:sz w:val="22"/>
      <w:szCs w:val="22"/>
    </w:rPr>
  </w:style>
  <w:style w:type="paragraph" w:customStyle="1" w:styleId="COnstructLIst">
    <w:name w:val="COnstruct LIst"/>
    <w:basedOn w:val="BeliefStatements"/>
    <w:qFormat/>
    <w:rsid w:val="003E2B76"/>
    <w:pPr>
      <w:numPr>
        <w:numId w:val="2"/>
      </w:numPr>
    </w:pPr>
  </w:style>
  <w:style w:type="character" w:customStyle="1" w:styleId="LexicalPatternChar">
    <w:name w:val="LexicalPattern Char"/>
    <w:link w:val="LexicalPattern"/>
    <w:locked/>
    <w:rsid w:val="003E2B76"/>
    <w:rPr>
      <w:rFonts w:ascii="Arabic Typesetting" w:eastAsia="Times New Roman" w:hAnsi="Arabic Typesetting" w:cs="Arabic Typesetting"/>
      <w:iCs/>
      <w:color w:val="00B050"/>
      <w:sz w:val="28"/>
      <w:szCs w:val="28"/>
      <w:u w:val="single"/>
    </w:rPr>
  </w:style>
  <w:style w:type="paragraph" w:customStyle="1" w:styleId="LexicalPattern">
    <w:name w:val="LexicalPattern"/>
    <w:basedOn w:val="QuoteParagraph"/>
    <w:link w:val="LexicalPatternChar"/>
    <w:qFormat/>
    <w:rsid w:val="003E2B76"/>
    <w:pPr>
      <w:spacing w:line="240" w:lineRule="auto"/>
    </w:pPr>
    <w:rPr>
      <w:i w:val="0"/>
      <w:color w:val="00B050"/>
      <w:u w:val="single"/>
    </w:rPr>
  </w:style>
  <w:style w:type="paragraph" w:customStyle="1" w:styleId="CausalTable">
    <w:name w:val="CausalTable"/>
    <w:basedOn w:val="Normal"/>
    <w:qFormat/>
    <w:rsid w:val="003E2B76"/>
    <w:pPr>
      <w:framePr w:hSpace="180" w:wrap="around" w:vAnchor="text" w:hAnchor="page" w:x="1549" w:y="423"/>
      <w:spacing w:line="160" w:lineRule="exact"/>
      <w:jc w:val="both"/>
    </w:pPr>
    <w:rPr>
      <w:sz w:val="16"/>
      <w:szCs w:val="16"/>
    </w:rPr>
  </w:style>
  <w:style w:type="paragraph" w:customStyle="1" w:styleId="Tablequote">
    <w:name w:val="Table_quote"/>
    <w:basedOn w:val="QuoteParagraph"/>
    <w:qFormat/>
    <w:rsid w:val="003E2B76"/>
    <w:pPr>
      <w:framePr w:hSpace="180" w:wrap="around" w:vAnchor="text" w:hAnchor="margin" w:y="124"/>
      <w:spacing w:line="276" w:lineRule="auto"/>
      <w:ind w:left="249" w:right="527" w:hanging="249"/>
      <w:contextualSpacing/>
    </w:pPr>
    <w:rPr>
      <w:rFonts w:ascii="Times New Roman" w:hAnsi="Times New Roman" w:cs="Times New Roman"/>
      <w:color w:val="000000"/>
    </w:rPr>
  </w:style>
  <w:style w:type="character" w:customStyle="1" w:styleId="LexicalPatternsTableChar">
    <w:name w:val="LexicalPatterns_Table Char"/>
    <w:link w:val="LexicalPatternsTable"/>
    <w:locked/>
    <w:rsid w:val="003E2B76"/>
    <w:rPr>
      <w:rFonts w:ascii="Times New Roman" w:eastAsia="Times New Roman" w:hAnsi="Times New Roman" w:cs="Times New Roman"/>
    </w:rPr>
  </w:style>
  <w:style w:type="paragraph" w:customStyle="1" w:styleId="LexicalPatternsTable">
    <w:name w:val="LexicalPatterns_Table"/>
    <w:basedOn w:val="Normal"/>
    <w:link w:val="LexicalPatternsTableChar"/>
    <w:qFormat/>
    <w:rsid w:val="003E2B76"/>
    <w:rPr>
      <w:lang w:eastAsia="en-US"/>
    </w:rPr>
  </w:style>
  <w:style w:type="paragraph" w:customStyle="1" w:styleId="Notecaption">
    <w:name w:val="Note_caption"/>
    <w:basedOn w:val="Normal"/>
    <w:qFormat/>
    <w:rsid w:val="003E2B76"/>
    <w:rPr>
      <w:rFonts w:eastAsia="Calibri"/>
      <w:b/>
      <w:bCs/>
      <w:sz w:val="22"/>
      <w:szCs w:val="22"/>
    </w:rPr>
  </w:style>
  <w:style w:type="paragraph" w:customStyle="1" w:styleId="Normal1">
    <w:name w:val="Normal1"/>
    <w:rsid w:val="003E2B76"/>
    <w:pPr>
      <w:spacing w:line="276" w:lineRule="auto"/>
    </w:pPr>
    <w:rPr>
      <w:rFonts w:ascii="Arial" w:eastAsia="Arial" w:hAnsi="Arial" w:cs="Arial"/>
      <w:color w:val="000000"/>
      <w:sz w:val="22"/>
      <w:szCs w:val="22"/>
      <w:lang w:val="en" w:eastAsia="ru-RU"/>
    </w:rPr>
  </w:style>
  <w:style w:type="paragraph" w:customStyle="1" w:styleId="TableStyle2">
    <w:name w:val="Table Style 2"/>
    <w:rsid w:val="003E2B76"/>
    <w:rPr>
      <w:rFonts w:ascii="Helvetica Neue" w:eastAsia="Arial Unicode MS" w:hAnsi="Helvetica Neue" w:cs="Arial Unicode MS"/>
      <w:color w:val="000000"/>
      <w:sz w:val="20"/>
      <w:szCs w:val="20"/>
      <w:lang w:val="en-US" w:eastAsia="en-GB"/>
    </w:rPr>
  </w:style>
  <w:style w:type="paragraph" w:customStyle="1" w:styleId="Appendix">
    <w:name w:val="Appendix"/>
    <w:basedOn w:val="Heading3"/>
    <w:qFormat/>
    <w:rsid w:val="003E2B76"/>
    <w:pPr>
      <w:ind w:left="432" w:hanging="432"/>
    </w:pPr>
    <w:rPr>
      <w:b w:val="0"/>
      <w:bCs w:val="0"/>
      <w:i/>
    </w:rPr>
  </w:style>
  <w:style w:type="character" w:styleId="FootnoteReference">
    <w:name w:val="footnote reference"/>
    <w:uiPriority w:val="99"/>
    <w:semiHidden/>
    <w:unhideWhenUsed/>
    <w:rsid w:val="003E2B76"/>
    <w:rPr>
      <w:vertAlign w:val="superscript"/>
    </w:rPr>
  </w:style>
  <w:style w:type="character" w:styleId="EndnoteReference">
    <w:name w:val="endnote reference"/>
    <w:uiPriority w:val="99"/>
    <w:semiHidden/>
    <w:unhideWhenUsed/>
    <w:rsid w:val="003E2B76"/>
    <w:rPr>
      <w:vertAlign w:val="superscript"/>
    </w:rPr>
  </w:style>
  <w:style w:type="character" w:styleId="PlaceholderText">
    <w:name w:val="Placeholder Text"/>
    <w:uiPriority w:val="99"/>
    <w:semiHidden/>
    <w:rsid w:val="003E2B76"/>
    <w:rPr>
      <w:color w:val="808080"/>
    </w:rPr>
  </w:style>
  <w:style w:type="character" w:styleId="SubtleEmphasis">
    <w:name w:val="Subtle Emphasis"/>
    <w:uiPriority w:val="19"/>
    <w:qFormat/>
    <w:rsid w:val="003E2B76"/>
    <w:rPr>
      <w:i/>
      <w:iCs/>
      <w:color w:val="404040"/>
    </w:rPr>
  </w:style>
  <w:style w:type="character" w:customStyle="1" w:styleId="apple-converted-space">
    <w:name w:val="apple-converted-space"/>
    <w:basedOn w:val="DefaultParagraphFont"/>
    <w:rsid w:val="003E2B76"/>
  </w:style>
  <w:style w:type="character" w:customStyle="1" w:styleId="citationref">
    <w:name w:val="citationref"/>
    <w:basedOn w:val="DefaultParagraphFont"/>
    <w:rsid w:val="003E2B76"/>
  </w:style>
  <w:style w:type="character" w:customStyle="1" w:styleId="reference-text">
    <w:name w:val="reference-text"/>
    <w:basedOn w:val="DefaultParagraphFont"/>
    <w:rsid w:val="003E2B76"/>
  </w:style>
  <w:style w:type="character" w:customStyle="1" w:styleId="mw-cite-backlink">
    <w:name w:val="mw-cite-backlink"/>
    <w:basedOn w:val="DefaultParagraphFont"/>
    <w:rsid w:val="003E2B76"/>
  </w:style>
  <w:style w:type="character" w:customStyle="1" w:styleId="author">
    <w:name w:val="author"/>
    <w:basedOn w:val="DefaultParagraphFont"/>
    <w:rsid w:val="003E2B76"/>
  </w:style>
  <w:style w:type="character" w:customStyle="1" w:styleId="articletitle">
    <w:name w:val="articletitle"/>
    <w:basedOn w:val="DefaultParagraphFont"/>
    <w:rsid w:val="003E2B76"/>
  </w:style>
  <w:style w:type="character" w:customStyle="1" w:styleId="journaltitle">
    <w:name w:val="journaltitle"/>
    <w:basedOn w:val="DefaultParagraphFont"/>
    <w:rsid w:val="003E2B76"/>
  </w:style>
  <w:style w:type="character" w:customStyle="1" w:styleId="pubyear">
    <w:name w:val="pubyear"/>
    <w:basedOn w:val="DefaultParagraphFont"/>
    <w:rsid w:val="003E2B76"/>
  </w:style>
  <w:style w:type="character" w:customStyle="1" w:styleId="vol">
    <w:name w:val="vol"/>
    <w:basedOn w:val="DefaultParagraphFont"/>
    <w:rsid w:val="003E2B76"/>
  </w:style>
  <w:style w:type="character" w:customStyle="1" w:styleId="pagefirst">
    <w:name w:val="pagefirst"/>
    <w:basedOn w:val="DefaultParagraphFont"/>
    <w:rsid w:val="003E2B76"/>
  </w:style>
  <w:style w:type="character" w:customStyle="1" w:styleId="f1000-at-ignore">
    <w:name w:val="f1000-at-ignore"/>
    <w:basedOn w:val="DefaultParagraphFont"/>
    <w:rsid w:val="003E2B76"/>
  </w:style>
  <w:style w:type="character" w:customStyle="1" w:styleId="amstarbig">
    <w:name w:val="amstarbig"/>
    <w:basedOn w:val="DefaultParagraphFont"/>
    <w:rsid w:val="003E2B76"/>
  </w:style>
  <w:style w:type="table" w:styleId="TableGrid">
    <w:name w:val="Table Grid"/>
    <w:basedOn w:val="TableNormal"/>
    <w:uiPriority w:val="39"/>
    <w:rsid w:val="003E2B76"/>
    <w:rPr>
      <w:rFonts w:ascii="Cambria" w:eastAsia="MS Mincho" w:hAnsi="Cambria" w:cs="Arial"/>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43"/>
    <w:basedOn w:val="TableNormal"/>
    <w:rsid w:val="003E2B76"/>
    <w:rPr>
      <w:rFonts w:ascii="Cambria" w:eastAsia="Cambria" w:hAnsi="Cambria" w:cs="Cambria"/>
      <w:sz w:val="22"/>
      <w:szCs w:val="22"/>
      <w:lang w:eastAsia="en-GB"/>
    </w:rPr>
    <w:tblPr>
      <w:tblStyleRowBandSize w:val="1"/>
      <w:tblStyleColBandSize w:val="1"/>
      <w:tblInd w:w="0" w:type="nil"/>
      <w:tblCellMar>
        <w:left w:w="0" w:type="dxa"/>
        <w:right w:w="0" w:type="dxa"/>
      </w:tblCellMar>
    </w:tblPr>
  </w:style>
  <w:style w:type="table" w:customStyle="1" w:styleId="30">
    <w:name w:val="30"/>
    <w:basedOn w:val="TableNormal"/>
    <w:rsid w:val="003E2B76"/>
    <w:rPr>
      <w:rFonts w:ascii="Cambria" w:eastAsia="Cambria" w:hAnsi="Cambria" w:cs="Cambria"/>
      <w:sz w:val="22"/>
      <w:szCs w:val="22"/>
      <w:lang w:eastAsia="en-GB"/>
    </w:rPr>
    <w:tblPr>
      <w:tblStyleRowBandSize w:val="1"/>
      <w:tblStyleColBandSize w:val="1"/>
      <w:tblInd w:w="0" w:type="nil"/>
      <w:tblCellMar>
        <w:left w:w="0" w:type="dxa"/>
        <w:right w:w="0" w:type="dxa"/>
      </w:tblCellMar>
    </w:tblPr>
  </w:style>
  <w:style w:type="table" w:customStyle="1" w:styleId="22">
    <w:name w:val="22"/>
    <w:basedOn w:val="TableNormal"/>
    <w:rsid w:val="003E2B76"/>
    <w:rPr>
      <w:rFonts w:ascii="Times New Roman" w:eastAsia="Times New Roman" w:hAnsi="Times New Roman" w:cs="Times New Roman"/>
      <w:sz w:val="20"/>
      <w:szCs w:val="20"/>
      <w:lang w:eastAsia="zh-CN"/>
    </w:rPr>
    <w:tblPr>
      <w:tblStyleRowBandSize w:val="1"/>
      <w:tblStyleColBandSize w:val="1"/>
      <w:tblInd w:w="0" w:type="nil"/>
      <w:tblCellMar>
        <w:top w:w="100" w:type="dxa"/>
        <w:left w:w="115" w:type="dxa"/>
        <w:bottom w:w="100" w:type="dxa"/>
        <w:right w:w="115" w:type="dxa"/>
      </w:tblCellMar>
    </w:tblPr>
  </w:style>
  <w:style w:type="table" w:customStyle="1" w:styleId="12">
    <w:name w:val="12"/>
    <w:basedOn w:val="TableNormal"/>
    <w:rsid w:val="003E2B76"/>
    <w:rPr>
      <w:rFonts w:ascii="Times New Roman" w:eastAsia="Times New Roman" w:hAnsi="Times New Roman" w:cs="Times New Roman"/>
      <w:sz w:val="20"/>
      <w:szCs w:val="20"/>
      <w:lang w:eastAsia="zh-CN"/>
    </w:rPr>
    <w:tblPr>
      <w:tblStyleRowBandSize w:val="1"/>
      <w:tblStyleColBandSize w:val="1"/>
      <w:tblInd w:w="0" w:type="nil"/>
      <w:tblCellMar>
        <w:left w:w="115" w:type="dxa"/>
        <w:right w:w="115" w:type="dxa"/>
      </w:tblCellMar>
    </w:tblPr>
  </w:style>
  <w:style w:type="table" w:customStyle="1" w:styleId="17">
    <w:name w:val="17"/>
    <w:basedOn w:val="TableNormal"/>
    <w:rsid w:val="003E2B76"/>
    <w:rPr>
      <w:rFonts w:ascii="Times New Roman" w:eastAsia="Times New Roman" w:hAnsi="Times New Roman" w:cs="Times New Roman"/>
      <w:sz w:val="20"/>
      <w:szCs w:val="20"/>
      <w:lang w:eastAsia="zh-CN"/>
    </w:rPr>
    <w:tblPr>
      <w:tblStyleRowBandSize w:val="1"/>
      <w:tblStyleColBandSize w:val="1"/>
      <w:tblInd w:w="0" w:type="nil"/>
      <w:tblCellMar>
        <w:top w:w="100" w:type="dxa"/>
        <w:left w:w="115" w:type="dxa"/>
        <w:bottom w:w="100" w:type="dxa"/>
        <w:right w:w="115" w:type="dxa"/>
      </w:tblCellMar>
    </w:tblPr>
  </w:style>
  <w:style w:type="character" w:styleId="Emphasis">
    <w:name w:val="Emphasis"/>
    <w:uiPriority w:val="20"/>
    <w:qFormat/>
    <w:rsid w:val="003E2B76"/>
    <w:rPr>
      <w:i/>
      <w:iCs/>
    </w:rPr>
  </w:style>
  <w:style w:type="character" w:customStyle="1" w:styleId="UnresolvedMention1">
    <w:name w:val="Unresolved Mention1"/>
    <w:basedOn w:val="DefaultParagraphFont"/>
    <w:uiPriority w:val="99"/>
    <w:semiHidden/>
    <w:unhideWhenUsed/>
    <w:rsid w:val="003E2B76"/>
    <w:rPr>
      <w:color w:val="605E5C"/>
      <w:shd w:val="clear" w:color="auto" w:fill="E1DFDD"/>
    </w:rPr>
  </w:style>
  <w:style w:type="character" w:styleId="PageNumber">
    <w:name w:val="page number"/>
    <w:basedOn w:val="DefaultParagraphFont"/>
    <w:uiPriority w:val="99"/>
    <w:semiHidden/>
    <w:unhideWhenUsed/>
    <w:rsid w:val="003E2B76"/>
  </w:style>
  <w:style w:type="character" w:customStyle="1" w:styleId="element-citation">
    <w:name w:val="element-citation"/>
    <w:basedOn w:val="DefaultParagraphFont"/>
    <w:rsid w:val="003E2B76"/>
  </w:style>
  <w:style w:type="character" w:customStyle="1" w:styleId="ref-journal">
    <w:name w:val="ref-journal"/>
    <w:basedOn w:val="DefaultParagraphFont"/>
    <w:rsid w:val="003E2B76"/>
  </w:style>
  <w:style w:type="character" w:customStyle="1" w:styleId="ref-vol">
    <w:name w:val="ref-vol"/>
    <w:basedOn w:val="DefaultParagraphFont"/>
    <w:rsid w:val="003E2B76"/>
  </w:style>
  <w:style w:type="character" w:customStyle="1" w:styleId="nowrap">
    <w:name w:val="nowrap"/>
    <w:basedOn w:val="DefaultParagraphFont"/>
    <w:rsid w:val="003E2B76"/>
  </w:style>
  <w:style w:type="character" w:customStyle="1" w:styleId="markl7zemuj43">
    <w:name w:val="markl7zemuj43"/>
    <w:basedOn w:val="DefaultParagraphFont"/>
    <w:rsid w:val="003E2B76"/>
  </w:style>
  <w:style w:type="character" w:customStyle="1" w:styleId="css-901oao">
    <w:name w:val="css-901oao"/>
    <w:basedOn w:val="DefaultParagraphFont"/>
    <w:rsid w:val="003E2B76"/>
  </w:style>
  <w:style w:type="character" w:customStyle="1" w:styleId="r-18u37iz">
    <w:name w:val="r-18u37iz"/>
    <w:basedOn w:val="DefaultParagraphFont"/>
    <w:rsid w:val="003E2B76"/>
  </w:style>
  <w:style w:type="character" w:styleId="UnresolvedMention">
    <w:name w:val="Unresolved Mention"/>
    <w:basedOn w:val="DefaultParagraphFont"/>
    <w:uiPriority w:val="99"/>
    <w:semiHidden/>
    <w:unhideWhenUsed/>
    <w:rsid w:val="003E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38772</Words>
  <Characters>229537</Characters>
  <Application>Microsoft Office Word</Application>
  <DocSecurity>0</DocSecurity>
  <Lines>6203</Lines>
  <Paragraphs>3530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16</cp:revision>
  <dcterms:created xsi:type="dcterms:W3CDTF">2021-06-25T14:04:00Z</dcterms:created>
  <dcterms:modified xsi:type="dcterms:W3CDTF">2022-07-03T00:54:00Z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http://www.zotero.org/styles/apa</vt:lpwstr>
  </property>
  <property fmtid="{D5CDD505-2E9C-101B-9397-08002B2CF9AE}" pid="3" name="InsertAsFootnote">
    <vt:lpwstr>0</vt:lpwstr>
  </property>
</Properties>
</file>