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 Impor Barang Konsumsi Terhadap Inflasi di Indonesia Tahun 2003-2023</w:t>
      </w:r>
    </w:p>
    <w:p>
      <w:pPr>
        <w:pStyle w:val="Subtitle"/>
      </w:pPr>
      <w:r>
        <w:t xml:space="preserve">Metode Penelitian Politeknik APP Jakarta</w:t>
      </w:r>
    </w:p>
    <w:p>
      <w:pPr>
        <w:pStyle w:val="Author"/>
      </w:pPr>
      <w:r>
        <w:t xml:space="preserve">Aliya Az Zahra Bachri</w:t>
      </w:r>
    </w:p>
    <w:p>
      <w:pPr>
        <w:pStyle w:val="Date"/>
      </w:pPr>
      <w:r>
        <w:t xml:space="preserve">2025-01-14</w:t>
      </w:r>
    </w:p>
    <w:p>
      <w:pPr>
        <w:pStyle w:val="FirstParagraph"/>
      </w:pPr>
      <w:r>
        <w:drawing>
          <wp:inline>
            <wp:extent cx="5334000" cy="5334000"/>
            <wp:effectExtent b="0" l="0" r="0" t="0"/>
            <wp:docPr descr="" title="" id="21" name="Picture"/>
            <a:graphic>
              <a:graphicData uri="http://schemas.openxmlformats.org/drawingml/2006/picture">
                <pic:pic>
                  <pic:nvPicPr>
                    <pic:cNvPr descr="images/clipboard-3801760617.jpe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Aktivitas impor suatu negara dapat membantu memenuhi kebutuhan masyarakat yang di dalam negerinya tidak mampu terpenuhi, sehingga adanya aktivitas perdagangan internasional. peningkatan impor barang juga berpengaruh terhadap inflasi. terdapat hubungan stabilitas keseimbangan jangka panjang dan pergerakan jangka panjang. Inflasi yang tinggi dapat dipengaruhi oleh beberapa faktor, salah satunya peningkatan impor barang konsumsi karena dapat menyebabkan lonjakan harga domestik. Impor barang konsumsi mencangkup barang-barang seperti makanan, pakaian, barang elektronik, dan sebagainya yang di gunakan oleh masyarakat. Ketika impor barang konsumsi meningkat maka terjadi penurunan pada harga barang domestik, tetapi juga dapat meningkatkan tekanan inflasi jika biaya impor naik akibat fluktuasi nilai tukar atau kenaikan harga barang di luar negari.</w:t>
      </w:r>
    </w:p>
    <w:bookmarkEnd w:id="23"/>
    <w:bookmarkStart w:id="24" w:name="ruang-lingkup"/>
    <w:p>
      <w:pPr>
        <w:pStyle w:val="Heading3"/>
      </w:pPr>
      <w:r>
        <w:t xml:space="preserve">1.2 Ruang lingkup</w:t>
      </w:r>
    </w:p>
    <w:p>
      <w:pPr>
        <w:pStyle w:val="FirstParagraph"/>
      </w:pPr>
      <w:r>
        <w:t xml:space="preserve">Ruang lingkup pembahasan masalah sesuai data yang akan digunakan untuk analisis pengaruh impor barang konsumsi terhadap inflasi di Indonesia dalam batasan waktu antara tahun 2003-2023. penelitian ini mencangkup barang konsumsi yang di impor ke Indonesia dan tingkat inflasi di Indonesia. Data impor barang konsumsi akan di analisis dalam satuan USD dan tingkat inflasi tahunan yang diukur dalam bentuk persentase.</w:t>
      </w:r>
    </w:p>
    <w:bookmarkEnd w:id="24"/>
    <w:bookmarkStart w:id="25" w:name="rumusan-masalah"/>
    <w:p>
      <w:pPr>
        <w:pStyle w:val="Heading3"/>
      </w:pPr>
      <w:r>
        <w:t xml:space="preserve">1.3 Rumusan masalah</w:t>
      </w:r>
    </w:p>
    <w:bookmarkEnd w:id="25"/>
    <w:bookmarkStart w:id="26" w:name="tujuan-dan-manfaat-penelitian"/>
    <w:p>
      <w:pPr>
        <w:pStyle w:val="Heading3"/>
      </w:pPr>
      <w:r>
        <w:t xml:space="preserve">1.4 Tujuan dan manfaat penelitian</w:t>
      </w:r>
    </w:p>
    <w:p>
      <w:pPr>
        <w:pStyle w:val="FirstParagraph"/>
      </w:pPr>
      <w:r>
        <w:t xml:space="preserve">Penelitian ini bertujuan untuk menganalisis pengaruh impor barang konsumsi terhadap inflasi di Indonesia periode 2003-2023 serta mencari hubungan signifikan antara keduanya. manfaat penelitan :</w:t>
      </w:r>
    </w:p>
    <w:p>
      <w:pPr>
        <w:numPr>
          <w:ilvl w:val="0"/>
          <w:numId w:val="1001"/>
        </w:numPr>
      </w:pPr>
      <w:r>
        <w:t xml:space="preserve">Bagi Akademisi</w:t>
      </w:r>
    </w:p>
    <w:p>
      <w:pPr>
        <w:numPr>
          <w:ilvl w:val="0"/>
          <w:numId w:val="1000"/>
        </w:numPr>
      </w:pPr>
      <w:r>
        <w:t xml:space="preserve">Menambah wawasan dan referensi pada studi ekonomi khususnya pada bidang inflasi dan impor.</w:t>
      </w:r>
    </w:p>
    <w:p>
      <w:pPr>
        <w:numPr>
          <w:ilvl w:val="0"/>
          <w:numId w:val="1001"/>
        </w:numPr>
      </w:pPr>
      <w:r>
        <w:t xml:space="preserve">Bagi Industri</w:t>
      </w:r>
    </w:p>
    <w:p>
      <w:pPr>
        <w:numPr>
          <w:ilvl w:val="0"/>
          <w:numId w:val="1000"/>
        </w:numPr>
      </w:pPr>
      <w:r>
        <w:t xml:space="preserve">Memberikan informasi untuk strategi bisnis dalam menghadapi inflasi dan ketergantungan produk impor.</w:t>
      </w:r>
    </w:p>
    <w:p>
      <w:pPr>
        <w:numPr>
          <w:ilvl w:val="0"/>
          <w:numId w:val="1001"/>
        </w:numPr>
      </w:pPr>
      <w:r>
        <w:t xml:space="preserve">Bagi Pemerintah</w:t>
      </w:r>
    </w:p>
    <w:p>
      <w:pPr>
        <w:numPr>
          <w:ilvl w:val="0"/>
          <w:numId w:val="1000"/>
        </w:numPr>
      </w:pPr>
      <w:r>
        <w:t xml:space="preserve">Membantu pemerintah dalam merumuskan kebijakan ekonomi untuk mengendalikan inflasi dan mengelola perdagangan internasional.</w:t>
      </w:r>
    </w:p>
    <w:bookmarkEnd w:id="26"/>
    <w:bookmarkStart w:id="27" w:name="package"/>
    <w:p>
      <w:pPr>
        <w:pStyle w:val="Heading3"/>
      </w:pPr>
      <w:r>
        <w:t xml:space="preserve">1.5 Package</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(zoo)</w:t>
      </w:r>
    </w:p>
    <w:p>
      <w:pPr>
        <w:pStyle w:val="SourceCode"/>
      </w:pPr>
      <w:r>
        <w:br/>
      </w:r>
      <w:r>
        <w:rPr>
          <w:rStyle w:val="VerbatimChar"/>
        </w:rPr>
        <w:t xml:space="preserve">Attaching package: 'zoo'</w:t>
      </w:r>
    </w:p>
    <w:p>
      <w:pPr>
        <w:pStyle w:val="SourceCode"/>
      </w:pPr>
      <w:r>
        <w:rPr>
          <w:rStyle w:val="VerbatimChar"/>
        </w:rPr>
        <w:t xml:space="preserve">The following objects are masked from 'package:base':</w:t>
      </w:r>
      <w:r>
        <w:br/>
      </w:r>
      <w:r>
        <w:br/>
      </w:r>
      <w:r>
        <w:rPr>
          <w:rStyle w:val="VerbatimChar"/>
        </w:rPr>
        <w:t xml:space="preserve">    as.Date, as.Date.numeric</w:t>
      </w:r>
    </w:p>
    <w:p>
      <w:pPr>
        <w:pStyle w:val="SourceCode"/>
      </w:pPr>
      <w:r>
        <w:rPr>
          <w:rStyle w:val="FunctionTok"/>
        </w:rPr>
        <w:t xml:space="preserve">library</w:t>
      </w:r>
      <w:r>
        <w:rPr>
          <w:rStyle w:val="NormalTok"/>
        </w:rPr>
        <w:t xml:space="preserve">(lmtest)</w:t>
      </w:r>
    </w:p>
    <w:bookmarkEnd w:id="27"/>
    <w:bookmarkEnd w:id="28"/>
    <w:bookmarkStart w:id="29" w:name="studi-pustaka"/>
    <w:p>
      <w:pPr>
        <w:pStyle w:val="Heading2"/>
      </w:pPr>
      <w:r>
        <w:t xml:space="preserve">2 Studi pustaka</w:t>
      </w:r>
    </w:p>
    <w:p>
      <w:pPr>
        <w:pStyle w:val="FirstParagraph"/>
      </w:pPr>
      <w:r>
        <w:t xml:space="preserve">Pada teori inflasi dijelaskan bahwa inflasi terjadi karena jumlah uang yang beredar tidak seimbang dengan barang yang tersedia (teori kuantitatif uang) dan masyarakat ingin berada di luar batas kemampuan ekonominya (teori keynes). (Rudy &amp; Indah , 2020)</w:t>
      </w:r>
    </w:p>
    <w:p>
      <w:pPr>
        <w:pStyle w:val="BodyText"/>
      </w:pPr>
      <w:r>
        <w:t xml:space="preserve">Suatu negara melakukan impor juga dikarenakan terdapat keunggulan mutlak pada negara lain yang dikemukakan oleh Adam Smith dalam Theory of Absolute Advantage (teori keunggulan mutlak). Teori ini menjelakan suata negara disebut memiliki keunggulan mutlak dibandingkan dengan negara lain apabila negara tersebut dapat memproduksi barang atau jasa yang tidak dapat diproduksi negara lain. (Nadila &amp; Nuri, 2022)</w:t>
      </w:r>
    </w:p>
    <w:p>
      <w:pPr>
        <w:pStyle w:val="BodyText"/>
      </w:pPr>
      <w:r>
        <w:t xml:space="preserve">Kegiatan impor dapat berdampak pada inflasi dalam negeri secara langsung melalui harga impor. Kenaikan harga impor akan mempengaruhi harga dalam negeri baik barang impor tersebut digunakan sebagai produk akhir maupun bahan baku untuk menghasilkan produk akhir. tetapi pada studi yang dilakukan oleh Naseem (2018), Ulke dan Ergun (2011) menyatakan bahwa impor dan inflasi memiliki pengaruh yang signifikan. impor barang dan jasa memiliki pengasuh penting dalam menentukan inflasi. (Dea &amp; Inayati, 2022)</w:t>
      </w:r>
    </w:p>
    <w:bookmarkEnd w:id="29"/>
    <w:bookmarkStart w:id="35" w:name="metode-penelitian"/>
    <w:p>
      <w:pPr>
        <w:pStyle w:val="Heading2"/>
      </w:pPr>
      <w:r>
        <w:t xml:space="preserve">3 Metode penelitian</w:t>
      </w:r>
    </w:p>
    <w:bookmarkStart w:id="33" w:name="data"/>
    <w:p>
      <w:pPr>
        <w:pStyle w:val="Heading3"/>
      </w:pPr>
      <w:r>
        <w:t xml:space="preserve">3.1 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No</w:t>
            </w:r>
          </w:p>
        </w:tc>
        <w:tc>
          <w:tcPr/>
          <w:p>
            <w:pPr>
              <w:pStyle w:val="Compact"/>
              <w:jc w:val="center"/>
            </w:pPr>
            <w:r>
              <w:t xml:space="preserve">Tahun</w:t>
            </w:r>
          </w:p>
        </w:tc>
        <w:tc>
          <w:tcPr/>
          <w:p>
            <w:pPr>
              <w:pStyle w:val="Compact"/>
              <w:jc w:val="center"/>
            </w:pPr>
            <w:r>
              <w:t xml:space="preserve">Nilai Impor Barang Konsumsi (USD)</w:t>
            </w:r>
          </w:p>
        </w:tc>
        <w:tc>
          <w:tcPr/>
          <w:p>
            <w:pPr>
              <w:pStyle w:val="Compact"/>
              <w:jc w:val="center"/>
            </w:pPr>
            <w:r>
              <w:t xml:space="preserve">Inflasi (%)</w:t>
            </w:r>
          </w:p>
        </w:tc>
      </w:tr>
      <w:tr>
        <w:tc>
          <w:tcPr/>
          <w:p>
            <w:pPr>
              <w:pStyle w:val="Compact"/>
              <w:jc w:val="center"/>
            </w:pPr>
            <w:r>
              <w:t xml:space="preserve">1</w:t>
            </w:r>
          </w:p>
        </w:tc>
        <w:tc>
          <w:tcPr/>
          <w:p>
            <w:pPr>
              <w:pStyle w:val="Compact"/>
              <w:jc w:val="center"/>
            </w:pPr>
            <w:r>
              <w:t xml:space="preserve">2003</w:t>
            </w:r>
          </w:p>
        </w:tc>
        <w:tc>
          <w:tcPr/>
          <w:p>
            <w:pPr>
              <w:pStyle w:val="Compact"/>
              <w:jc w:val="center"/>
            </w:pPr>
            <w:r>
              <w:t xml:space="preserve">$ 2.862.800.000</w:t>
            </w:r>
          </w:p>
        </w:tc>
        <w:tc>
          <w:tcPr/>
          <w:p>
            <w:pPr>
              <w:pStyle w:val="Compact"/>
              <w:jc w:val="center"/>
            </w:pPr>
            <w:r>
              <w:t xml:space="preserve">6,79%</w:t>
            </w:r>
          </w:p>
        </w:tc>
      </w:tr>
      <w:tr>
        <w:tc>
          <w:tcPr/>
          <w:p>
            <w:pPr>
              <w:pStyle w:val="Compact"/>
              <w:jc w:val="center"/>
            </w:pPr>
            <w:r>
              <w:t xml:space="preserve">2</w:t>
            </w:r>
          </w:p>
        </w:tc>
        <w:tc>
          <w:tcPr/>
          <w:p>
            <w:pPr>
              <w:pStyle w:val="Compact"/>
              <w:jc w:val="center"/>
            </w:pPr>
            <w:r>
              <w:t xml:space="preserve">2004</w:t>
            </w:r>
          </w:p>
        </w:tc>
        <w:tc>
          <w:tcPr/>
          <w:p>
            <w:pPr>
              <w:pStyle w:val="Compact"/>
              <w:jc w:val="center"/>
            </w:pPr>
            <w:r>
              <w:t xml:space="preserve">$ 3.786.500.000</w:t>
            </w:r>
          </w:p>
        </w:tc>
        <w:tc>
          <w:tcPr/>
          <w:p>
            <w:pPr>
              <w:pStyle w:val="Compact"/>
              <w:jc w:val="center"/>
            </w:pPr>
            <w:r>
              <w:t xml:space="preserve">6,06%</w:t>
            </w:r>
          </w:p>
        </w:tc>
      </w:tr>
      <w:tr>
        <w:tc>
          <w:tcPr/>
          <w:p>
            <w:pPr>
              <w:pStyle w:val="Compact"/>
              <w:jc w:val="center"/>
            </w:pPr>
            <w:r>
              <w:t xml:space="preserve">3</w:t>
            </w:r>
          </w:p>
        </w:tc>
        <w:tc>
          <w:tcPr/>
          <w:p>
            <w:pPr>
              <w:pStyle w:val="Compact"/>
              <w:jc w:val="center"/>
            </w:pPr>
            <w:r>
              <w:t xml:space="preserve">2005</w:t>
            </w:r>
          </w:p>
        </w:tc>
        <w:tc>
          <w:tcPr/>
          <w:p>
            <w:pPr>
              <w:pStyle w:val="Compact"/>
              <w:jc w:val="center"/>
            </w:pPr>
            <w:r>
              <w:t xml:space="preserve">$ 4.620.500.000</w:t>
            </w:r>
          </w:p>
        </w:tc>
        <w:tc>
          <w:tcPr/>
          <w:p>
            <w:pPr>
              <w:pStyle w:val="Compact"/>
              <w:jc w:val="center"/>
            </w:pPr>
            <w:r>
              <w:t xml:space="preserve">10,4%</w:t>
            </w:r>
          </w:p>
        </w:tc>
      </w:tr>
      <w:tr>
        <w:tc>
          <w:tcPr/>
          <w:p>
            <w:pPr>
              <w:pStyle w:val="Compact"/>
              <w:jc w:val="center"/>
            </w:pPr>
            <w:r>
              <w:t xml:space="preserve">4</w:t>
            </w:r>
          </w:p>
        </w:tc>
        <w:tc>
          <w:tcPr/>
          <w:p>
            <w:pPr>
              <w:pStyle w:val="Compact"/>
              <w:jc w:val="center"/>
            </w:pPr>
            <w:r>
              <w:t xml:space="preserve">2006</w:t>
            </w:r>
          </w:p>
        </w:tc>
        <w:tc>
          <w:tcPr/>
          <w:p>
            <w:pPr>
              <w:pStyle w:val="Compact"/>
              <w:jc w:val="center"/>
            </w:pPr>
            <w:r>
              <w:t xml:space="preserve">$ 4.738.200.000</w:t>
            </w:r>
          </w:p>
        </w:tc>
        <w:tc>
          <w:tcPr/>
          <w:p>
            <w:pPr>
              <w:pStyle w:val="Compact"/>
              <w:jc w:val="center"/>
            </w:pPr>
            <w:r>
              <w:t xml:space="preserve">13,33%</w:t>
            </w:r>
          </w:p>
        </w:tc>
      </w:tr>
      <w:tr>
        <w:tc>
          <w:tcPr/>
          <w:p>
            <w:pPr>
              <w:pStyle w:val="Compact"/>
              <w:jc w:val="center"/>
            </w:pPr>
            <w:r>
              <w:t xml:space="preserve">5</w:t>
            </w:r>
          </w:p>
        </w:tc>
        <w:tc>
          <w:tcPr/>
          <w:p>
            <w:pPr>
              <w:pStyle w:val="Compact"/>
              <w:jc w:val="center"/>
            </w:pPr>
            <w:r>
              <w:t xml:space="preserve">2007</w:t>
            </w:r>
          </w:p>
        </w:tc>
        <w:tc>
          <w:tcPr/>
          <w:p>
            <w:pPr>
              <w:pStyle w:val="Compact"/>
              <w:jc w:val="center"/>
            </w:pPr>
            <w:r>
              <w:t xml:space="preserve">$ 6.539.100.000</w:t>
            </w:r>
          </w:p>
        </w:tc>
        <w:tc>
          <w:tcPr/>
          <w:p>
            <w:pPr>
              <w:pStyle w:val="Compact"/>
              <w:jc w:val="center"/>
            </w:pPr>
            <w:r>
              <w:t xml:space="preserve">6,4%</w:t>
            </w:r>
          </w:p>
        </w:tc>
      </w:tr>
      <w:tr>
        <w:tc>
          <w:tcPr/>
          <w:p>
            <w:pPr>
              <w:pStyle w:val="Compact"/>
              <w:jc w:val="center"/>
            </w:pPr>
            <w:r>
              <w:t xml:space="preserve">6</w:t>
            </w:r>
          </w:p>
        </w:tc>
        <w:tc>
          <w:tcPr/>
          <w:p>
            <w:pPr>
              <w:pStyle w:val="Compact"/>
              <w:jc w:val="center"/>
            </w:pPr>
            <w:r>
              <w:t xml:space="preserve">2008</w:t>
            </w:r>
          </w:p>
        </w:tc>
        <w:tc>
          <w:tcPr/>
          <w:p>
            <w:pPr>
              <w:pStyle w:val="Compact"/>
              <w:jc w:val="center"/>
            </w:pPr>
            <w:r>
              <w:t xml:space="preserve">$ 8.303.700.000</w:t>
            </w:r>
          </w:p>
        </w:tc>
        <w:tc>
          <w:tcPr/>
          <w:p>
            <w:pPr>
              <w:pStyle w:val="Compact"/>
              <w:jc w:val="center"/>
            </w:pPr>
            <w:r>
              <w:t xml:space="preserve">10,31%</w:t>
            </w:r>
          </w:p>
        </w:tc>
      </w:tr>
      <w:tr>
        <w:tc>
          <w:tcPr/>
          <w:p>
            <w:pPr>
              <w:pStyle w:val="Compact"/>
              <w:jc w:val="center"/>
            </w:pPr>
            <w:r>
              <w:t xml:space="preserve">7</w:t>
            </w:r>
          </w:p>
        </w:tc>
        <w:tc>
          <w:tcPr/>
          <w:p>
            <w:pPr>
              <w:pStyle w:val="Compact"/>
              <w:jc w:val="center"/>
            </w:pPr>
            <w:r>
              <w:t xml:space="preserve">2009</w:t>
            </w:r>
          </w:p>
        </w:tc>
        <w:tc>
          <w:tcPr/>
          <w:p>
            <w:pPr>
              <w:pStyle w:val="Compact"/>
              <w:jc w:val="center"/>
            </w:pPr>
            <w:r>
              <w:t xml:space="preserve">$ 6.752.600.000</w:t>
            </w:r>
          </w:p>
        </w:tc>
        <w:tc>
          <w:tcPr/>
          <w:p>
            <w:pPr>
              <w:pStyle w:val="Compact"/>
              <w:jc w:val="center"/>
            </w:pPr>
            <w:r>
              <w:t xml:space="preserve">4,9%</w:t>
            </w:r>
          </w:p>
        </w:tc>
      </w:tr>
      <w:tr>
        <w:tc>
          <w:tcPr/>
          <w:p>
            <w:pPr>
              <w:pStyle w:val="Compact"/>
              <w:jc w:val="center"/>
            </w:pPr>
            <w:r>
              <w:t xml:space="preserve">8</w:t>
            </w:r>
          </w:p>
        </w:tc>
        <w:tc>
          <w:tcPr/>
          <w:p>
            <w:pPr>
              <w:pStyle w:val="Compact"/>
              <w:jc w:val="center"/>
            </w:pPr>
            <w:r>
              <w:t xml:space="preserve">2010</w:t>
            </w:r>
          </w:p>
        </w:tc>
        <w:tc>
          <w:tcPr/>
          <w:p>
            <w:pPr>
              <w:pStyle w:val="Compact"/>
              <w:jc w:val="center"/>
            </w:pPr>
            <w:r>
              <w:t xml:space="preserve">$ 9.991.600.000</w:t>
            </w:r>
          </w:p>
        </w:tc>
        <w:tc>
          <w:tcPr/>
          <w:p>
            <w:pPr>
              <w:pStyle w:val="Compact"/>
              <w:jc w:val="center"/>
            </w:pPr>
            <w:r>
              <w:t xml:space="preserve">5,13%</w:t>
            </w:r>
          </w:p>
        </w:tc>
      </w:tr>
      <w:tr>
        <w:tc>
          <w:tcPr/>
          <w:p>
            <w:pPr>
              <w:pStyle w:val="Compact"/>
              <w:jc w:val="center"/>
            </w:pPr>
            <w:r>
              <w:t xml:space="preserve">9</w:t>
            </w:r>
          </w:p>
        </w:tc>
        <w:tc>
          <w:tcPr/>
          <w:p>
            <w:pPr>
              <w:pStyle w:val="Compact"/>
              <w:jc w:val="center"/>
            </w:pPr>
            <w:r>
              <w:t xml:space="preserve">2011</w:t>
            </w:r>
          </w:p>
        </w:tc>
        <w:tc>
          <w:tcPr/>
          <w:p>
            <w:pPr>
              <w:pStyle w:val="Compact"/>
              <w:jc w:val="center"/>
            </w:pPr>
            <w:r>
              <w:t xml:space="preserve">$ 13.392.900.000</w:t>
            </w:r>
          </w:p>
        </w:tc>
        <w:tc>
          <w:tcPr/>
          <w:p>
            <w:pPr>
              <w:pStyle w:val="Compact"/>
              <w:jc w:val="center"/>
            </w:pPr>
            <w:r>
              <w:t xml:space="preserve">5,38%</w:t>
            </w:r>
          </w:p>
        </w:tc>
      </w:tr>
      <w:tr>
        <w:tc>
          <w:tcPr/>
          <w:p>
            <w:pPr>
              <w:pStyle w:val="Compact"/>
              <w:jc w:val="center"/>
            </w:pPr>
            <w:r>
              <w:t xml:space="preserve">10</w:t>
            </w:r>
          </w:p>
        </w:tc>
        <w:tc>
          <w:tcPr/>
          <w:p>
            <w:pPr>
              <w:pStyle w:val="Compact"/>
              <w:jc w:val="center"/>
            </w:pPr>
            <w:r>
              <w:t xml:space="preserve">2012</w:t>
            </w:r>
          </w:p>
        </w:tc>
        <w:tc>
          <w:tcPr/>
          <w:p>
            <w:pPr>
              <w:pStyle w:val="Compact"/>
              <w:jc w:val="center"/>
            </w:pPr>
            <w:r>
              <w:t xml:space="preserve">$ 13.408.600.000</w:t>
            </w:r>
          </w:p>
        </w:tc>
        <w:tc>
          <w:tcPr/>
          <w:p>
            <w:pPr>
              <w:pStyle w:val="Compact"/>
              <w:jc w:val="center"/>
            </w:pPr>
            <w:r>
              <w:t xml:space="preserve">4,28%</w:t>
            </w:r>
          </w:p>
        </w:tc>
      </w:tr>
      <w:tr>
        <w:tc>
          <w:tcPr/>
          <w:p>
            <w:pPr>
              <w:pStyle w:val="Compact"/>
              <w:jc w:val="center"/>
            </w:pPr>
            <w:r>
              <w:t xml:space="preserve">11</w:t>
            </w:r>
          </w:p>
        </w:tc>
        <w:tc>
          <w:tcPr/>
          <w:p>
            <w:pPr>
              <w:pStyle w:val="Compact"/>
              <w:jc w:val="center"/>
            </w:pPr>
            <w:r>
              <w:t xml:space="preserve">2013</w:t>
            </w:r>
          </w:p>
        </w:tc>
        <w:tc>
          <w:tcPr/>
          <w:p>
            <w:pPr>
              <w:pStyle w:val="Compact"/>
              <w:jc w:val="center"/>
            </w:pPr>
            <w:r>
              <w:t xml:space="preserve">$ 13.138.900.000</w:t>
            </w:r>
          </w:p>
        </w:tc>
        <w:tc>
          <w:tcPr/>
          <w:p>
            <w:pPr>
              <w:pStyle w:val="Compact"/>
              <w:jc w:val="center"/>
            </w:pPr>
            <w:r>
              <w:t xml:space="preserve">6,97%</w:t>
            </w:r>
          </w:p>
        </w:tc>
      </w:tr>
      <w:tr>
        <w:tc>
          <w:tcPr/>
          <w:p>
            <w:pPr>
              <w:pStyle w:val="Compact"/>
              <w:jc w:val="center"/>
            </w:pPr>
            <w:r>
              <w:t xml:space="preserve">12</w:t>
            </w:r>
          </w:p>
        </w:tc>
        <w:tc>
          <w:tcPr/>
          <w:p>
            <w:pPr>
              <w:pStyle w:val="Compact"/>
              <w:jc w:val="center"/>
            </w:pPr>
            <w:r>
              <w:t xml:space="preserve">2014</w:t>
            </w:r>
          </w:p>
        </w:tc>
        <w:tc>
          <w:tcPr/>
          <w:p>
            <w:pPr>
              <w:pStyle w:val="Compact"/>
              <w:jc w:val="center"/>
            </w:pPr>
            <w:r>
              <w:t xml:space="preserve">$ 12.667.200.000</w:t>
            </w:r>
          </w:p>
        </w:tc>
        <w:tc>
          <w:tcPr/>
          <w:p>
            <w:pPr>
              <w:pStyle w:val="Compact"/>
              <w:jc w:val="center"/>
            </w:pPr>
            <w:r>
              <w:t xml:space="preserve">6,42%</w:t>
            </w:r>
          </w:p>
        </w:tc>
      </w:tr>
      <w:tr>
        <w:tc>
          <w:tcPr/>
          <w:p>
            <w:pPr>
              <w:pStyle w:val="Compact"/>
              <w:jc w:val="center"/>
            </w:pPr>
            <w:r>
              <w:t xml:space="preserve">13</w:t>
            </w:r>
          </w:p>
        </w:tc>
        <w:tc>
          <w:tcPr/>
          <w:p>
            <w:pPr>
              <w:pStyle w:val="Compact"/>
              <w:jc w:val="center"/>
            </w:pPr>
            <w:r>
              <w:t xml:space="preserve">2015</w:t>
            </w:r>
          </w:p>
        </w:tc>
        <w:tc>
          <w:tcPr/>
          <w:p>
            <w:pPr>
              <w:pStyle w:val="Compact"/>
              <w:jc w:val="center"/>
            </w:pPr>
            <w:r>
              <w:t xml:space="preserve">$ 10.876.500.000</w:t>
            </w:r>
          </w:p>
        </w:tc>
        <w:tc>
          <w:tcPr/>
          <w:p>
            <w:pPr>
              <w:pStyle w:val="Compact"/>
              <w:jc w:val="center"/>
            </w:pPr>
            <w:r>
              <w:t xml:space="preserve">6,38%</w:t>
            </w:r>
          </w:p>
        </w:tc>
      </w:tr>
      <w:tr>
        <w:tc>
          <w:tcPr/>
          <w:p>
            <w:pPr>
              <w:pStyle w:val="Compact"/>
              <w:jc w:val="center"/>
            </w:pPr>
            <w:r>
              <w:t xml:space="preserve">14</w:t>
            </w:r>
          </w:p>
        </w:tc>
        <w:tc>
          <w:tcPr/>
          <w:p>
            <w:pPr>
              <w:pStyle w:val="Compact"/>
              <w:jc w:val="center"/>
            </w:pPr>
            <w:r>
              <w:t xml:space="preserve">2016</w:t>
            </w:r>
          </w:p>
        </w:tc>
        <w:tc>
          <w:tcPr/>
          <w:p>
            <w:pPr>
              <w:pStyle w:val="Compact"/>
              <w:jc w:val="center"/>
            </w:pPr>
            <w:r>
              <w:t xml:space="preserve">$ 12.351.700.000</w:t>
            </w:r>
          </w:p>
        </w:tc>
        <w:tc>
          <w:tcPr/>
          <w:p>
            <w:pPr>
              <w:pStyle w:val="Compact"/>
              <w:jc w:val="center"/>
            </w:pPr>
            <w:r>
              <w:t xml:space="preserve">3,53%</w:t>
            </w:r>
          </w:p>
        </w:tc>
      </w:tr>
      <w:tr>
        <w:tc>
          <w:tcPr/>
          <w:p>
            <w:pPr>
              <w:pStyle w:val="Compact"/>
              <w:jc w:val="center"/>
            </w:pPr>
            <w:r>
              <w:t xml:space="preserve">15</w:t>
            </w:r>
          </w:p>
        </w:tc>
        <w:tc>
          <w:tcPr/>
          <w:p>
            <w:pPr>
              <w:pStyle w:val="Compact"/>
              <w:jc w:val="center"/>
            </w:pPr>
            <w:r>
              <w:t xml:space="preserve">2017</w:t>
            </w:r>
          </w:p>
        </w:tc>
        <w:tc>
          <w:tcPr/>
          <w:p>
            <w:pPr>
              <w:pStyle w:val="Compact"/>
              <w:jc w:val="center"/>
            </w:pPr>
            <w:r>
              <w:t xml:space="preserve">$ 14.075.100.000</w:t>
            </w:r>
          </w:p>
        </w:tc>
        <w:tc>
          <w:tcPr/>
          <w:p>
            <w:pPr>
              <w:pStyle w:val="Compact"/>
              <w:jc w:val="center"/>
            </w:pPr>
            <w:r>
              <w:t xml:space="preserve">3,81%</w:t>
            </w:r>
          </w:p>
        </w:tc>
      </w:tr>
      <w:tr>
        <w:tc>
          <w:tcPr/>
          <w:p>
            <w:pPr>
              <w:pStyle w:val="Compact"/>
              <w:jc w:val="center"/>
            </w:pPr>
            <w:r>
              <w:t xml:space="preserve">16</w:t>
            </w:r>
          </w:p>
        </w:tc>
        <w:tc>
          <w:tcPr/>
          <w:p>
            <w:pPr>
              <w:pStyle w:val="Compact"/>
              <w:jc w:val="center"/>
            </w:pPr>
            <w:r>
              <w:t xml:space="preserve">2018</w:t>
            </w:r>
          </w:p>
        </w:tc>
        <w:tc>
          <w:tcPr/>
          <w:p>
            <w:pPr>
              <w:pStyle w:val="Compact"/>
              <w:jc w:val="center"/>
            </w:pPr>
            <w:r>
              <w:t xml:space="preserve">$ 17.181.300.000</w:t>
            </w:r>
          </w:p>
        </w:tc>
        <w:tc>
          <w:tcPr/>
          <w:p>
            <w:pPr>
              <w:pStyle w:val="Compact"/>
              <w:jc w:val="center"/>
            </w:pPr>
            <w:r>
              <w:t xml:space="preserve">3,2%</w:t>
            </w:r>
          </w:p>
        </w:tc>
      </w:tr>
      <w:tr>
        <w:tc>
          <w:tcPr/>
          <w:p>
            <w:pPr>
              <w:pStyle w:val="Compact"/>
              <w:jc w:val="center"/>
            </w:pPr>
            <w:r>
              <w:t xml:space="preserve">17</w:t>
            </w:r>
          </w:p>
        </w:tc>
        <w:tc>
          <w:tcPr/>
          <w:p>
            <w:pPr>
              <w:pStyle w:val="Compact"/>
              <w:jc w:val="center"/>
            </w:pPr>
            <w:r>
              <w:t xml:space="preserve">2019</w:t>
            </w:r>
          </w:p>
        </w:tc>
        <w:tc>
          <w:tcPr/>
          <w:p>
            <w:pPr>
              <w:pStyle w:val="Compact"/>
              <w:jc w:val="center"/>
            </w:pPr>
            <w:r>
              <w:t xml:space="preserve">$ 16.454.600.000</w:t>
            </w:r>
          </w:p>
        </w:tc>
        <w:tc>
          <w:tcPr/>
          <w:p>
            <w:pPr>
              <w:pStyle w:val="Compact"/>
              <w:jc w:val="center"/>
            </w:pPr>
            <w:r>
              <w:t xml:space="preserve">3,03%</w:t>
            </w:r>
          </w:p>
        </w:tc>
      </w:tr>
      <w:tr>
        <w:tc>
          <w:tcPr/>
          <w:p>
            <w:pPr>
              <w:pStyle w:val="Compact"/>
              <w:jc w:val="center"/>
            </w:pPr>
            <w:r>
              <w:t xml:space="preserve">18</w:t>
            </w:r>
          </w:p>
        </w:tc>
        <w:tc>
          <w:tcPr/>
          <w:p>
            <w:pPr>
              <w:pStyle w:val="Compact"/>
              <w:jc w:val="center"/>
            </w:pPr>
            <w:r>
              <w:t xml:space="preserve">2020</w:t>
            </w:r>
          </w:p>
        </w:tc>
        <w:tc>
          <w:tcPr/>
          <w:p>
            <w:pPr>
              <w:pStyle w:val="Compact"/>
              <w:jc w:val="center"/>
            </w:pPr>
            <w:r>
              <w:t xml:space="preserve">$ 14.655.700.000</w:t>
            </w:r>
          </w:p>
        </w:tc>
        <w:tc>
          <w:tcPr/>
          <w:p>
            <w:pPr>
              <w:pStyle w:val="Compact"/>
              <w:jc w:val="center"/>
            </w:pPr>
            <w:r>
              <w:t xml:space="preserve">2,04%</w:t>
            </w:r>
          </w:p>
        </w:tc>
      </w:tr>
      <w:tr>
        <w:tc>
          <w:tcPr/>
          <w:p>
            <w:pPr>
              <w:pStyle w:val="Compact"/>
              <w:jc w:val="center"/>
            </w:pPr>
            <w:r>
              <w:t xml:space="preserve">19</w:t>
            </w:r>
          </w:p>
        </w:tc>
        <w:tc>
          <w:tcPr/>
          <w:p>
            <w:pPr>
              <w:pStyle w:val="Compact"/>
              <w:jc w:val="center"/>
            </w:pPr>
            <w:r>
              <w:t xml:space="preserve">2021</w:t>
            </w:r>
          </w:p>
        </w:tc>
        <w:tc>
          <w:tcPr/>
          <w:p>
            <w:pPr>
              <w:pStyle w:val="Compact"/>
              <w:jc w:val="center"/>
            </w:pPr>
            <w:r>
              <w:t xml:space="preserve">$ 20.182.800.000</w:t>
            </w:r>
          </w:p>
        </w:tc>
        <w:tc>
          <w:tcPr/>
          <w:p>
            <w:pPr>
              <w:pStyle w:val="Compact"/>
              <w:jc w:val="center"/>
            </w:pPr>
            <w:r>
              <w:t xml:space="preserve">1,56%</w:t>
            </w:r>
          </w:p>
        </w:tc>
      </w:tr>
      <w:tr>
        <w:tc>
          <w:tcPr/>
          <w:p>
            <w:pPr>
              <w:pStyle w:val="Compact"/>
              <w:jc w:val="center"/>
            </w:pPr>
            <w:r>
              <w:t xml:space="preserve">20</w:t>
            </w:r>
          </w:p>
        </w:tc>
        <w:tc>
          <w:tcPr/>
          <w:p>
            <w:pPr>
              <w:pStyle w:val="Compact"/>
              <w:jc w:val="center"/>
            </w:pPr>
            <w:r>
              <w:t xml:space="preserve">2022</w:t>
            </w:r>
          </w:p>
        </w:tc>
        <w:tc>
          <w:tcPr/>
          <w:p>
            <w:pPr>
              <w:pStyle w:val="Compact"/>
              <w:jc w:val="center"/>
            </w:pPr>
            <w:r>
              <w:t xml:space="preserve">$ 19.832.400.000</w:t>
            </w:r>
          </w:p>
        </w:tc>
        <w:tc>
          <w:tcPr/>
          <w:p>
            <w:pPr>
              <w:pStyle w:val="Compact"/>
              <w:jc w:val="center"/>
            </w:pPr>
            <w:r>
              <w:t xml:space="preserve">4,21%</w:t>
            </w:r>
          </w:p>
        </w:tc>
      </w:tr>
      <w:tr>
        <w:tc>
          <w:tcPr/>
          <w:p>
            <w:pPr>
              <w:pStyle w:val="Compact"/>
              <w:jc w:val="center"/>
            </w:pPr>
            <w:r>
              <w:t xml:space="preserve">21</w:t>
            </w:r>
          </w:p>
        </w:tc>
        <w:tc>
          <w:tcPr/>
          <w:p>
            <w:pPr>
              <w:pStyle w:val="Compact"/>
              <w:jc w:val="center"/>
            </w:pPr>
            <w:r>
              <w:t xml:space="preserve">2023</w:t>
            </w:r>
          </w:p>
        </w:tc>
        <w:tc>
          <w:tcPr/>
          <w:p>
            <w:pPr>
              <w:pStyle w:val="Compact"/>
              <w:jc w:val="center"/>
            </w:pPr>
            <w:r>
              <w:t xml:space="preserve">$ 21.546.900.000</w:t>
            </w:r>
          </w:p>
        </w:tc>
        <w:tc>
          <w:tcPr/>
          <w:p>
            <w:pPr>
              <w:pStyle w:val="Compact"/>
              <w:jc w:val="center"/>
            </w:pPr>
            <w:r>
              <w:t xml:space="preserve">3,69%</w:t>
            </w:r>
          </w:p>
        </w:tc>
      </w:tr>
    </w:tbl>
    <w:p>
      <w:pPr>
        <w:pStyle w:val="BodyText"/>
      </w:pPr>
      <w:r>
        <w:t xml:space="preserve">Penelitian ini menggunakan data dengan bentuk</w:t>
      </w:r>
      <w:r>
        <w:t xml:space="preserve"> </w:t>
      </w:r>
      <w:r>
        <w:rPr>
          <w:i/>
          <w:iCs/>
        </w:rPr>
        <w:t xml:space="preserve">Time Series</w:t>
      </w:r>
      <w:r>
        <w:t xml:space="preserve"> </w:t>
      </w:r>
      <w:r>
        <w:t xml:space="preserve">tahun 2003-2023. Data nilai impor barang konsumsi (X) di dapatkan dari Badan Pusat Statistik (BPS) dalam satuan dolar AS (USD) dan data tingkat inflasi tahunan (Y) diperoleh dari Bank Indonesia dalam bentuk presentase (%).</w:t>
      </w:r>
    </w:p>
    <w:p>
      <w:pPr>
        <w:pStyle w:val="SourceCode"/>
      </w:pPr>
      <w:r>
        <w:rPr>
          <w:rStyle w:val="FunctionTok"/>
        </w:rPr>
        <w:t xml:space="preserve">library</w:t>
      </w:r>
      <w:r>
        <w:rPr>
          <w:rStyle w:val="NormalTok"/>
        </w:rPr>
        <w:t xml:space="preserve">(readxl)</w:t>
      </w:r>
      <w:r>
        <w:br/>
      </w:r>
      <w:r>
        <w:rPr>
          <w:rStyle w:val="NormalTok"/>
        </w:rPr>
        <w:t xml:space="preserve">data</w:t>
      </w:r>
      <w:r>
        <w:rPr>
          <w:rStyle w:val="OtherTok"/>
        </w:rPr>
        <w:t xml:space="preserve">&lt;-</w:t>
      </w:r>
      <w:r>
        <w:rPr>
          <w:rStyle w:val="FunctionTok"/>
        </w:rPr>
        <w:t xml:space="preserve">read_excel</w:t>
      </w:r>
      <w:r>
        <w:rPr>
          <w:rStyle w:val="NormalTok"/>
        </w:rPr>
        <w:t xml:space="preserve">(</w:t>
      </w:r>
      <w:r>
        <w:rPr>
          <w:rStyle w:val="StringTok"/>
        </w:rPr>
        <w:t xml:space="preserve">'data.xlsx'</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A tibble: 6 × 3</w:t>
      </w:r>
      <w:r>
        <w:br/>
      </w:r>
      <w:r>
        <w:rPr>
          <w:rStyle w:val="VerbatimChar"/>
        </w:rPr>
        <w:t xml:space="preserve">  Tahun          x      y</w:t>
      </w:r>
      <w:r>
        <w:br/>
      </w:r>
      <w:r>
        <w:rPr>
          <w:rStyle w:val="VerbatimChar"/>
        </w:rPr>
        <w:t xml:space="preserve">  &lt;dbl&gt;      &lt;dbl&gt;  &lt;dbl&gt;</w:t>
      </w:r>
      <w:r>
        <w:br/>
      </w:r>
      <w:r>
        <w:rPr>
          <w:rStyle w:val="VerbatimChar"/>
        </w:rPr>
        <w:t xml:space="preserve">1  2003 2862800000 0.0679</w:t>
      </w:r>
      <w:r>
        <w:br/>
      </w:r>
      <w:r>
        <w:rPr>
          <w:rStyle w:val="VerbatimChar"/>
        </w:rPr>
        <w:t xml:space="preserve">2  2004 3786500000 0.0606</w:t>
      </w:r>
      <w:r>
        <w:br/>
      </w:r>
      <w:r>
        <w:rPr>
          <w:rStyle w:val="VerbatimChar"/>
        </w:rPr>
        <w:t xml:space="preserve">3  2005 4620500000 0.104 </w:t>
      </w:r>
      <w:r>
        <w:br/>
      </w:r>
      <w:r>
        <w:rPr>
          <w:rStyle w:val="VerbatimChar"/>
        </w:rPr>
        <w:t xml:space="preserve">4  2006 4738200000 0.133 </w:t>
      </w:r>
      <w:r>
        <w:br/>
      </w:r>
      <w:r>
        <w:rPr>
          <w:rStyle w:val="VerbatimChar"/>
        </w:rPr>
        <w:t xml:space="preserve">5  2007 6539100000 0.064 </w:t>
      </w:r>
      <w:r>
        <w:br/>
      </w:r>
      <w:r>
        <w:rPr>
          <w:rStyle w:val="VerbatimChar"/>
        </w:rPr>
        <w:t xml:space="preserve">6  2008 8303700000 0.103 </w:t>
      </w:r>
    </w:p>
    <w:p>
      <w:pPr>
        <w:pStyle w:val="SourceCode"/>
      </w:pPr>
      <w:r>
        <w:rPr>
          <w:rStyle w:val="FunctionTok"/>
        </w:rPr>
        <w:t xml:space="preserve">plot</w:t>
      </w:r>
      <w:r>
        <w:rPr>
          <w:rStyle w:val="NormalTok"/>
        </w:rPr>
        <w:t xml:space="preserve">(data</w:t>
      </w:r>
      <w:r>
        <w:rPr>
          <w:rStyle w:val="SpecialCharTok"/>
        </w:rPr>
        <w:t xml:space="preserve">$</w:t>
      </w:r>
      <w:r>
        <w:rPr>
          <w:rStyle w:val="NormalTok"/>
        </w:rPr>
        <w:t xml:space="preserve">x, data</w:t>
      </w:r>
      <w:r>
        <w:rPr>
          <w:rStyle w:val="SpecialCharTok"/>
        </w:rPr>
        <w:t xml:space="preserve">$</w:t>
      </w:r>
      <w:r>
        <w:rPr>
          <w:rStyle w:val="NormalTok"/>
        </w:rPr>
        <w:t xml:space="preserve">y, </w:t>
      </w:r>
      <w:r>
        <w:rPr>
          <w:rStyle w:val="AttributeTok"/>
        </w:rPr>
        <w:t xml:space="preserve">main=</w:t>
      </w:r>
      <w:r>
        <w:rPr>
          <w:rStyle w:val="StringTok"/>
        </w:rPr>
        <w:t xml:space="preserve">"Hubungan Impor dan Inflasi"</w:t>
      </w:r>
      <w:r>
        <w:rPr>
          <w:rStyle w:val="NormalTok"/>
        </w:rPr>
        <w:t xml:space="preserve">, </w:t>
      </w:r>
      <w:r>
        <w:rPr>
          <w:rStyle w:val="AttributeTok"/>
        </w:rPr>
        <w:t xml:space="preserve">xlab=</w:t>
      </w:r>
      <w:r>
        <w:rPr>
          <w:rStyle w:val="StringTok"/>
        </w:rPr>
        <w:t xml:space="preserve">"Impor (USD)"</w:t>
      </w:r>
      <w:r>
        <w:rPr>
          <w:rStyle w:val="NormalTok"/>
        </w:rPr>
        <w:t xml:space="preserve">, </w:t>
      </w:r>
      <w:r>
        <w:rPr>
          <w:rStyle w:val="AttributeTok"/>
        </w:rPr>
        <w:t xml:space="preserve">ylab=</w:t>
      </w:r>
      <w:r>
        <w:rPr>
          <w:rStyle w:val="StringTok"/>
        </w:rPr>
        <w:t xml:space="preserve">"Inflasi (%)"</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Metode yang saya pilih pada penelitian ini adalah analisis linier sederhana. Metode ini digunakan pada penelitian ini bermaksud untuk melihat hubungan antara satu variabel independen (impor barang konsumsi) dengan satu variabel dependen (inflasi).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ϵ</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tingkat inflasi dan</w:t>
      </w:r>
      <w:r>
        <w:t xml:space="preserve"> </w:t>
      </w:r>
      <m:oMath>
        <m:sSub>
          <m:e>
            <m:r>
              <m:t>x</m:t>
            </m:r>
          </m:e>
          <m:sub>
            <m:r>
              <m:t>t</m:t>
            </m:r>
          </m:sub>
        </m:sSub>
      </m:oMath>
      <w:r>
        <w:t xml:space="preserve"> </w:t>
      </w:r>
      <w:r>
        <w:t xml:space="preserve">adalah nilai impor barang konsumsi.</w:t>
      </w:r>
    </w:p>
    <w:bookmarkEnd w:id="34"/>
    <w:bookmarkEnd w:id="35"/>
    <w:bookmarkStart w:id="41" w:name="pembahasan"/>
    <w:p>
      <w:pPr>
        <w:pStyle w:val="Heading2"/>
      </w:pPr>
      <w:r>
        <w:t xml:space="preserve">4 Pembahasan</w:t>
      </w:r>
    </w:p>
    <w:bookmarkStart w:id="39" w:name="pembahasan-masalah"/>
    <w:p>
      <w:pPr>
        <w:pStyle w:val="Heading3"/>
      </w:pPr>
      <w:r>
        <w:t xml:space="preserve">4.1 Pembahasan masalah</w:t>
      </w:r>
    </w:p>
    <w:tbl>
      <w:tblPr>
        <w:tblStyle w:val="Table"/>
        <w:tblW w:type="pct" w:w="5000"/>
        <w:tblLayout w:type="fixed"/>
        <w:tblLook w:firstRow="1" w:lastRow="0" w:firstColumn="0" w:lastColumn="0" w:noHBand="0" w:noVBand="0" w:val="0020"/>
      </w:tblPr>
      <w:tblGrid>
        <w:gridCol w:w="1244"/>
        <w:gridCol w:w="2489"/>
        <w:gridCol w:w="1357"/>
        <w:gridCol w:w="1018"/>
        <w:gridCol w:w="1810"/>
      </w:tblGrid>
      <w:tr>
        <w:trPr>
          <w:tblHeader w:val="on"/>
        </w:trPr>
        <w:tc>
          <w:tcPr/>
          <w:p>
            <w:pPr>
              <w:pStyle w:val="Compact"/>
            </w:pPr>
            <w:r>
              <w:t xml:space="preserve">Variabel</w:t>
            </w:r>
          </w:p>
        </w:tc>
        <w:tc>
          <w:tcPr/>
          <w:p>
            <w:pPr>
              <w:pStyle w:val="Compact"/>
            </w:pPr>
            <w:r>
              <w:t xml:space="preserve">Koefisien (Estimate)</w:t>
            </w:r>
          </w:p>
        </w:tc>
        <w:tc>
          <w:tcPr/>
          <w:p>
            <w:pPr>
              <w:pStyle w:val="Compact"/>
            </w:pPr>
            <w:r>
              <w:t xml:space="preserve">Std. Error</w:t>
            </w:r>
          </w:p>
        </w:tc>
        <w:tc>
          <w:tcPr/>
          <w:p>
            <w:pPr>
              <w:pStyle w:val="Compact"/>
            </w:pPr>
            <w:r>
              <w:t xml:space="preserve">t-value</w:t>
            </w:r>
          </w:p>
        </w:tc>
        <w:tc>
          <w:tcPr/>
          <w:p>
            <w:pPr>
              <w:pStyle w:val="Compact"/>
            </w:pPr>
            <w:r>
              <w:t xml:space="preserve">Prob (p-value)</w:t>
            </w:r>
          </w:p>
        </w:tc>
      </w:tr>
      <w:tr>
        <w:tc>
          <w:tcPr/>
          <w:p>
            <w:pPr>
              <w:pStyle w:val="Compact"/>
            </w:pPr>
            <w:r>
              <w:t xml:space="preserve">Intercept</w:t>
            </w:r>
          </w:p>
        </w:tc>
        <w:tc>
          <w:tcPr/>
          <w:p>
            <w:pPr>
              <w:pStyle w:val="Compact"/>
            </w:pPr>
            <w:r>
              <w:t xml:space="preserve">0.09893</w:t>
            </w:r>
          </w:p>
        </w:tc>
        <w:tc>
          <w:tcPr/>
          <w:p>
            <w:pPr>
              <w:pStyle w:val="Compact"/>
            </w:pPr>
            <w:r>
              <w:t xml:space="preserve">0.01110</w:t>
            </w:r>
          </w:p>
        </w:tc>
        <w:tc>
          <w:tcPr/>
          <w:p>
            <w:pPr>
              <w:pStyle w:val="Compact"/>
            </w:pPr>
            <w:r>
              <w:t xml:space="preserve">8.916</w:t>
            </w:r>
          </w:p>
        </w:tc>
        <w:tc>
          <w:tcPr/>
          <w:p>
            <w:pPr>
              <w:pStyle w:val="Compact"/>
            </w:pPr>
            <w:r>
              <w:t xml:space="preserve">3.23e-08</w:t>
            </w:r>
          </w:p>
        </w:tc>
      </w:tr>
      <w:tr>
        <w:tc>
          <w:tcPr/>
          <w:p>
            <w:pPr>
              <w:pStyle w:val="Compact"/>
            </w:pPr>
            <w:r>
              <w:t xml:space="preserve">x (Impor)</w:t>
            </w:r>
          </w:p>
        </w:tc>
        <w:tc>
          <w:tcPr/>
          <w:p>
            <w:pPr>
              <w:pStyle w:val="Compact"/>
            </w:pPr>
            <w:r>
              <w:t xml:space="preserve">-3.636e-12</w:t>
            </w:r>
          </w:p>
        </w:tc>
        <w:tc>
          <w:tcPr/>
          <w:p>
            <w:pPr>
              <w:pStyle w:val="Compact"/>
            </w:pPr>
            <w:r>
              <w:t xml:space="preserve">8.558e-13</w:t>
            </w:r>
          </w:p>
        </w:tc>
        <w:tc>
          <w:tcPr/>
          <w:p>
            <w:pPr>
              <w:pStyle w:val="Compact"/>
            </w:pPr>
            <w:r>
              <w:t xml:space="preserve">-4.248</w:t>
            </w:r>
          </w:p>
        </w:tc>
        <w:tc>
          <w:tcPr/>
          <w:p>
            <w:pPr>
              <w:pStyle w:val="Compact"/>
            </w:pPr>
            <w:r>
              <w:t xml:space="preserve">0.000435</w:t>
            </w:r>
          </w:p>
        </w:tc>
      </w:tr>
    </w:tbl>
    <w:p>
      <w:pPr>
        <w:pStyle w:val="BodyText"/>
      </w:pPr>
      <w:r>
        <w:t xml:space="preserve">Dari hasil analisis regresi, ditemukan bahwa impor barang konsumsi memiliki hubungan yang signifikan. dari Nilai p-value untuk koefisien impor barang konsumsi lebih kecil dari tingkat signifikansi 0.05, yang menunjukkan bahwa variabe impor memiliki pengaruh yang signifikan terhadap inflasi. Nilai R-Squared sebesar 0.4872 mengindikasi bahwa sekitar 48,72% variasi inflasi dapat dijelaskan oleh variasi dalam impor barang konsumsi. Dengan begitu hal ini menunjukkan adanya hubungan yang cukup signifikan, meskipun ada hal lain yang mempengaruhi inflasi.</w:t>
      </w:r>
    </w:p>
    <w:p>
      <w:pPr>
        <w:pStyle w:val="SourceCode"/>
      </w:pPr>
      <w:r>
        <w:rPr>
          <w:rStyle w:val="FunctionTok"/>
        </w:rPr>
        <w:t xml:space="preserve">plot</w:t>
      </w:r>
      <w:r>
        <w:rPr>
          <w:rStyle w:val="NormalTok"/>
        </w:rPr>
        <w:t xml:space="preserve">(data</w:t>
      </w:r>
      <w:r>
        <w:rPr>
          <w:rStyle w:val="SpecialCharTok"/>
        </w:rPr>
        <w:t xml:space="preserve">$</w:t>
      </w:r>
      <w:r>
        <w:rPr>
          <w:rStyle w:val="NormalTok"/>
        </w:rPr>
        <w:t xml:space="preserve">x, data</w:t>
      </w:r>
      <w:r>
        <w:rPr>
          <w:rStyle w:val="SpecialCharTok"/>
        </w:rPr>
        <w:t xml:space="preserve">$</w:t>
      </w:r>
      <w:r>
        <w:rPr>
          <w:rStyle w:val="NormalTok"/>
        </w:rPr>
        <w:t xml:space="preserve">y, </w:t>
      </w:r>
      <w:r>
        <w:rPr>
          <w:rStyle w:val="AttributeTok"/>
        </w:rPr>
        <w:t xml:space="preserve">main =</w:t>
      </w:r>
      <w:r>
        <w:rPr>
          <w:rStyle w:val="NormalTok"/>
        </w:rPr>
        <w:t xml:space="preserve"> </w:t>
      </w:r>
      <w:r>
        <w:rPr>
          <w:rStyle w:val="StringTok"/>
        </w:rPr>
        <w:t xml:space="preserve">"Hubungan Impor dan Inflasi"</w:t>
      </w:r>
      <w:r>
        <w:rPr>
          <w:rStyle w:val="NormalTok"/>
        </w:rPr>
        <w:t xml:space="preserve">, </w:t>
      </w:r>
      <w:r>
        <w:rPr>
          <w:rStyle w:val="AttributeTok"/>
        </w:rPr>
        <w:t xml:space="preserve">xlab =</w:t>
      </w:r>
      <w:r>
        <w:rPr>
          <w:rStyle w:val="NormalTok"/>
        </w:rPr>
        <w:t xml:space="preserve"> </w:t>
      </w:r>
      <w:r>
        <w:rPr>
          <w:rStyle w:val="StringTok"/>
        </w:rPr>
        <w:t xml:space="preserve">"Impor Barang Konsumsi(USD)"</w:t>
      </w:r>
      <w:r>
        <w:rPr>
          <w:rStyle w:val="NormalTok"/>
        </w:rPr>
        <w:t xml:space="preserve">, </w:t>
      </w:r>
      <w:r>
        <w:rPr>
          <w:rStyle w:val="AttributeTok"/>
        </w:rPr>
        <w:t xml:space="preserve">ylab =</w:t>
      </w:r>
      <w:r>
        <w:rPr>
          <w:rStyle w:val="NormalTok"/>
        </w:rPr>
        <w:t xml:space="preserve"> </w:t>
      </w:r>
      <w:r>
        <w:rPr>
          <w:rStyle w:val="StringTok"/>
        </w:rPr>
        <w:t xml:space="preserve">"Inflasi (%)"</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data =</w:t>
      </w:r>
      <w:r>
        <w:rPr>
          <w:rStyle w:val="NormalTok"/>
        </w:rPr>
        <w:t xml:space="preserve"> data), </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index_files/figure-docx/unnamed-chunk-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analisis-masalah"/>
    <w:p>
      <w:pPr>
        <w:pStyle w:val="Heading3"/>
      </w:pPr>
      <w:r>
        <w:t xml:space="preserve">4.2 Analisis masalah</w:t>
      </w:r>
    </w:p>
    <w:p>
      <w:pPr>
        <w:pStyle w:val="FirstParagraph"/>
      </w:pPr>
      <w:r>
        <w:t xml:space="preserve">Berdasarkan hasil regresi, persamaan regresi linear sederhana dapat ditulis sebagai berikut :</w:t>
      </w:r>
    </w:p>
    <w:p>
      <w:pPr>
        <w:pStyle w:val="BodyText"/>
      </w:pPr>
      <m:oMathPara>
        <m:oMathParaPr>
          <m:jc m:val="center"/>
        </m:oMathParaPr>
        <m:oMath>
          <m:sSub>
            <m:e>
              <m:r>
                <m:t>y</m:t>
              </m:r>
            </m:e>
            <m:sub>
              <m:r>
                <m:t>t</m:t>
              </m:r>
            </m:sub>
          </m:sSub>
          <m:r>
            <m:rPr>
              <m:sty m:val="p"/>
            </m:rPr>
            <m:t>=</m:t>
          </m:r>
          <m:r>
            <m:t>0.09893</m:t>
          </m:r>
          <m:r>
            <m:rPr>
              <m:sty m:val="p"/>
            </m:rPr>
            <m:t>−</m:t>
          </m:r>
          <m:r>
            <m:t>3.636</m:t>
          </m:r>
          <m:r>
            <m:rPr>
              <m:sty m:val="p"/>
            </m:rPr>
            <m:t>×</m:t>
          </m:r>
          <m:sSup>
            <m:e>
              <m:r>
                <m:t>10</m:t>
              </m:r>
            </m:e>
            <m:sup>
              <m:r>
                <m:rPr>
                  <m:sty m:val="p"/>
                </m:rPr>
                <m:t>−</m:t>
              </m:r>
              <m:r>
                <m:t>12</m:t>
              </m:r>
            </m:sup>
          </m:sSup>
          <m:sSub>
            <m:e>
              <m:r>
                <m:t>x</m:t>
              </m:r>
            </m:e>
            <m:sub>
              <m:r>
                <m:t>t</m:t>
              </m:r>
            </m:sub>
          </m:sSub>
          <m:r>
            <m:rPr>
              <m:sty m:val="p"/>
            </m:rPr>
            <m:t>+</m:t>
          </m:r>
          <m:sSub>
            <m:e>
              <m:r>
                <m:t>ϵ</m:t>
              </m:r>
            </m:e>
            <m:sub>
              <m:r>
                <m:t>t</m:t>
              </m:r>
            </m:sub>
          </m:sSub>
        </m:oMath>
      </m:oMathPara>
    </w:p>
    <w:p>
      <w:pPr>
        <w:pStyle w:val="SourceCode"/>
      </w:pPr>
      <w:r>
        <w:rPr>
          <w:rStyle w:val="NormalTok"/>
        </w:rPr>
        <w:t xml:space="preserve">model</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data =</w:t>
      </w:r>
      <w:r>
        <w:rPr>
          <w:rStyle w:val="NormalTok"/>
        </w:rPr>
        <w:t xml:space="preserve"> data)</w:t>
      </w:r>
      <w:r>
        <w:br/>
      </w:r>
      <w:r>
        <w:rPr>
          <w:rStyle w:val="FunctionTok"/>
        </w:rPr>
        <w:t xml:space="preserve">summary</w:t>
      </w:r>
      <w:r>
        <w:rPr>
          <w:rStyle w:val="NormalTok"/>
        </w:rPr>
        <w:t xml:space="preserve">(model)</w:t>
      </w:r>
    </w:p>
    <w:p>
      <w:pPr>
        <w:pStyle w:val="SourceCode"/>
      </w:pPr>
      <w:r>
        <w:br/>
      </w:r>
      <w:r>
        <w:rPr>
          <w:rStyle w:val="VerbatimChar"/>
        </w:rPr>
        <w:t xml:space="preserve">Call:</w:t>
      </w:r>
      <w:r>
        <w:br/>
      </w:r>
      <w:r>
        <w:rPr>
          <w:rStyle w:val="VerbatimChar"/>
        </w:rPr>
        <w:t xml:space="preserve">lm(formula = y ~ x, data = data)</w:t>
      </w:r>
      <w:r>
        <w:br/>
      </w:r>
      <w:r>
        <w:br/>
      </w:r>
      <w:r>
        <w:rPr>
          <w:rStyle w:val="VerbatimChar"/>
        </w:rPr>
        <w:t xml:space="preserve">Residuals:</w:t>
      </w:r>
      <w:r>
        <w:br/>
      </w:r>
      <w:r>
        <w:rPr>
          <w:rStyle w:val="VerbatimChar"/>
        </w:rPr>
        <w:t xml:space="preserve">     Min       1Q   Median       3Q      Max </w:t>
      </w:r>
      <w:r>
        <w:br/>
      </w:r>
      <w:r>
        <w:rPr>
          <w:rStyle w:val="VerbatimChar"/>
        </w:rPr>
        <w:t xml:space="preserve">-0.02538 -0.01130 -0.00738  0.01527  0.05160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9.893e-02  1.110e-02   8.916 3.23e-08 ***</w:t>
      </w:r>
      <w:r>
        <w:br/>
      </w:r>
      <w:r>
        <w:rPr>
          <w:rStyle w:val="VerbatimChar"/>
        </w:rPr>
        <w:t xml:space="preserve">x           -3.636e-12  8.558e-13  -4.248 0.000435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0.02125 on 19 degrees of freedom</w:t>
      </w:r>
      <w:r>
        <w:br/>
      </w:r>
      <w:r>
        <w:rPr>
          <w:rStyle w:val="VerbatimChar"/>
        </w:rPr>
        <w:t xml:space="preserve">Multiple R-squared:  0.4872,    Adjusted R-squared:  0.4602 </w:t>
      </w:r>
      <w:r>
        <w:br/>
      </w:r>
      <w:r>
        <w:rPr>
          <w:rStyle w:val="VerbatimChar"/>
        </w:rPr>
        <w:t xml:space="preserve">F-statistic: 18.05 on 1 and 19 DF,  p-value: 0.0004347</w:t>
      </w:r>
    </w:p>
    <w:p>
      <w:pPr>
        <w:pStyle w:val="SourceCode"/>
      </w:pPr>
      <w:r>
        <w:rPr>
          <w:rStyle w:val="FunctionTok"/>
        </w:rPr>
        <w:t xml:space="preserve">shapiro.test</w:t>
      </w:r>
      <w:r>
        <w:rPr>
          <w:rStyle w:val="NormalTok"/>
        </w:rPr>
        <w:t xml:space="preserve">(</w:t>
      </w:r>
      <w:r>
        <w:rPr>
          <w:rStyle w:val="FunctionTok"/>
        </w:rPr>
        <w:t xml:space="preserve">resid</w:t>
      </w:r>
      <w:r>
        <w:rPr>
          <w:rStyle w:val="NormalTok"/>
        </w:rPr>
        <w:t xml:space="preserve">(model))</w:t>
      </w:r>
    </w:p>
    <w:p>
      <w:pPr>
        <w:pStyle w:val="SourceCode"/>
      </w:pPr>
      <w:r>
        <w:br/>
      </w:r>
      <w:r>
        <w:rPr>
          <w:rStyle w:val="VerbatimChar"/>
        </w:rPr>
        <w:t xml:space="preserve">    Shapiro-Wilk normality test</w:t>
      </w:r>
      <w:r>
        <w:br/>
      </w:r>
      <w:r>
        <w:br/>
      </w:r>
      <w:r>
        <w:rPr>
          <w:rStyle w:val="VerbatimChar"/>
        </w:rPr>
        <w:t xml:space="preserve">data:  resid(model)</w:t>
      </w:r>
      <w:r>
        <w:br/>
      </w:r>
      <w:r>
        <w:rPr>
          <w:rStyle w:val="VerbatimChar"/>
        </w:rPr>
        <w:t xml:space="preserve">W = 0.92709, p-value = 0.1203</w:t>
      </w:r>
    </w:p>
    <w:p>
      <w:pPr>
        <w:pStyle w:val="SourceCode"/>
      </w:pPr>
      <w:r>
        <w:rPr>
          <w:rStyle w:val="FunctionTok"/>
        </w:rPr>
        <w:t xml:space="preserve">library</w:t>
      </w:r>
      <w:r>
        <w:rPr>
          <w:rStyle w:val="NormalTok"/>
        </w:rPr>
        <w:t xml:space="preserve">(zoo)</w:t>
      </w:r>
      <w:r>
        <w:br/>
      </w:r>
      <w:r>
        <w:rPr>
          <w:rStyle w:val="FunctionTok"/>
        </w:rPr>
        <w:t xml:space="preserve">library</w:t>
      </w:r>
      <w:r>
        <w:rPr>
          <w:rStyle w:val="NormalTok"/>
        </w:rPr>
        <w:t xml:space="preserve">(lmtest)</w:t>
      </w:r>
      <w:r>
        <w:br/>
      </w:r>
      <w:r>
        <w:rPr>
          <w:rStyle w:val="FunctionTok"/>
        </w:rPr>
        <w:t xml:space="preserve">bptest</w:t>
      </w:r>
      <w:r>
        <w:rPr>
          <w:rStyle w:val="NormalTok"/>
        </w:rPr>
        <w:t xml:space="preserve">(model)</w:t>
      </w:r>
    </w:p>
    <w:p>
      <w:pPr>
        <w:pStyle w:val="SourceCode"/>
      </w:pPr>
      <w:r>
        <w:br/>
      </w:r>
      <w:r>
        <w:rPr>
          <w:rStyle w:val="VerbatimChar"/>
        </w:rPr>
        <w:t xml:space="preserve">    studentized Breusch-Pagan test</w:t>
      </w:r>
      <w:r>
        <w:br/>
      </w:r>
      <w:r>
        <w:br/>
      </w:r>
      <w:r>
        <w:rPr>
          <w:rStyle w:val="VerbatimChar"/>
        </w:rPr>
        <w:t xml:space="preserve">data:  model</w:t>
      </w:r>
      <w:r>
        <w:br/>
      </w:r>
      <w:r>
        <w:rPr>
          <w:rStyle w:val="VerbatimChar"/>
        </w:rPr>
        <w:t xml:space="preserve">BP = 4.4588, df = 1, p-value = 0.03472</w:t>
      </w:r>
    </w:p>
    <w:bookmarkEnd w:id="40"/>
    <w:bookmarkEnd w:id="41"/>
    <w:bookmarkStart w:id="42" w:name="kesimpulan"/>
    <w:p>
      <w:pPr>
        <w:pStyle w:val="Heading2"/>
      </w:pPr>
      <w:r>
        <w:t xml:space="preserve">5 Kesimpulan</w:t>
      </w:r>
    </w:p>
    <w:p>
      <w:pPr>
        <w:pStyle w:val="FirstParagraph"/>
      </w:pPr>
      <w:r>
        <w:t xml:space="preserve">Dari analisis yang telah saya lakukan, dapat di ambil kesimpulan bahwa impor barang konsumsi berpengaruh terhadap tingkat inflasi di Indonesia. Persamaan regresi yang terbentuk menunjukkan bahwa setiap kenaikan impor barang konsumsi dapat dihubungkan dengan perubahan pada tingkat inflasi, meskipun hubungannya tidak sepenuhnya kuat.</w:t>
      </w:r>
    </w:p>
    <w:p>
      <w:pPr>
        <w:pStyle w:val="BodyText"/>
      </w:pPr>
      <w:r>
        <w:t xml:space="preserve">Secara keseluruhan impor barang konsumsi dengan laju inflasi memiliki hubungan yang signifikan. Dari hal tersebut menyatakan bahwa perubahan dalam pola impor dapat berkontribusi terhadap fluktuasi inflasi di Indonesia. Oleh karena itu, kebijakan yang berkaitan dengan impor dan pengelolaan inflasi perlu mempertimbangkan faktor-faktor ini agar dapat menjaga stabilitas ekonomi.</w:t>
      </w:r>
    </w:p>
    <w:bookmarkEnd w:id="42"/>
    <w:bookmarkStart w:id="43" w:name="referensi"/>
    <w:p>
      <w:pPr>
        <w:pStyle w:val="Heading2"/>
      </w:pPr>
      <w:r>
        <w:t xml:space="preserve">6 Referensi</w:t>
      </w:r>
    </w:p>
    <w:p>
      <w:pPr>
        <w:pStyle w:val="FirstParagraph"/>
      </w:pPr>
      <w:r>
        <w:t xml:space="preserve">Badan Pusat Statistik . (2024, Maret 14).</w:t>
      </w:r>
      <w:r>
        <w:t xml:space="preserve"> </w:t>
      </w:r>
      <w:r>
        <w:rPr>
          <w:i/>
          <w:iCs/>
        </w:rPr>
        <w:t xml:space="preserve">Impor Barang Konsumsi, 1989-2023.</w:t>
      </w:r>
      <w:r>
        <w:t xml:space="preserve"> </w:t>
      </w:r>
      <w:r>
        <w:t xml:space="preserve">Retrieved from Badan Pusat Statistik : https://www.bps.go.id/id/statistics-table/1/MTA0MCMx/impor-barang-konsumsi–1989-2023.html</w:t>
      </w:r>
    </w:p>
    <w:p>
      <w:pPr>
        <w:pStyle w:val="BodyText"/>
      </w:pPr>
      <w:r>
        <w:t xml:space="preserve">Bank Indonesia. (n.d.).</w:t>
      </w:r>
      <w:r>
        <w:t xml:space="preserve"> </w:t>
      </w:r>
      <w:r>
        <w:rPr>
          <w:i/>
          <w:iCs/>
        </w:rPr>
        <w:t xml:space="preserve">Data Inflasi .</w:t>
      </w:r>
      <w:r>
        <w:t xml:space="preserve"> </w:t>
      </w:r>
      <w:r>
        <w:t xml:space="preserve">Retrieved from Bank Indonesia : https://www.bi.go.id/id/statistik/indikator/data-inflasi.aspx</w:t>
      </w:r>
    </w:p>
    <w:p>
      <w:pPr>
        <w:pStyle w:val="BodyText"/>
      </w:pPr>
      <w:r>
        <w:t xml:space="preserve">Dea , A., &amp; Inayati, N. D. (2022). Variabel-variabel yang Mempengaruhi Inflasi di Indonesia.</w:t>
      </w:r>
      <w:r>
        <w:t xml:space="preserve"> </w:t>
      </w:r>
      <w:r>
        <w:rPr>
          <w:i/>
          <w:iCs/>
        </w:rPr>
        <w:t xml:space="preserve">Jurnal Ekonomi Pembangunan (JEP)</w:t>
      </w:r>
      <w:r>
        <w:t xml:space="preserve">, 2721-6071.</w:t>
      </w:r>
    </w:p>
    <w:p>
      <w:pPr>
        <w:pStyle w:val="BodyText"/>
      </w:pPr>
      <w:r>
        <w:t xml:space="preserve">Nadila , S. A., &amp; Nuri, A. (2022). Analisis Kebijakan Perdagangan Internasional.</w:t>
      </w:r>
      <w:r>
        <w:t xml:space="preserve"> </w:t>
      </w:r>
      <w:r>
        <w:rPr>
          <w:i/>
          <w:iCs/>
        </w:rPr>
        <w:t xml:space="preserve">Journal Economy And Currency Study (JECS)</w:t>
      </w:r>
      <w:r>
        <w:t xml:space="preserve">.</w:t>
      </w:r>
    </w:p>
    <w:p>
      <w:pPr>
        <w:pStyle w:val="BodyText"/>
      </w:pPr>
      <w:r>
        <w:t xml:space="preserve">Rudy , S., &amp; Indah , P. (2020). PENGARUH INFLASI DAN PERTUMBUHAN EKONOMI TERHADAP.</w:t>
      </w:r>
      <w:r>
        <w:t xml:space="preserve"> </w:t>
      </w:r>
      <w:r>
        <w:rPr>
          <w:i/>
          <w:iCs/>
        </w:rPr>
        <w:t xml:space="preserve">Journal of Applied Business and Economics</w:t>
      </w:r>
      <w:r>
        <w:t xml:space="preserve">, 271-278.</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0" Target="media/rId3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Impor Barang Konsumsi Terhadap Inflasi di Indonesia Tahun 2003-2023</dc:title>
  <dc:creator>Aliya Az Zahra Bachri</dc:creator>
  <cp:keywords/>
  <dcterms:created xsi:type="dcterms:W3CDTF">2025-01-16T11:18:02Z</dcterms:created>
  <dcterms:modified xsi:type="dcterms:W3CDTF">2025-01-16T11:18:02Z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2025-01-14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