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036F3" w14:textId="77777777" w:rsidR="002E5429" w:rsidRPr="002E5429" w:rsidRDefault="002E5429" w:rsidP="002E5429">
      <w:r w:rsidRPr="002E5429">
        <w:rPr>
          <w:b/>
          <w:bCs/>
        </w:rPr>
        <w:t>Clean Air Act:</w:t>
      </w:r>
    </w:p>
    <w:p w14:paraId="4438E470" w14:textId="77777777" w:rsidR="002E5429" w:rsidRPr="002E5429" w:rsidRDefault="002E5429" w:rsidP="002E5429">
      <w:r w:rsidRPr="002E5429">
        <w:t>The Clean Air Act (CAA) is a comprehensive piece of federal legislation in the United States aimed at regulating and reducing air pollution to protect public health and the environment. It has been amended several times since its inception in 1963 and has been instrumental in improving air quality throughout the country.</w:t>
      </w:r>
    </w:p>
    <w:p w14:paraId="55A0868F" w14:textId="77777777" w:rsidR="002E5429" w:rsidRPr="002E5429" w:rsidRDefault="002E5429" w:rsidP="002E5429">
      <w:r w:rsidRPr="002E5429">
        <w:rPr>
          <w:b/>
          <w:bCs/>
        </w:rPr>
        <w:t>Key Provisions and Goals of the Clean Air Act:</w:t>
      </w:r>
    </w:p>
    <w:p w14:paraId="0A570F0B" w14:textId="77777777" w:rsidR="002E5429" w:rsidRPr="002E5429" w:rsidRDefault="002E5429" w:rsidP="002E5429">
      <w:pPr>
        <w:numPr>
          <w:ilvl w:val="0"/>
          <w:numId w:val="1"/>
        </w:numPr>
      </w:pPr>
      <w:r w:rsidRPr="002E5429">
        <w:rPr>
          <w:b/>
          <w:bCs/>
        </w:rPr>
        <w:t>National Ambient Air Quality Standards (NAAQS):</w:t>
      </w:r>
      <w:r w:rsidRPr="002E5429">
        <w:t xml:space="preserve"> The CAA establishes NAAQS for several pollutants, including ground-level ozone, particulate matter, carbon monoxide, </w:t>
      </w:r>
      <w:proofErr w:type="spellStart"/>
      <w:r w:rsidRPr="002E5429">
        <w:t>sulfur</w:t>
      </w:r>
      <w:proofErr w:type="spellEnd"/>
      <w:r w:rsidRPr="002E5429">
        <w:t xml:space="preserve"> dioxide, nitrogen dioxide, and lead. These standards set the maximum allowable concentrations of these pollutants in the ambient air to protect public health and the environment.</w:t>
      </w:r>
    </w:p>
    <w:p w14:paraId="48E8CC79" w14:textId="77777777" w:rsidR="002E5429" w:rsidRPr="002E5429" w:rsidRDefault="002E5429" w:rsidP="002E5429">
      <w:pPr>
        <w:numPr>
          <w:ilvl w:val="0"/>
          <w:numId w:val="1"/>
        </w:numPr>
      </w:pPr>
      <w:r w:rsidRPr="002E5429">
        <w:rPr>
          <w:b/>
          <w:bCs/>
        </w:rPr>
        <w:t>Emissions Standards:</w:t>
      </w:r>
      <w:r w:rsidRPr="002E5429">
        <w:t xml:space="preserve"> The CAA sets emissions standards for various sources of pollution, such as industrial facilities, power plants, and vehicles. These standards limit the </w:t>
      </w:r>
      <w:proofErr w:type="gramStart"/>
      <w:r w:rsidRPr="002E5429">
        <w:t>amount</w:t>
      </w:r>
      <w:proofErr w:type="gramEnd"/>
      <w:r w:rsidRPr="002E5429">
        <w:t xml:space="preserve"> of specific pollutants that these sources can release into the atmosphere.</w:t>
      </w:r>
    </w:p>
    <w:p w14:paraId="25F90FA1" w14:textId="77777777" w:rsidR="002E5429" w:rsidRPr="002E5429" w:rsidRDefault="002E5429" w:rsidP="002E5429">
      <w:pPr>
        <w:numPr>
          <w:ilvl w:val="0"/>
          <w:numId w:val="1"/>
        </w:numPr>
      </w:pPr>
      <w:r w:rsidRPr="002E5429">
        <w:rPr>
          <w:b/>
          <w:bCs/>
        </w:rPr>
        <w:t>New Source Review (NSR):</w:t>
      </w:r>
      <w:r w:rsidRPr="002E5429">
        <w:t xml:space="preserve"> The NSR program requires that new or modified industrial facilities install state-of-the-art pollution control technology to reduce emissions of harmful pollutants.</w:t>
      </w:r>
    </w:p>
    <w:p w14:paraId="5ED96CE0" w14:textId="77777777" w:rsidR="002E5429" w:rsidRPr="002E5429" w:rsidRDefault="002E5429" w:rsidP="002E5429">
      <w:pPr>
        <w:numPr>
          <w:ilvl w:val="0"/>
          <w:numId w:val="1"/>
        </w:numPr>
      </w:pPr>
      <w:r w:rsidRPr="002E5429">
        <w:rPr>
          <w:b/>
          <w:bCs/>
        </w:rPr>
        <w:t>Mobile Source Emissions:</w:t>
      </w:r>
      <w:r w:rsidRPr="002E5429">
        <w:t xml:space="preserve"> The CAA addresses emissions from mobile sources, including cars, trucks, and other vehicles. It includes requirements for vehicle emissions testing, fuel quality, and fuel efficiency standards.</w:t>
      </w:r>
    </w:p>
    <w:p w14:paraId="5632C1F6" w14:textId="77777777" w:rsidR="002E5429" w:rsidRPr="002E5429" w:rsidRDefault="002E5429" w:rsidP="002E5429">
      <w:pPr>
        <w:numPr>
          <w:ilvl w:val="0"/>
          <w:numId w:val="1"/>
        </w:numPr>
      </w:pPr>
      <w:r w:rsidRPr="002E5429">
        <w:rPr>
          <w:b/>
          <w:bCs/>
        </w:rPr>
        <w:t>Air Toxics: (Title III):</w:t>
      </w:r>
      <w:r w:rsidRPr="002E5429">
        <w:t xml:space="preserve"> The CAA regulates hazardous air pollutants, also known as air toxics. This part of the Act sets emission standards for numerous toxic pollutants, such as benzene, mercury, and dioxins.</w:t>
      </w:r>
    </w:p>
    <w:p w14:paraId="7447EC7B" w14:textId="77777777" w:rsidR="002E5429" w:rsidRPr="002E5429" w:rsidRDefault="002E5429" w:rsidP="002E5429">
      <w:pPr>
        <w:numPr>
          <w:ilvl w:val="0"/>
          <w:numId w:val="1"/>
        </w:numPr>
      </w:pPr>
      <w:r w:rsidRPr="002E5429">
        <w:rPr>
          <w:b/>
          <w:bCs/>
        </w:rPr>
        <w:t>Acid Rain Program:</w:t>
      </w:r>
      <w:r w:rsidRPr="002E5429">
        <w:t xml:space="preserve"> The CAA includes provisions to address acid rain, particularly the </w:t>
      </w:r>
      <w:proofErr w:type="spellStart"/>
      <w:r w:rsidRPr="002E5429">
        <w:t>sulfur</w:t>
      </w:r>
      <w:proofErr w:type="spellEnd"/>
      <w:r w:rsidRPr="002E5429">
        <w:t xml:space="preserve"> dioxide and nitrogen oxide emissions that contribute to it. This has led to significant reductions in acid rain in affected regions.</w:t>
      </w:r>
    </w:p>
    <w:p w14:paraId="06481D07" w14:textId="77777777" w:rsidR="002E5429" w:rsidRPr="002E5429" w:rsidRDefault="002E5429" w:rsidP="002E5429">
      <w:pPr>
        <w:numPr>
          <w:ilvl w:val="0"/>
          <w:numId w:val="1"/>
        </w:numPr>
      </w:pPr>
      <w:r w:rsidRPr="002E5429">
        <w:rPr>
          <w:b/>
          <w:bCs/>
        </w:rPr>
        <w:t>Ozone Depleting Substances:</w:t>
      </w:r>
      <w:r w:rsidRPr="002E5429">
        <w:t xml:space="preserve"> The Act addresses substances that deplete the ozone layer, such as chlorofluorocarbons (CFCs), through regulations and international agreements like the Montreal Protocol.</w:t>
      </w:r>
    </w:p>
    <w:p w14:paraId="178E5037" w14:textId="77777777" w:rsidR="002E5429" w:rsidRPr="002E5429" w:rsidRDefault="002E5429" w:rsidP="002E5429">
      <w:pPr>
        <w:numPr>
          <w:ilvl w:val="0"/>
          <w:numId w:val="1"/>
        </w:numPr>
      </w:pPr>
      <w:r w:rsidRPr="002E5429">
        <w:rPr>
          <w:b/>
          <w:bCs/>
        </w:rPr>
        <w:t>Enforcement and Penalties:</w:t>
      </w:r>
      <w:r w:rsidRPr="002E5429">
        <w:t xml:space="preserve"> The CAA establishes enforcement mechanisms, including penalties for non-compliance with regulations, and grants the Environmental Protection Agency (EPA) the authority to take enforcement actions.</w:t>
      </w:r>
    </w:p>
    <w:p w14:paraId="49A80A13" w14:textId="77777777" w:rsidR="002E5429" w:rsidRPr="002E5429" w:rsidRDefault="002E5429" w:rsidP="002E5429">
      <w:r w:rsidRPr="002E5429">
        <w:rPr>
          <w:b/>
          <w:bCs/>
        </w:rPr>
        <w:t>Mitigation and Reduction Measures:</w:t>
      </w:r>
    </w:p>
    <w:p w14:paraId="4E97484D" w14:textId="77777777" w:rsidR="002E5429" w:rsidRPr="002E5429" w:rsidRDefault="002E5429" w:rsidP="002E5429">
      <w:r w:rsidRPr="002E5429">
        <w:t>Mitigation and reduction measures under the Clean Air Act and similar air quality regulations focus on reducing emissions of harmful pollutants and improving air quality. These measures include:</w:t>
      </w:r>
    </w:p>
    <w:p w14:paraId="1CBDA42A" w14:textId="77777777" w:rsidR="002E5429" w:rsidRPr="002E5429" w:rsidRDefault="002E5429" w:rsidP="002E5429">
      <w:pPr>
        <w:numPr>
          <w:ilvl w:val="0"/>
          <w:numId w:val="2"/>
        </w:numPr>
      </w:pPr>
      <w:r w:rsidRPr="002E5429">
        <w:rPr>
          <w:b/>
          <w:bCs/>
        </w:rPr>
        <w:t>Technology Standards:</w:t>
      </w:r>
      <w:r w:rsidRPr="002E5429">
        <w:t xml:space="preserve"> Setting emissions standards for various industries and sectors, requiring the use of specific pollution control technologies and practices to reduce emissions.</w:t>
      </w:r>
    </w:p>
    <w:p w14:paraId="324FB234" w14:textId="77777777" w:rsidR="002E5429" w:rsidRPr="002E5429" w:rsidRDefault="002E5429" w:rsidP="002E5429">
      <w:pPr>
        <w:numPr>
          <w:ilvl w:val="0"/>
          <w:numId w:val="2"/>
        </w:numPr>
      </w:pPr>
      <w:r w:rsidRPr="002E5429">
        <w:rPr>
          <w:b/>
          <w:bCs/>
        </w:rPr>
        <w:lastRenderedPageBreak/>
        <w:t>Alternative Fuels and Energy Sources:</w:t>
      </w:r>
      <w:r w:rsidRPr="002E5429">
        <w:t xml:space="preserve"> Encouraging the use of cleaner energy sources, such as natural gas, renewable energy, and electric vehicles, to reduce emissions from power generation and transportation.</w:t>
      </w:r>
    </w:p>
    <w:p w14:paraId="367451A7" w14:textId="77777777" w:rsidR="002E5429" w:rsidRPr="002E5429" w:rsidRDefault="002E5429" w:rsidP="002E5429">
      <w:pPr>
        <w:numPr>
          <w:ilvl w:val="0"/>
          <w:numId w:val="2"/>
        </w:numPr>
      </w:pPr>
      <w:r w:rsidRPr="002E5429">
        <w:rPr>
          <w:b/>
          <w:bCs/>
        </w:rPr>
        <w:t>Emission Testing and Monitoring:</w:t>
      </w:r>
      <w:r w:rsidRPr="002E5429">
        <w:t xml:space="preserve"> Implementing programs for regular emissions testing and monitoring of sources, such as vehicle emissions testing and continuous monitoring of industrial emissions.</w:t>
      </w:r>
    </w:p>
    <w:p w14:paraId="276D4890" w14:textId="77777777" w:rsidR="002E5429" w:rsidRPr="002E5429" w:rsidRDefault="002E5429" w:rsidP="002E5429">
      <w:pPr>
        <w:numPr>
          <w:ilvl w:val="0"/>
          <w:numId w:val="2"/>
        </w:numPr>
      </w:pPr>
      <w:r w:rsidRPr="002E5429">
        <w:rPr>
          <w:b/>
          <w:bCs/>
        </w:rPr>
        <w:t>Emissions Reduction Incentives:</w:t>
      </w:r>
      <w:r w:rsidRPr="002E5429">
        <w:t xml:space="preserve"> Providing financial incentives for individuals and companies to adopt cleaner technologies and practices, such as tax credits for energy-efficient appliances or incentives for electric vehicles.</w:t>
      </w:r>
    </w:p>
    <w:p w14:paraId="26858E70" w14:textId="77777777" w:rsidR="002E5429" w:rsidRPr="002E5429" w:rsidRDefault="002E5429" w:rsidP="002E5429">
      <w:pPr>
        <w:numPr>
          <w:ilvl w:val="0"/>
          <w:numId w:val="2"/>
        </w:numPr>
      </w:pPr>
      <w:r w:rsidRPr="002E5429">
        <w:rPr>
          <w:b/>
          <w:bCs/>
        </w:rPr>
        <w:t>Transportation Policies:</w:t>
      </w:r>
      <w:r w:rsidRPr="002E5429">
        <w:t xml:space="preserve"> Implementing policies to reduce vehicle emissions, such as fuel efficiency standards, public transportation development, and promoting active transportation like walking and cycling.</w:t>
      </w:r>
    </w:p>
    <w:p w14:paraId="6CB61528" w14:textId="77777777" w:rsidR="002E5429" w:rsidRPr="002E5429" w:rsidRDefault="002E5429" w:rsidP="002E5429">
      <w:pPr>
        <w:numPr>
          <w:ilvl w:val="0"/>
          <w:numId w:val="2"/>
        </w:numPr>
      </w:pPr>
      <w:r w:rsidRPr="002E5429">
        <w:rPr>
          <w:b/>
          <w:bCs/>
        </w:rPr>
        <w:t>International Agreements:</w:t>
      </w:r>
      <w:r w:rsidRPr="002E5429">
        <w:t xml:space="preserve"> Participating in international agreements to address transboundary air pollution and to phase out substances that harm the ozone layer or contribute to climate change.</w:t>
      </w:r>
    </w:p>
    <w:p w14:paraId="2056A1C2" w14:textId="77777777" w:rsidR="002E5429" w:rsidRPr="002E5429" w:rsidRDefault="002E5429" w:rsidP="002E5429">
      <w:pPr>
        <w:numPr>
          <w:ilvl w:val="0"/>
          <w:numId w:val="2"/>
        </w:numPr>
      </w:pPr>
      <w:r w:rsidRPr="002E5429">
        <w:rPr>
          <w:b/>
          <w:bCs/>
        </w:rPr>
        <w:t>Public Education and Outreach:</w:t>
      </w:r>
      <w:r w:rsidRPr="002E5429">
        <w:t xml:space="preserve"> Raising awareness and educating the public about the importance of air quality and the actions individuals can take to reduce their own emissions.</w:t>
      </w:r>
    </w:p>
    <w:p w14:paraId="36885DA1" w14:textId="77777777" w:rsidR="002E5429" w:rsidRPr="002E5429" w:rsidRDefault="002E5429" w:rsidP="002E5429">
      <w:r w:rsidRPr="002E5429">
        <w:t>The Clean Air Act and associated measures have been effective in reducing air pollution and improving air quality in the United States. However, challenges remain, particularly in addressing emerging air quality issues and addressing the global nature of some air pollutants, such as greenhouse gases. Continuous efforts to innovate and update regulations are essential for maintaining and improving air quality.</w:t>
      </w:r>
    </w:p>
    <w:p w14:paraId="7220738B" w14:textId="77777777" w:rsidR="00FC55AF" w:rsidRDefault="00FC55AF"/>
    <w:sectPr w:rsidR="00FC5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2BA"/>
    <w:multiLevelType w:val="multilevel"/>
    <w:tmpl w:val="B412A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24BD8"/>
    <w:multiLevelType w:val="multilevel"/>
    <w:tmpl w:val="E930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5356">
    <w:abstractNumId w:val="0"/>
  </w:num>
  <w:num w:numId="2" w16cid:durableId="1633249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AF"/>
    <w:rsid w:val="002E5429"/>
    <w:rsid w:val="00FC5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03CA"/>
  <w15:chartTrackingRefBased/>
  <w15:docId w15:val="{F1752DA7-54C3-408D-B19C-B4157321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8136">
      <w:bodyDiv w:val="1"/>
      <w:marLeft w:val="0"/>
      <w:marRight w:val="0"/>
      <w:marTop w:val="0"/>
      <w:marBottom w:val="0"/>
      <w:divBdr>
        <w:top w:val="none" w:sz="0" w:space="0" w:color="auto"/>
        <w:left w:val="none" w:sz="0" w:space="0" w:color="auto"/>
        <w:bottom w:val="none" w:sz="0" w:space="0" w:color="auto"/>
        <w:right w:val="none" w:sz="0" w:space="0" w:color="auto"/>
      </w:divBdr>
      <w:divsChild>
        <w:div w:id="325284720">
          <w:marLeft w:val="0"/>
          <w:marRight w:val="0"/>
          <w:marTop w:val="0"/>
          <w:marBottom w:val="0"/>
          <w:divBdr>
            <w:top w:val="single" w:sz="2" w:space="0" w:color="auto"/>
            <w:left w:val="single" w:sz="2" w:space="0" w:color="auto"/>
            <w:bottom w:val="single" w:sz="6" w:space="0" w:color="auto"/>
            <w:right w:val="single" w:sz="2" w:space="0" w:color="auto"/>
          </w:divBdr>
          <w:divsChild>
            <w:div w:id="130157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547746">
                  <w:marLeft w:val="0"/>
                  <w:marRight w:val="0"/>
                  <w:marTop w:val="0"/>
                  <w:marBottom w:val="0"/>
                  <w:divBdr>
                    <w:top w:val="single" w:sz="2" w:space="0" w:color="D9D9E3"/>
                    <w:left w:val="single" w:sz="2" w:space="0" w:color="D9D9E3"/>
                    <w:bottom w:val="single" w:sz="2" w:space="0" w:color="D9D9E3"/>
                    <w:right w:val="single" w:sz="2" w:space="0" w:color="D9D9E3"/>
                  </w:divBdr>
                  <w:divsChild>
                    <w:div w:id="203300164">
                      <w:marLeft w:val="0"/>
                      <w:marRight w:val="0"/>
                      <w:marTop w:val="0"/>
                      <w:marBottom w:val="0"/>
                      <w:divBdr>
                        <w:top w:val="single" w:sz="2" w:space="0" w:color="D9D9E3"/>
                        <w:left w:val="single" w:sz="2" w:space="0" w:color="D9D9E3"/>
                        <w:bottom w:val="single" w:sz="2" w:space="0" w:color="D9D9E3"/>
                        <w:right w:val="single" w:sz="2" w:space="0" w:color="D9D9E3"/>
                      </w:divBdr>
                      <w:divsChild>
                        <w:div w:id="19671754">
                          <w:marLeft w:val="0"/>
                          <w:marRight w:val="0"/>
                          <w:marTop w:val="0"/>
                          <w:marBottom w:val="0"/>
                          <w:divBdr>
                            <w:top w:val="single" w:sz="2" w:space="0" w:color="D9D9E3"/>
                            <w:left w:val="single" w:sz="2" w:space="0" w:color="D9D9E3"/>
                            <w:bottom w:val="single" w:sz="2" w:space="0" w:color="D9D9E3"/>
                            <w:right w:val="single" w:sz="2" w:space="0" w:color="D9D9E3"/>
                          </w:divBdr>
                          <w:divsChild>
                            <w:div w:id="618145004">
                              <w:marLeft w:val="0"/>
                              <w:marRight w:val="0"/>
                              <w:marTop w:val="0"/>
                              <w:marBottom w:val="0"/>
                              <w:divBdr>
                                <w:top w:val="single" w:sz="2" w:space="0" w:color="D9D9E3"/>
                                <w:left w:val="single" w:sz="2" w:space="0" w:color="D9D9E3"/>
                                <w:bottom w:val="single" w:sz="2" w:space="0" w:color="D9D9E3"/>
                                <w:right w:val="single" w:sz="2" w:space="0" w:color="D9D9E3"/>
                              </w:divBdr>
                              <w:divsChild>
                                <w:div w:id="1691838649">
                                  <w:marLeft w:val="0"/>
                                  <w:marRight w:val="0"/>
                                  <w:marTop w:val="0"/>
                                  <w:marBottom w:val="0"/>
                                  <w:divBdr>
                                    <w:top w:val="single" w:sz="2" w:space="0" w:color="D9D9E3"/>
                                    <w:left w:val="single" w:sz="2" w:space="0" w:color="D9D9E3"/>
                                    <w:bottom w:val="single" w:sz="2" w:space="0" w:color="D9D9E3"/>
                                    <w:right w:val="single" w:sz="2" w:space="0" w:color="D9D9E3"/>
                                  </w:divBdr>
                                  <w:divsChild>
                                    <w:div w:id="28042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2</cp:revision>
  <dcterms:created xsi:type="dcterms:W3CDTF">2023-10-31T14:53:00Z</dcterms:created>
  <dcterms:modified xsi:type="dcterms:W3CDTF">2023-10-31T14:54:00Z</dcterms:modified>
</cp:coreProperties>
</file>