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Paradigma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Datatype sensitivity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keyword - bir dəfə compile zamanı təyinin olunan dəyərin type`ı mənimsədirdi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Dynamic keyword - Runtime zamanı özü hər dəfə type`nı dəyişir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String.Empty(); = “”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Məsləhət görülən methoddur.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Item ??=variable;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Əgər item null deyilsə item`a variable mənimsədilir.Bizə true false dəyər qaytarmır.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if(item is null){}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Bizə true false dəyər qaytarır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Foreach syntax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foreach( dataType item in items){}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Switch case expression after c#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Console.ReadLine();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Hərzaman string dəyər qaytarır.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