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04EB4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3.2. Приведение типов сущностей к доменной таксономии.</w:t>
      </w:r>
    </w:p>
    <w:p w14:paraId="78E8403B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После предыдущих шагов в графе все еще доминировал неопределённый тип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concept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(2233 узла), а юридически значимые сущности разбросаны по десятку несогласованных типов: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law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legalreference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legalarticle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legalprovision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legal_document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 которые логично было бы свести к единому типу.</w:t>
      </w:r>
    </w:p>
    <w:p w14:paraId="00F50668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В общем, была поставлена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задача 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— свести весь этот "зоопарк" к компактной доменной таксономии.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Реализовано с помощью кастомной функции,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которая задает последовательность проверок — от самого специфичного случая к самому общему: каждая следующая проверка применяется, только если не сработала предыдущая.</w:t>
      </w:r>
    </w:p>
    <w:p w14:paraId="530377B5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Сначала задаются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два опорных объекта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47142FE0" w14:textId="77777777" w:rsidR="00FD43E9" w:rsidRPr="00FD43E9" w:rsidRDefault="00FD43E9" w:rsidP="00FD43E9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  <w:u w:val="single"/>
        </w:rPr>
        <w:t>Список "замороженных" типов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категории, которые при индексации, в целом, определены корректно (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organization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person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location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date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143E8F25" w14:textId="0DB6A30F" w:rsidR="00FD43E9" w:rsidRPr="00FD43E9" w:rsidRDefault="00FD43E9" w:rsidP="00FD43E9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  <w:u w:val="single"/>
        </w:rPr>
        <w:t>Паттерн регулярного выражения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 распознающего маркеры правовой нормы (</w:t>
      </w:r>
      <w:r w:rsidRPr="00FD43E9">
        <w:rPr>
          <w:rFonts w:ascii="Arial" w:eastAsia="Times New Roman" w:hAnsi="Arial" w:cs="Arial"/>
          <w:i/>
          <w:iCs/>
          <w:color w:val="DEDEDE"/>
          <w:sz w:val="24"/>
          <w:szCs w:val="24"/>
        </w:rPr>
        <w:t>закон, кодекс, ст., ФЗ, постановление и их английские аналоги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328D9C02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Алгоритм обработки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7DA6C7EC" w14:textId="77777777" w:rsidR="00FD43E9" w:rsidRPr="00FD43E9" w:rsidRDefault="00FD43E9" w:rsidP="00FD43E9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Экспертные исключения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точечные исключения, которые не вписываются в реализованную логику фильтрации.</w:t>
      </w:r>
    </w:p>
    <w:p w14:paraId="0250A8B7" w14:textId="77777777" w:rsidR="00FD43E9" w:rsidRPr="00FD43E9" w:rsidRDefault="00FD43E9" w:rsidP="00FD43E9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Итеративная фильтрация сущностей:</w:t>
      </w:r>
    </w:p>
    <w:p w14:paraId="6B65313F" w14:textId="77777777" w:rsidR="00FD43E9" w:rsidRPr="00FD43E9" w:rsidRDefault="00FD43E9" w:rsidP="00FD43E9">
      <w:pPr>
        <w:numPr>
          <w:ilvl w:val="1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ядро функции — двуязычный паттерн norm_pattern;</w:t>
      </w:r>
    </w:p>
    <w:p w14:paraId="241F23A5" w14:textId="77777777" w:rsidR="00FD43E9" w:rsidRPr="00FD43E9" w:rsidRDefault="00FD43E9" w:rsidP="00FD43E9">
      <w:pPr>
        <w:numPr>
          <w:ilvl w:val="1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далее, если паттерн не сработал, пошагово применяется логика маппинга, описанная выше, в таблице;</w:t>
      </w:r>
    </w:p>
    <w:p w14:paraId="59A72EC2" w14:textId="77777777" w:rsidR="00FD43E9" w:rsidRPr="00FD43E9" w:rsidRDefault="00FD43E9" w:rsidP="00FD43E9">
      <w:pPr>
        <w:numPr>
          <w:ilvl w:val="1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если не сработал и маппинг, базовая общая сущность по умолчанию —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legal_concept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7DB99CB1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Важная деталь реализации.</w:t>
      </w:r>
    </w:p>
    <w:p w14:paraId="54BD38CC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При смене типа функция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сохраняет исходное текстовое описание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сущности. Это связано с тем, как LightRAG векторизует узлы: в эмбеддинг сущности идет текст вида "имя + описание", а сам тип в вектор не входит (тип сущности хранится как метаданные). Если при смене типа описание "затереть", векторное представление сущности "съедет", и поиск в окрестности начнет работать хуже, чем до оптимизации. Сохраняя описание, мы меняем тип, не затрагивая векторное представление описания.</w:t>
      </w:r>
    </w:p>
    <w:p w14:paraId="7A38C5BE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В чем польза изменения типологии, если векторы типов сущностей не влияют на работу retrieval?</w:t>
      </w:r>
    </w:p>
    <w:p w14:paraId="6F070FD8" w14:textId="77777777" w:rsidR="00FD43E9" w:rsidRPr="00FD43E9" w:rsidRDefault="00FD43E9" w:rsidP="00FD43E9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Тип сущности попадает в структурированный контекст, который передаётся LLM на этапе генерации ответа: например, модель учитывает, что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Статья 130 ГК РФ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это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legal_norm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 а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Торговый павильон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legal_object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 и, исходя из этого, точнее выстраивает reasoning (контекст становится более осмысленным).</w:t>
      </w:r>
    </w:p>
    <w:p w14:paraId="7CF7BB30" w14:textId="77777777" w:rsidR="00FD43E9" w:rsidRPr="00FD43E9" w:rsidRDefault="00FD43E9" w:rsidP="00FD43E9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Типизация даёт основу для фильтрации и визуализации (раскраска узлов по меньшему количеству типов в дашборде, отбор отдельных слоёв графа). В общем, это делает граф человекочитаемым и управляемым для аналитика.</w:t>
      </w:r>
    </w:p>
    <w:p w14:paraId="46D52C07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После обработки распределение типов становится доменно-осмысленным:</w:t>
      </w:r>
    </w:p>
    <w:p w14:paraId="357F6DAE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Ограничения при масштабировании</w:t>
      </w:r>
    </w:p>
    <w:p w14:paraId="749F7CD5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lastRenderedPageBreak/>
        <w:t>Изменение типологии в такой реализации — это экспертная доводка на эвристиках под конкретный корпус. Для исследовательского эксперимента это оправдано, но на корпусе размером в десятки тысячи документов такой подход, конечно, плохо масштабируется.</w:t>
      </w:r>
    </w:p>
    <w:p w14:paraId="2584E24E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Позволяет ли LightRAG упростить пост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noBreakHyphen/>
        <w:t>обработку внутренними инструментами, уменьшив число дефектов на этапе извлечения?</w:t>
      </w:r>
    </w:p>
    <w:p w14:paraId="75EA859A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Такие возможности есть, но и они имеют свои ограничения:</w:t>
      </w:r>
    </w:p>
    <w:p w14:paraId="411458C9" w14:textId="77777777" w:rsidR="00FD43E9" w:rsidRPr="00FD43E9" w:rsidRDefault="00FD43E9" w:rsidP="00FD43E9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Кастомная типология в entity extraction prompt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LightRAG позволяет переопределить список типов сущностей и инструкции для их распознавания на этапе извлечения (через отдельный файл промпта типов —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ENTITY_TYPE_PROMPT_FILE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). Конкретный механизм меняется от версии к версии, поэтому за актуальным способом стоит свериться с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env.example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и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release notes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репозитория фреймворка.</w:t>
      </w:r>
    </w:p>
    <w:p w14:paraId="449EE9F7" w14:textId="77777777" w:rsidR="00FD43E9" w:rsidRPr="00FD43E9" w:rsidRDefault="00FD43E9" w:rsidP="00FD43E9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Использование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более мощной и современной модели для индексации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 в эксперименте использовалась "скромная" GPT-4o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mini (рассматривали вопрос обоснования выбора модели эксперимента в </w:t>
      </w:r>
      <w:hyperlink r:id="rId5" w:history="1">
        <w:r w:rsidRPr="00FD43E9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предыдущей части</w:t>
        </w:r>
      </w:hyperlink>
      <w:r w:rsidRPr="00FD43E9">
        <w:rPr>
          <w:rFonts w:ascii="Arial" w:eastAsia="Times New Roman" w:hAnsi="Arial" w:cs="Arial"/>
          <w:color w:val="DEDEDE"/>
          <w:sz w:val="24"/>
          <w:szCs w:val="24"/>
        </w:rPr>
        <w:t> статьи).</w:t>
      </w:r>
    </w:p>
    <w:p w14:paraId="1F82857E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Однако даже мощная модель с идеальным промптом на текущий момент не позволит исключить появление ошибок в типологии на этапе индексации:</w:t>
      </w:r>
    </w:p>
    <w:p w14:paraId="6D4807AA" w14:textId="77777777" w:rsidR="00FD43E9" w:rsidRPr="00FD43E9" w:rsidRDefault="00FD43E9" w:rsidP="00FD43E9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Всегда останется (или появится в будущем) группа явлений или объектов, для которой не найдется нужный тип сущности.</w:t>
      </w:r>
    </w:p>
    <w:p w14:paraId="7F5AFD3D" w14:textId="77777777" w:rsidR="00FD43E9" w:rsidRPr="00FD43E9" w:rsidRDefault="00FD43E9" w:rsidP="00FD43E9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Границы между юридическими типами сущностей (особенно если они имеют абстрактную семантику и/или не имеют в языковом выражении определенной структуры, как, например, персоналии, суммы или даты) часто довольно "размыты" и зависят от контекста:</w:t>
      </w:r>
    </w:p>
    <w:p w14:paraId="60B2105C" w14:textId="77777777" w:rsidR="00FD43E9" w:rsidRPr="00FD43E9" w:rsidRDefault="00FD43E9" w:rsidP="00FD43E9">
      <w:pPr>
        <w:numPr>
          <w:ilvl w:val="1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Земельный участок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это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legal_object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(конкретный объект спора) или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legal_concept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(категория "недвижимая вещь")? — Ответ зависит от контекста.</w:t>
      </w:r>
    </w:p>
    <w:p w14:paraId="2A2A755C" w14:textId="77777777" w:rsidR="00FD43E9" w:rsidRPr="00FD43E9" w:rsidRDefault="00FD43E9" w:rsidP="00FD43E9">
      <w:pPr>
        <w:numPr>
          <w:ilvl w:val="1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Договор купли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noBreakHyphen/>
        <w:t>продажи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понятие или документ? — Ответ зависит от контекста.</w:t>
      </w:r>
    </w:p>
    <w:p w14:paraId="39E51F64" w14:textId="77777777" w:rsidR="00FD43E9" w:rsidRPr="00FD43E9" w:rsidRDefault="00FD43E9" w:rsidP="00FD43E9">
      <w:pPr>
        <w:numPr>
          <w:ilvl w:val="1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Самовольная постройка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понятие или объект? — Ответ зависит от контекста.</w:t>
      </w:r>
    </w:p>
    <w:p w14:paraId="25F2186B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И чем больше типов с "размытыми" границами будет получать модель, тем чаще она будет ошибаться в пограничных случаях.</w:t>
      </w:r>
    </w:p>
    <w:p w14:paraId="539F9996" w14:textId="77777777" w:rsidR="00FD43E9" w:rsidRPr="00FD43E9" w:rsidRDefault="00FD43E9" w:rsidP="00FD43E9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FD43E9">
        <w:rPr>
          <w:rFonts w:ascii="Arial" w:eastAsia="Times New Roman" w:hAnsi="Arial" w:cs="Arial"/>
          <w:color w:val="DEDEDE"/>
          <w:sz w:val="27"/>
          <w:szCs w:val="27"/>
        </w:rPr>
        <w:t>ДО и ПОСЛЕ: измеримые результаты оптимизации</w:t>
      </w:r>
    </w:p>
    <w:p w14:paraId="46D7C15C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Формулы расчета указанных метрик (характеристик) графа, а также, что они показывают — подробно разобрали в </w:t>
      </w:r>
      <w:hyperlink r:id="rId6" w:history="1">
        <w:r w:rsidRPr="00FD43E9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предыдущей части</w:t>
        </w:r>
      </w:hyperlink>
      <w:r w:rsidRPr="00FD43E9">
        <w:rPr>
          <w:rFonts w:ascii="Arial" w:eastAsia="Times New Roman" w:hAnsi="Arial" w:cs="Arial"/>
          <w:color w:val="DEDEDE"/>
          <w:sz w:val="24"/>
          <w:szCs w:val="24"/>
        </w:rPr>
        <w:t> статьи.</w:t>
      </w:r>
    </w:p>
    <w:p w14:paraId="5E21C5A7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Несколько любопытных наблюдений из этих чисел.</w:t>
      </w:r>
    </w:p>
    <w:p w14:paraId="50A892B3" w14:textId="77777777" w:rsidR="00FD43E9" w:rsidRPr="00FD43E9" w:rsidRDefault="00FD43E9" w:rsidP="00FD43E9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Изменение общего числа вершин 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(−397) в точности равно изменению числа изолированных вершин. То есть число связных вершин не изменилось, все сокращение пришлось исключительно на изолированную фракцию (дубликаты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одиночки, мусорные инициалы, посторонние сущности), тогда как связное ядро по составу вершин осталось нетронутым, а добавленные 732 ребра уплотнили связи внутри него.</w:t>
      </w:r>
    </w:p>
    <w:p w14:paraId="6E10C09B" w14:textId="77777777" w:rsidR="00FD43E9" w:rsidRPr="00FD43E9" w:rsidRDefault="00FD43E9" w:rsidP="00FD43E9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Рост средней степени вершин графа с 2,19 до 2,67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Изначально средняя степень вершин графа составляла 2,19: граф едва вышел за пределы древовидно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 xml:space="preserve">лесной структуры. Увеличение значения этого показателя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lastRenderedPageBreak/>
        <w:t>говорит о появлении и накоплении циклов. Другими словами, прирост 0.48 пунктов означает, что в графе появилось существенно больше альтернативных маршрутов между узлами.</w:t>
      </w:r>
    </w:p>
    <w:p w14:paraId="13B9E383" w14:textId="4AB176B1" w:rsidR="00FD43E9" w:rsidRPr="00FD43E9" w:rsidRDefault="00FD43E9" w:rsidP="00FD43E9">
      <w:pPr>
        <w:shd w:val="clear" w:color="auto" w:fill="171717"/>
        <w:spacing w:before="360" w:after="0" w:line="240" w:lineRule="auto"/>
        <w:ind w:left="720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Цикломатическое число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5A275824" wp14:editId="5129C683">
                <wp:extent cx="3505200" cy="152400"/>
                <wp:effectExtent l="0" t="0" r="0" b="0"/>
                <wp:docPr id="11" name="Прямокутник 11" descr="\mu = |E| - |V| + c = 6505- 4864+1066=27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052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7ACBC" id="Прямокутник 11" o:spid="_x0000_s1026" alt="\mu = |E| - |V| + c = 6505- 4864+1066=2707" style="width:276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выросло с 2047 (до оптимизации). То есть на 660 независимых циклов стало больше.</w:t>
      </w:r>
    </w:p>
    <w:p w14:paraId="5D59CCF7" w14:textId="77777777" w:rsidR="00FD43E9" w:rsidRPr="00FD43E9" w:rsidRDefault="00FD43E9" w:rsidP="00FD43E9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Доля вершин в связном ядре выросла с 64,6% до 75,7%.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Теперь три четверти всех сущностей достижимы алгоритмами обхода, и это значимо может изменить качество global-поиска, потому что система получает доступ к существенно большему объему базы знаний за один обход.</w:t>
      </w:r>
    </w:p>
    <w:p w14:paraId="5918F84B" w14:textId="77777777" w:rsidR="00FD43E9" w:rsidRPr="00FD43E9" w:rsidRDefault="00FD43E9" w:rsidP="00FD43E9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20,4% узлов графа остались изолированными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Полагаю, это не "остаточный шум", а отчасти структурное свойство выбранного корпуса, которое мы обсуждали в </w:t>
      </w:r>
      <w:hyperlink r:id="rId7" w:history="1">
        <w:r w:rsidRPr="00FD43E9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предыдущей части</w:t>
        </w:r>
      </w:hyperlink>
      <w:r w:rsidRPr="00FD43E9">
        <w:rPr>
          <w:rFonts w:ascii="Arial" w:eastAsia="Times New Roman" w:hAnsi="Arial" w:cs="Arial"/>
          <w:color w:val="DEDEDE"/>
          <w:sz w:val="24"/>
          <w:szCs w:val="24"/>
        </w:rPr>
        <w:t> статьи: при асимметричной выборке (полный текст ГК РФ против узкого тематического среза судебной практики) многие нормы кодекса (например: наследование, исключительные права, регулирование отдельных видов договоров) в наших 110 решениях о квалификации недвижимости не активируются в принципе и закономерно остаются вне ядра графа. Чтобы сократить долю изолятов ниже 20%, нужен либо более широкий и тематически сбалансированный корпус судебной практики, либо еще более глубокая пост-обработка графа, что выходит за пределы эксперимента по тестированию фреймворка.</w:t>
      </w:r>
    </w:p>
    <w:p w14:paraId="2DFA49E9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Итог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 характеристики графа значимо и измеримо улучшились по всем характеристикам.</w:t>
      </w:r>
    </w:p>
    <w:p w14:paraId="75F2425D" w14:textId="77777777" w:rsidR="00FD43E9" w:rsidRPr="00FD43E9" w:rsidRDefault="00FD43E9" w:rsidP="00FD43E9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FD43E9">
        <w:rPr>
          <w:rFonts w:ascii="Arial" w:eastAsia="Times New Roman" w:hAnsi="Arial" w:cs="Arial"/>
          <w:color w:val="DEDEDE"/>
          <w:sz w:val="27"/>
          <w:szCs w:val="27"/>
        </w:rPr>
        <w:t>Анализ узлов итогового графа: центральности и топология</w:t>
      </w:r>
    </w:p>
    <w:p w14:paraId="69E8D801" w14:textId="77777777" w:rsidR="00FD43E9" w:rsidRPr="00FD43E9" w:rsidRDefault="00FD43E9" w:rsidP="00FD43E9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Итак, граф структурно улучшился: он стал более плотным, связным и менее "шумным". Однако рассмотренные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усредненные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характеристики графа ничего не говорят нам о том, </w:t>
      </w:r>
      <w:r w:rsidRPr="00FD43E9">
        <w:rPr>
          <w:rFonts w:ascii="Arial" w:eastAsia="Times New Roman" w:hAnsi="Arial" w:cs="Arial"/>
          <w:i/>
          <w:iCs/>
          <w:color w:val="DEDEDE"/>
          <w:sz w:val="24"/>
          <w:szCs w:val="24"/>
        </w:rPr>
        <w:t>где именно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эта связность сосредоточена, и какие узлы вносят наибольший вклад в обеспечение его структуры.</w:t>
      </w:r>
    </w:p>
    <w:p w14:paraId="24B37FB2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Для ответа на эти вопросы следует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перейти от анализа графа в целом к анализу показателей индивидуального уровня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наиболее важных узлов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Здесь мы выходим за пределы классической теории графов: исследование центральности — инструмент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сетевого анализа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(network science) — прикладной междисциплинарной области, применяющей аппарат теории графов к реальным сетевым структурам — социальным, биологическим, информационным.</w:t>
      </w:r>
    </w:p>
    <w:p w14:paraId="6CC9AEC4" w14:textId="4A2A7410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Понятие центральности впервые системно формализовал в 1979 году американский социолог </w:t>
      </w:r>
      <w:hyperlink r:id="rId8" w:tgtFrame="_blank" w:history="1">
        <w:r w:rsidRPr="00FD43E9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Линтон Фримен</w:t>
        </w:r>
      </w:hyperlink>
      <w:r w:rsidRPr="00FD43E9">
        <w:rPr>
          <w:rFonts w:ascii="Arial" w:eastAsia="Times New Roman" w:hAnsi="Arial" w:cs="Arial"/>
          <w:color w:val="DEDEDE"/>
          <w:sz w:val="24"/>
          <w:szCs w:val="24"/>
        </w:rPr>
        <w:t>. Фримен показал, что "важность" узлов в графе можно измерить разными мерами и выделил три, ставшие позднее классическими: центральность по степени (degree centrality), по посредничеству (betweenness centrality) и по близости (closeness centrality). Позднее к ним добавились другие характеристики. Основные представлены на рисунке:</w:t>
      </w:r>
    </w:p>
    <w:p w14:paraId="104288E5" w14:textId="77777777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E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Обзор основных мер центральности: картинка из </w:t>
      </w:r>
      <w:hyperlink r:id="rId9" w:tgtFrame="_blank" w:history="1">
        <w:r w:rsidRPr="00FD43E9">
          <w:rPr>
            <w:rFonts w:ascii="Times New Roman" w:eastAsia="Times New Roman" w:hAnsi="Times New Roman" w:cs="Times New Roman"/>
            <w:i/>
            <w:iCs/>
            <w:color w:val="4CB6EB"/>
            <w:sz w:val="24"/>
            <w:szCs w:val="24"/>
          </w:rPr>
          <w:t>статьи</w:t>
        </w:r>
      </w:hyperlink>
    </w:p>
    <w:p w14:paraId="638A7E0C" w14:textId="77777777" w:rsidR="00FD43E9" w:rsidRPr="00FD43E9" w:rsidRDefault="00FD43E9" w:rsidP="00FD43E9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lastRenderedPageBreak/>
        <w:t>В каждом фрагменте красным выделен наиболее центральный узел согласно соответствующему типу центральности. Размер узла соответствует относительному размеру его степени.</w:t>
      </w:r>
    </w:p>
    <w:p w14:paraId="53128FCA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Обзор основных мер центральности:</w:t>
      </w:r>
    </w:p>
    <w:p w14:paraId="0A2314C6" w14:textId="77777777" w:rsidR="00FD43E9" w:rsidRPr="00FD43E9" w:rsidRDefault="00FD43E9" w:rsidP="00FD43E9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Центральность по степени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 вершина, имеющая наибольшее число связей с другими вершинами, является наиболее центральной.</w:t>
      </w:r>
    </w:p>
    <w:p w14:paraId="7EE0A1FA" w14:textId="77777777" w:rsidR="00FD43E9" w:rsidRPr="00FD43E9" w:rsidRDefault="00FD43E9" w:rsidP="00FD43E9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Центральность посредничества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 вершина, через которую проходит наибольшее число кратчайших путей, является наиболее центральной.</w:t>
      </w:r>
    </w:p>
    <w:p w14:paraId="0AB300EA" w14:textId="77777777" w:rsidR="00FD43E9" w:rsidRPr="00FD43E9" w:rsidRDefault="00FD43E9" w:rsidP="00FD43E9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Центральность по близости: 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вершина, находящаяся ближе всех к другим вершинам сети, является наиболее центральной.</w:t>
      </w:r>
    </w:p>
    <w:p w14:paraId="1036C5B0" w14:textId="77777777" w:rsidR="00FD43E9" w:rsidRPr="00FD43E9" w:rsidRDefault="00FD43E9" w:rsidP="00FD43E9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Центральности по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собственному вектору (разновидность спектральных центральностей)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учитывают "качество" связей: центральность данной вершины зависит от центральностей соседей вершины.</w:t>
      </w:r>
    </w:p>
    <w:p w14:paraId="204A98A7" w14:textId="77777777" w:rsidR="00FD43E9" w:rsidRPr="00FD43E9" w:rsidRDefault="00FD43E9" w:rsidP="00FD43E9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PageRank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разновидность центральности по собственному вектору, изначально алгоритм был разработан компанией Google для ранжирования веб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страниц; основан на модели случайного блуждания по сети.</w:t>
      </w:r>
    </w:p>
    <w:p w14:paraId="68CEFC7B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Для нашей задачи и получившегося графа достаточно двух —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центральности по степени и центральности посредничества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Остальные рассмотренные меры на неориентированном графе либо сильно коррелируют с центральностью по степени (eigenvector, PageRank), либо плохо определены на графе с большой долей изолированных вершин (closeness). Центральность посредничества оценивает узел не по числу связей, а по числу проходящих через него кратчайших путей: узел может иметь мало связей, но быть незаменимым посредником (мостом), без которого единый граф распадется на изолированные подграфы.</w:t>
      </w:r>
    </w:p>
    <w:p w14:paraId="67B8F544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Таким образом,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 выбранные центральности отвечают на два важных и разных для организации поиска вопроса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3DA611D6" w14:textId="77777777" w:rsidR="00FD43E9" w:rsidRPr="00FD43E9" w:rsidRDefault="00FD43E9" w:rsidP="00FD43E9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Степень — Какие узлы служат точками входа в граф?</w:t>
      </w:r>
    </w:p>
    <w:p w14:paraId="27071A4E" w14:textId="77777777" w:rsidR="00FD43E9" w:rsidRPr="00FD43E9" w:rsidRDefault="00FD43E9" w:rsidP="00FD43E9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Посредничество — Какие узлы служат мостами между его частями?</w:t>
      </w:r>
    </w:p>
    <w:p w14:paraId="5688FAD3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Информативным является само о себе расхождение между указанными метриками: оно указывает на узлы, чья структурная роль не сводится к простому числу связей.</w:t>
      </w:r>
    </w:p>
    <w:p w14:paraId="600B5E59" w14:textId="77777777" w:rsidR="00FD43E9" w:rsidRPr="00FD43E9" w:rsidRDefault="00FD43E9" w:rsidP="00FD43E9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Центральность по степени (degree centrality)</w:t>
      </w:r>
    </w:p>
    <w:p w14:paraId="2F2F532D" w14:textId="77777777" w:rsidR="00FD43E9" w:rsidRPr="00FD43E9" w:rsidRDefault="00FD43E9" w:rsidP="00FD43E9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Это самая базовая и прямая характеристика центральности узла: сколько связей у него относительно их максимально возможного числа:</w:t>
      </w:r>
    </w:p>
    <w:p w14:paraId="4596ACD4" w14:textId="49FCA87E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E9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6110251" wp14:editId="2A062D18">
                <wp:extent cx="1219200" cy="381000"/>
                <wp:effectExtent l="0" t="0" r="0" b="0"/>
                <wp:docPr id="9" name="Прямокутник 9" descr="C_D(v) = \frac{\deg(v)}{|V| - 1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5D742" id="Прямокутник 9" o:spid="_x0000_s1026" alt="C_D(v) = \frac{\deg(v)}{|V| - 1}" style="width:96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" filled="f" stroked="f">
                <o:lock v:ext="edit" aspectratio="t"/>
                <w10:anchorlock/>
              </v:rect>
            </w:pict>
          </mc:Fallback>
        </mc:AlternateContent>
      </w:r>
    </w:p>
    <w:p w14:paraId="407125CB" w14:textId="74FBB28E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Числитель — степень вершины (число инцидентных ребер), знаменатель — нормирующий коэффициент (максимально возможная степень в простом графе на 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7592A355" wp14:editId="0A443040">
                <wp:extent cx="152400" cy="152400"/>
                <wp:effectExtent l="0" t="0" r="0" b="0"/>
                <wp:docPr id="8" name="Прямокутник 8" descr="|V|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5CA01" id="Прямокутник 8" o:spid="_x0000_s1026" alt="|V|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вершинах). 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1590DFC7" wp14:editId="39C34A9B">
                <wp:extent cx="381000" cy="152400"/>
                <wp:effectExtent l="0" t="0" r="0" b="0"/>
                <wp:docPr id="7" name="Прямокутник 7" descr="C_D(v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81A92" id="Прямокутник 7" o:spid="_x0000_s1026" alt="C_D(v)" style="width:30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принимает значения на отрезке 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71E59E58" wp14:editId="71596BB7">
                <wp:extent cx="1219200" cy="152400"/>
                <wp:effectExtent l="0" t="0" r="0" b="0"/>
                <wp:docPr id="6" name="Прямокутник 6" descr="[0, 1]: C_D(v) =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D8673" id="Прямокутник 6" o:spid="_x0000_s1026" alt="[0, 1]: C_D(v) = 1" style="width:96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 если узел связан со всеми остальными вершинами, и 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10F899FF" wp14:editId="243768B8">
                <wp:extent cx="762000" cy="152400"/>
                <wp:effectExtent l="0" t="0" r="0" b="0"/>
                <wp:docPr id="5" name="Прямокутник 5" descr="C_D(v) =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9583C" id="Прямокутник 5" o:spid="_x0000_s1026" alt="C_D(v) = 0" style="width:60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для изолированного узла.</w:t>
      </w:r>
    </w:p>
    <w:p w14:paraId="4FC3C259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Центральные по степени узлы — это, по сути,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точки входа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для global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 xml:space="preserve">режима поиска. Когда запрос обрабатывается в этом режиме, обход графа начинается именно с этих узлов и движется от них к более частным понятиям (или конкретным делам). Соответственно, если degree centrality "забит" шумовыми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lastRenderedPageBreak/>
        <w:t>или нерелевантными домену сущностями, global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режим поиска будет работать плохо.</w:t>
      </w:r>
    </w:p>
    <w:p w14:paraId="2403B5DD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Реализация средствами NetworkX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6DE99525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Распределение центральности адекватно юридической предметной области в целом и поддомену (тематике корпуса судебных постановлений ВС РФ) — в частности.</w:t>
      </w:r>
    </w:p>
    <w:p w14:paraId="350B9F62" w14:textId="2C451FE8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Центральный узел и хаб домена —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Гражданский Кодекс РФ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(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0EC1C997" wp14:editId="0C9E3432">
                <wp:extent cx="762000" cy="152400"/>
                <wp:effectExtent l="0" t="0" r="0" b="0"/>
                <wp:docPr id="3" name="Прямокутник 3" descr="C_D \approx 0{,}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C8153" id="Прямокутник 3" o:spid="_x0000_s1026" alt="C_D \approx 0{,}30" style="width:60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): он связан почти с 30% всех узлов графа.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Земельный участок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на четвёртом месте: отражение тематики корпуса (споры о квалификации недвижимого имущества).</w:t>
      </w:r>
    </w:p>
    <w:p w14:paraId="19EE3EA8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Исследование узлов в webUI LightRAG</w:t>
      </w:r>
    </w:p>
    <w:p w14:paraId="63E67484" w14:textId="48D1DC51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0E2B8" w14:textId="77777777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E9">
        <w:rPr>
          <w:rFonts w:ascii="Times New Roman" w:eastAsia="Times New Roman" w:hAnsi="Times New Roman" w:cs="Times New Roman"/>
          <w:sz w:val="24"/>
          <w:szCs w:val="24"/>
        </w:rPr>
        <w:t>Изображение подграфа из 1000 узлов в веб-интерфейсе LightRAG</w:t>
      </w:r>
    </w:p>
    <w:p w14:paraId="71D65C7F" w14:textId="474D3D73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7620E" w14:textId="77777777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E9">
        <w:rPr>
          <w:rFonts w:ascii="Times New Roman" w:eastAsia="Times New Roman" w:hAnsi="Times New Roman" w:cs="Times New Roman"/>
          <w:sz w:val="24"/>
          <w:szCs w:val="24"/>
        </w:rPr>
        <w:t>Панель свойств узла Земельный участок в веб-интерфейсе LightRAG</w:t>
      </w:r>
    </w:p>
    <w:p w14:paraId="7B699EE8" w14:textId="77777777" w:rsidR="00FD43E9" w:rsidRPr="00FD43E9" w:rsidRDefault="00FD43E9" w:rsidP="00FD43E9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Изображение выше визуально подтверждает наблюдения из таблицы: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Земельный участок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один из центральных узлов, плотно окружен разнообразными связями, являясь, как будет показано ниже, одним из хабов в графе. Среди его соседей — статьи ГК РФ, конкретные спорные объекты (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Здание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или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Сооружение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Металлическое судно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 и стороны судебных споров (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ИП Никитина И.С.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1E0212BC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Замечание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В таблице выше у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Земельного участка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110 связей, а в веб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 LightRAG — только 62. Противоречия нет: таблица построена по полному графу из 4864 узлов, веб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 же визуализирует не весь граф, а подгруженный на экран подграф (в левом нижнем углу видно Max: 1000 — ограничение на число отображаемых узлов, и D: 3 — глубину обхода).</w:t>
      </w:r>
    </w:p>
    <w:p w14:paraId="509571DD" w14:textId="77777777" w:rsidR="00FD43E9" w:rsidRPr="00FD43E9" w:rsidRDefault="00FD43E9" w:rsidP="00FD43E9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Центральность по посредничеству (betweenness centrality)</w:t>
      </w:r>
    </w:p>
    <w:p w14:paraId="103E14A3" w14:textId="77777777" w:rsidR="00FD43E9" w:rsidRPr="00FD43E9" w:rsidRDefault="00FD43E9" w:rsidP="00FD43E9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Если центральность по степени говорит нам о том, насколько узел популярен, то центральность по посредничеству отвечает на другой вопрос — насколько узел незаменим как посредник или мост между другими узлами в графе. В основе этой меры центральности лежит предположение, что информация в сети распространяется по кратчайшим путям между вершинами, а важность узла определяется тем, сколько таких путей проходит через него.</w:t>
      </w:r>
    </w:p>
    <w:p w14:paraId="701ED005" w14:textId="77777777" w:rsidR="001E7030" w:rsidRDefault="001E7030"/>
    <w:sectPr w:rsidR="001E7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C181E"/>
    <w:multiLevelType w:val="multilevel"/>
    <w:tmpl w:val="EA60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1611B"/>
    <w:multiLevelType w:val="multilevel"/>
    <w:tmpl w:val="28849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31203"/>
    <w:multiLevelType w:val="multilevel"/>
    <w:tmpl w:val="763C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A32D8"/>
    <w:multiLevelType w:val="multilevel"/>
    <w:tmpl w:val="843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7506D"/>
    <w:multiLevelType w:val="multilevel"/>
    <w:tmpl w:val="61C8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B84581"/>
    <w:multiLevelType w:val="multilevel"/>
    <w:tmpl w:val="394C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17C3C"/>
    <w:multiLevelType w:val="multilevel"/>
    <w:tmpl w:val="9644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9A2968"/>
    <w:multiLevelType w:val="multilevel"/>
    <w:tmpl w:val="7EF4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30"/>
    <w:rsid w:val="001E1415"/>
    <w:rsid w:val="001E7030"/>
    <w:rsid w:val="00E1134F"/>
    <w:rsid w:val="00FD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A45F3"/>
  <w15:chartTrackingRefBased/>
  <w15:docId w15:val="{EBB64946-6E0D-4EFD-BF1C-546646F2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D4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D43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D43E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FD43E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D4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D43E9"/>
    <w:rPr>
      <w:b/>
      <w:bCs/>
    </w:rPr>
  </w:style>
  <w:style w:type="character" w:styleId="HTML">
    <w:name w:val="HTML Code"/>
    <w:basedOn w:val="a0"/>
    <w:uiPriority w:val="99"/>
    <w:semiHidden/>
    <w:unhideWhenUsed/>
    <w:rsid w:val="00FD43E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FD43E9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D4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D43E9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a0"/>
    <w:rsid w:val="00FD43E9"/>
  </w:style>
  <w:style w:type="character" w:customStyle="1" w:styleId="5">
    <w:name w:val="ͼ5"/>
    <w:basedOn w:val="a0"/>
    <w:rsid w:val="00FD43E9"/>
  </w:style>
  <w:style w:type="character" w:customStyle="1" w:styleId="6">
    <w:name w:val="ͼ6"/>
    <w:basedOn w:val="a0"/>
    <w:rsid w:val="00FD43E9"/>
  </w:style>
  <w:style w:type="character" w:customStyle="1" w:styleId="7">
    <w:name w:val="ͼ7"/>
    <w:basedOn w:val="a0"/>
    <w:rsid w:val="00FD43E9"/>
  </w:style>
  <w:style w:type="character" w:styleId="a6">
    <w:name w:val="Hyperlink"/>
    <w:basedOn w:val="a0"/>
    <w:uiPriority w:val="99"/>
    <w:semiHidden/>
    <w:unhideWhenUsed/>
    <w:rsid w:val="00FD43E9"/>
    <w:rPr>
      <w:color w:val="0000FF"/>
      <w:u w:val="single"/>
    </w:rPr>
  </w:style>
  <w:style w:type="character" w:customStyle="1" w:styleId="41">
    <w:name w:val="ͼ4"/>
    <w:basedOn w:val="a0"/>
    <w:rsid w:val="00FD43E9"/>
  </w:style>
  <w:style w:type="character" w:customStyle="1" w:styleId="9">
    <w:name w:val="ͼ9"/>
    <w:basedOn w:val="a0"/>
    <w:rsid w:val="00FD4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460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474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5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95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3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024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58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3961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Linton_Freem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articles/103665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1036652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abr.com/ru/articles/1036652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33968671_Application_of_Graph_Theory_for_Identifying_Connectivity_Patterns_in_Human_Brain_Networks_A_Systematic_Review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1896</Words>
  <Characters>10812</Characters>
  <Application>Microsoft Office Word</Application>
  <DocSecurity>0</DocSecurity>
  <Lines>90</Lines>
  <Paragraphs>25</Paragraphs>
  <ScaleCrop>false</ScaleCrop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4</cp:revision>
  <dcterms:created xsi:type="dcterms:W3CDTF">2026-06-17T09:20:00Z</dcterms:created>
  <dcterms:modified xsi:type="dcterms:W3CDTF">2026-06-17T10:19:00Z</dcterms:modified>
</cp:coreProperties>
</file>