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4B384" w14:textId="77777777" w:rsidR="00CD4555" w:rsidRPr="00CD4555" w:rsidRDefault="00CD4555" w:rsidP="00CD4555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Шаг 1. Extraction Pipeline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: извлечение из документов сущностей и отношений.</w:t>
      </w:r>
    </w:p>
    <w:p w14:paraId="6BD7C5B6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Документы проходят стандартную предобработку: разбивка на чанки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по умолчанию размер чанков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–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1200 токенов с перекрытием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–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100 токенов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 с последующей векторизацией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embedding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noBreakHyphen/>
        <w:t>model по умолчанию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–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BAAI/bge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noBreakHyphen/>
        <w:t>m3,1024 dim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). Полученные эмбеддинги автоматически сохраняются в Vector DB Storage.</w:t>
      </w:r>
    </w:p>
    <w:p w14:paraId="4FC8D37F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Extraction Pipeline задается на уровне системных промптов, руководствуясь которыми LLM 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по умолчанию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–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GPT-4o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noBreakHyphen/>
        <w:t>mini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), итеративно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количество итеративных проходов ограничено на уровне настроек фреймворка в целях экономии токенов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), в несколько проходов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их количество ограничено, что позволяет сэкономить, в отличие от GraphRAG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), извлекает из чанков сущности (Entities) – узлы будущего графа, и отношения (Relations) между ними – связи между сущностями, который сформируют ребра будущего графа.</w:t>
      </w:r>
    </w:p>
    <w:p w14:paraId="66669D0E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Отдельного внимания заслуживает предзаданная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типизация сущностей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. По умолчанию используется универсальный перечень из 11 категорий:</w:t>
      </w:r>
    </w:p>
    <w:p w14:paraId="09A40DD6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Person, Creature, Organization, Location, Event, Concept, Method, Content, Data, Artifact, NaturalObject</w:t>
      </w:r>
    </w:p>
    <w:p w14:paraId="75B385DC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Все, что не попало в этот список, относится к категории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Other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.</w:t>
      </w:r>
    </w:p>
    <w:p w14:paraId="03232ED4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Если вы работаете со специфическим доменом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юридический домен, как раз, относится к таковым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), можно переопределить и задать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собственную нативную таксономию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.</w:t>
      </w:r>
    </w:p>
    <w:p w14:paraId="77C82FB0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В нашем эксперименте мы пошли по компромиссному пути: использовали стандартную типологию при индексации и переопределили ее постфактум, на этапе оптимизации графа. К плюсам и минусам такого выбора вернемся в дальнейшем.</w:t>
      </w:r>
    </w:p>
    <w:p w14:paraId="55DA6761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Узлы и ребра снабжаются развернутыми текстовыми описаниями – аннотациями, являющимися результатом суммаризации исходного текста той же LLM.</w:t>
      </w:r>
    </w:p>
    <w:p w14:paraId="36BCC922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Шаг 2. LLM Profiling for Key Value Pair Generation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: профилирование сущностей и связей.</w:t>
      </w:r>
    </w:p>
    <w:p w14:paraId="037CEF7A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Для каждой извлеченной сущности и каждого отношения выполняется так называемое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профилирование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: специальная функция генерирует пару {key: value}, где:</w:t>
      </w:r>
    </w:p>
    <w:p w14:paraId="6AFBD1CA" w14:textId="77777777" w:rsidR="00CD4555" w:rsidRPr="00CD4555" w:rsidRDefault="00CD4555" w:rsidP="00CD4555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key – имя сущности или ключевые слова отношения;</w:t>
      </w:r>
    </w:p>
    <w:p w14:paraId="59AC349B" w14:textId="77777777" w:rsidR="00CD4555" w:rsidRPr="00CD4555" w:rsidRDefault="00CD4555" w:rsidP="00CD4555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value – summary, агрегирующее релевантный контекст из всех чанков, где эта сущность или отношение встречались.</w:t>
      </w:r>
    </w:p>
    <w:p w14:paraId="3E6B12D3" w14:textId="77777777" w:rsidR="00CD4555" w:rsidRPr="00CD4555" w:rsidRDefault="00CD4555" w:rsidP="00CD4555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Сущности, как правило, имеют один ключ, отношения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– несколько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 xml:space="preserve">, чтобы охватить более широкие тематические контексты, в которых данная связь 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lastRenderedPageBreak/>
        <w:t>проявляется. Это и закладывает фундамент двухуровневого поиска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см. ниже по тексту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).</w:t>
      </w:r>
    </w:p>
    <w:p w14:paraId="2CBDED70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Значения KV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пар дополнительно векторизуются. Таким образом формируется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гибридный индекс "граф + вектор"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: топология связей хранится в графе, семантика наименований и описаний – в векторном пространстве, где можно искать по смысловой близости.</w:t>
      </w:r>
    </w:p>
    <w:p w14:paraId="0D4AB1CA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Шаг 3. Дедупликация.</w:t>
      </w:r>
    </w:p>
    <w:p w14:paraId="05934C88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Явные дубликаты сущностей автоматически объединяются в единые узлы с сохранением ранее построенных отношений. С помощью LLM формируется единое подробное описание каждой сущности и каждой связи, агрегирующее информацию из всех чанков, где они встретились.</w:t>
      </w:r>
    </w:p>
    <w:p w14:paraId="7EEBAF15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Важная оговорка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: автоматическая дедупликация работает только с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явными дубликатами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– узлами с точным совпадением имен. Случаи вроде "ст. 130" и "статья 130 ГК РФ", или "ООО «Результат»" и "ооо результат", или "Civil Code" и "Гражданский кодекс РФ" LLM на этом этапе, к сожалению, пока не объединит. Этим придется заниматься на отдельном этапе оптимизации.</w:t>
      </w:r>
    </w:p>
    <w:p w14:paraId="32A8A2E1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Создание графа и финальное сохранение.</w:t>
      </w:r>
    </w:p>
    <w:p w14:paraId="0A7D5B19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После трех указанных выше шагов:</w:t>
      </w:r>
    </w:p>
    <w:p w14:paraId="061C7AE5" w14:textId="77777777" w:rsidR="00CD4555" w:rsidRPr="00CD4555" w:rsidRDefault="00CD4555" w:rsidP="00CD4555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все сущности и связи записаны в графовую базу данных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по умолчанию — NetworkX, опционально поддерживаются Neo4j, PostgreSQL, MongoDB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);</w:t>
      </w:r>
    </w:p>
    <w:p w14:paraId="0DA34822" w14:textId="77777777" w:rsidR="00CD4555" w:rsidRPr="00CD4555" w:rsidRDefault="00CD4555" w:rsidP="00CD4555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описания сущностей и связей векторизованы и сохранены в Vector DB Storage.</w:t>
      </w:r>
    </w:p>
    <w:p w14:paraId="4C1308E2" w14:textId="77777777" w:rsidR="00CD4555" w:rsidRPr="00CD4555" w:rsidRDefault="00CD4555" w:rsidP="00CD4555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Это и позволяет искать одновременно: по тексту чанков, по именам и описаниям сущностей, а также по ключевым словам и описаниям самих отношений (идея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гибридного индекса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).</w:t>
      </w:r>
    </w:p>
    <w:p w14:paraId="1148995A" w14:textId="77777777" w:rsidR="00CD4555" w:rsidRPr="00CD4555" w:rsidRDefault="00CD4555" w:rsidP="00CD4555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Поиск</w:t>
      </w:r>
    </w:p>
    <w:p w14:paraId="292FBD9B" w14:textId="118142A8" w:rsidR="00CD4555" w:rsidRPr="00CD4555" w:rsidRDefault="00CD4555" w:rsidP="00CD4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89A7B8" w14:textId="77777777" w:rsidR="00CD4555" w:rsidRPr="00CD4555" w:rsidRDefault="00CD4555" w:rsidP="00CD4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55">
        <w:rPr>
          <w:rFonts w:ascii="Times New Roman" w:eastAsia="Times New Roman" w:hAnsi="Times New Roman" w:cs="Times New Roman"/>
          <w:sz w:val="24"/>
          <w:szCs w:val="24"/>
        </w:rPr>
        <w:t xml:space="preserve">Архитектура поиска LightRAG </w:t>
      </w:r>
    </w:p>
    <w:p w14:paraId="66F41176" w14:textId="77777777" w:rsidR="00CD4555" w:rsidRPr="00CD4555" w:rsidRDefault="00CD4555" w:rsidP="00CD4555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При обработке запроса LLM выделяет из него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два набора ключевых слов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:</w:t>
      </w:r>
    </w:p>
    <w:p w14:paraId="3C4ED0FB" w14:textId="77777777" w:rsidR="00CD4555" w:rsidRPr="00CD4555" w:rsidRDefault="00CD4555" w:rsidP="00CD4555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низкоуровневые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low_level_keywords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 – конкретные именованные сущности и факты (например,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торговый павильон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ст. 130 ГК РФ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ООО Верево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);</w:t>
      </w:r>
    </w:p>
    <w:p w14:paraId="36B4035A" w14:textId="77777777" w:rsidR="00CD4555" w:rsidRPr="00CD4555" w:rsidRDefault="00CD4555" w:rsidP="00CD4555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высокоуровневые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high_level_keywords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 – обобщенные темы и концепции (например,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квалификация объекта недвижимости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вещь, судебная инстанция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).</w:t>
      </w:r>
    </w:p>
    <w:p w14:paraId="32F16931" w14:textId="77777777" w:rsidR="00CD4555" w:rsidRPr="00CD4555" w:rsidRDefault="00CD4555" w:rsidP="00CD4555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В этом суть того, что авторы называют "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dual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noBreakHyphen/>
        <w:t>level retrieval system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": система одновременно понимает,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что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спрашивает пользователь, и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о чем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этот вопрос в более широком контексте..</w:t>
      </w:r>
    </w:p>
    <w:p w14:paraId="725D39F1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Дальнейшая логика поиска зависит от выбранного режима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:</w:t>
      </w:r>
    </w:p>
    <w:tbl>
      <w:tblPr>
        <w:tblW w:w="0" w:type="dxa"/>
        <w:tblBorders>
          <w:top w:val="single" w:sz="4" w:space="0" w:color="4D4D4D"/>
          <w:left w:val="single" w:sz="4" w:space="0" w:color="4D4D4D"/>
          <w:bottom w:val="single" w:sz="4" w:space="0" w:color="4D4D4D"/>
          <w:right w:val="single" w:sz="4" w:space="0" w:color="4D4D4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5899"/>
        <w:gridCol w:w="2116"/>
      </w:tblGrid>
      <w:tr w:rsidR="00CD4555" w:rsidRPr="00CD4555" w14:paraId="168B1A07" w14:textId="77777777" w:rsidTr="00CD4555">
        <w:tc>
          <w:tcPr>
            <w:tcW w:w="1410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D84B4C7" w14:textId="77777777" w:rsidR="00CD4555" w:rsidRPr="00CD4555" w:rsidRDefault="00CD4555" w:rsidP="00CD4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Режим</w:t>
            </w:r>
          </w:p>
        </w:tc>
        <w:tc>
          <w:tcPr>
            <w:tcW w:w="706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7183B97" w14:textId="77777777" w:rsidR="00CD4555" w:rsidRPr="00CD4555" w:rsidRDefault="00CD4555" w:rsidP="00CD4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 делает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7B2EF17" w14:textId="77777777" w:rsidR="00CD4555" w:rsidRPr="00CD4555" w:rsidRDefault="00CD4555" w:rsidP="00CD4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Когда применять</w:t>
            </w:r>
          </w:p>
        </w:tc>
      </w:tr>
      <w:tr w:rsidR="00CD4555" w:rsidRPr="00CD4555" w14:paraId="675BD80E" w14:textId="77777777" w:rsidTr="00CD4555">
        <w:tc>
          <w:tcPr>
            <w:tcW w:w="1410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1723BC2" w14:textId="77777777" w:rsidR="00CD4555" w:rsidRPr="00CD4555" w:rsidRDefault="00CD4555" w:rsidP="00CD4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naive</w:t>
            </w:r>
          </w:p>
        </w:tc>
        <w:tc>
          <w:tcPr>
            <w:tcW w:w="706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466B6AAD" w14:textId="77777777" w:rsidR="00CD4555" w:rsidRPr="00CD4555" w:rsidRDefault="00CD4555" w:rsidP="00CD4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стандартный векторный поиск по чанкам, без обхода графа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1E84997" w14:textId="77777777" w:rsidR="00CD4555" w:rsidRPr="00CD4555" w:rsidRDefault="00CD4555" w:rsidP="00CD4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Baseline</w:t>
            </w:r>
          </w:p>
        </w:tc>
      </w:tr>
      <w:tr w:rsidR="00CD4555" w:rsidRPr="00CD4555" w14:paraId="5333A2D2" w14:textId="77777777" w:rsidTr="00CD4555">
        <w:tc>
          <w:tcPr>
            <w:tcW w:w="1410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497C85C0" w14:textId="77777777" w:rsidR="00CD4555" w:rsidRPr="00CD4555" w:rsidRDefault="00CD4555" w:rsidP="00CD4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local</w:t>
            </w:r>
          </w:p>
        </w:tc>
        <w:tc>
          <w:tcPr>
            <w:tcW w:w="706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4923E978" w14:textId="77777777" w:rsidR="00CD4555" w:rsidRPr="00CD4555" w:rsidRDefault="00CD4555" w:rsidP="00CD4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обход ближайшего окружения (локальный уровень) – конкретных сущностей из низкоуровневых ключей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1C08ED1" w14:textId="77777777" w:rsidR="00CD4555" w:rsidRPr="00CD4555" w:rsidRDefault="00CD4555" w:rsidP="00CD4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точечные фактологические вопросы</w:t>
            </w:r>
          </w:p>
        </w:tc>
      </w:tr>
      <w:tr w:rsidR="00CD4555" w:rsidRPr="00CD4555" w14:paraId="6803C49F" w14:textId="77777777" w:rsidTr="00CD4555">
        <w:tc>
          <w:tcPr>
            <w:tcW w:w="1410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EFA2349" w14:textId="77777777" w:rsidR="00CD4555" w:rsidRPr="00CD4555" w:rsidRDefault="00CD4555" w:rsidP="00CD4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global</w:t>
            </w:r>
          </w:p>
        </w:tc>
        <w:tc>
          <w:tcPr>
            <w:tcW w:w="706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D28A5EC" w14:textId="77777777" w:rsidR="00CD4555" w:rsidRPr="00CD4555" w:rsidRDefault="00CD4555" w:rsidP="00CD4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"высокоуровневый" поиск по всему графу: обход по общим концепциям и отношениям, связанным в кластеры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B72390E" w14:textId="77777777" w:rsidR="00CD4555" w:rsidRPr="00CD4555" w:rsidRDefault="00CD4555" w:rsidP="00CD4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аналитические и обобщающие запросы</w:t>
            </w:r>
          </w:p>
        </w:tc>
      </w:tr>
      <w:tr w:rsidR="00CD4555" w:rsidRPr="00CD4555" w14:paraId="214158A9" w14:textId="77777777" w:rsidTr="00CD4555">
        <w:tc>
          <w:tcPr>
            <w:tcW w:w="1410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39AEF62" w14:textId="77777777" w:rsidR="00CD4555" w:rsidRPr="00CD4555" w:rsidRDefault="00CD4555" w:rsidP="00CD4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hybrid</w:t>
            </w:r>
          </w:p>
        </w:tc>
        <w:tc>
          <w:tcPr>
            <w:tcW w:w="706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9DE8AD3" w14:textId="77777777" w:rsidR="00CD4555" w:rsidRPr="00CD4555" w:rsidRDefault="00CD4555" w:rsidP="00CD4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объединение </w:t>
            </w:r>
            <w:r w:rsidRPr="00CD4555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 xml:space="preserve">local </w:t>
            </w: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и </w:t>
            </w:r>
            <w:r w:rsidRPr="00CD4555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global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9807CD3" w14:textId="77777777" w:rsidR="00CD4555" w:rsidRPr="00CD4555" w:rsidRDefault="00CD4555" w:rsidP="00CD4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многоаспектные сложные вопросы</w:t>
            </w:r>
          </w:p>
        </w:tc>
      </w:tr>
      <w:tr w:rsidR="00CD4555" w:rsidRPr="00CD4555" w14:paraId="1C5404B4" w14:textId="77777777" w:rsidTr="00CD4555">
        <w:tc>
          <w:tcPr>
            <w:tcW w:w="1410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2F31319" w14:textId="77777777" w:rsidR="00CD4555" w:rsidRPr="00CD4555" w:rsidRDefault="00CD4555" w:rsidP="00CD4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mix</w:t>
            </w:r>
          </w:p>
        </w:tc>
        <w:tc>
          <w:tcPr>
            <w:tcW w:w="706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2309FC5" w14:textId="77777777" w:rsidR="00CD4555" w:rsidRPr="00CD4555" w:rsidRDefault="00CD4555" w:rsidP="00CD4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интеграция полного графового поиска (</w:t>
            </w:r>
            <w:r w:rsidRPr="00CD4555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hybrid</w:t>
            </w: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) с векторным поиском по чанкам с последующим взвешенным слиянием результатов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E6DFB71" w14:textId="77777777" w:rsidR="00CD4555" w:rsidRPr="00CD4555" w:rsidRDefault="00CD4555" w:rsidP="00CD4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наиболее полный режим</w:t>
            </w:r>
          </w:p>
        </w:tc>
      </w:tr>
    </w:tbl>
    <w:p w14:paraId="5E454162" w14:textId="77777777" w:rsidR="00CD4555" w:rsidRPr="00CD4555" w:rsidRDefault="00CD4555" w:rsidP="00CD4555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В наиболее полном режиме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mix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фактически выполняются три параллельных процесса: обход графа от выявленных конкретных сущностей, обход от связанных концептов и стандартный векторный поиск по чанкам. Полученные результаты объединяются в единый контекст, передаваемый LLM для генерации ответа.</w:t>
      </w:r>
    </w:p>
    <w:p w14:paraId="21EA3E32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Поддержка инкрементальных обновлений графа</w:t>
      </w:r>
    </w:p>
    <w:p w14:paraId="3260C5BA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Отдельно стоит выделить алгоритм инкрементального обновления базы знаний. Новые документы добавляются в существующий граф без полной переиндексации, что очень важно при работе с регулярно обновляемым корпусами юридических текстов.</w:t>
      </w:r>
    </w:p>
    <w:p w14:paraId="458E47F0" w14:textId="77777777" w:rsidR="00CD4555" w:rsidRPr="00CD4555" w:rsidRDefault="00CD4555" w:rsidP="00CD4555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Демо для закрепления</w:t>
      </w:r>
    </w:p>
    <w:p w14:paraId="7E6A9415" w14:textId="77777777" w:rsidR="00CD4555" w:rsidRPr="00CD4555" w:rsidRDefault="00CD4555" w:rsidP="00CD4555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Команда блога </w:t>
      </w:r>
      <w:hyperlink r:id="rId5" w:tgtFrame="_blank" w:history="1">
        <w:r w:rsidRPr="00CD4555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LearnOpenCV</w:t>
        </w:r>
      </w:hyperlink>
      <w:r w:rsidRPr="00CD4555">
        <w:rPr>
          <w:rFonts w:ascii="Arial" w:eastAsia="Times New Roman" w:hAnsi="Arial" w:cs="Arial"/>
          <w:color w:val="DEDEDE"/>
          <w:sz w:val="24"/>
          <w:szCs w:val="24"/>
        </w:rPr>
        <w:t>, сделавшая, на мой взгляд, один из лучших англоязычных разборов фреймворка, подготовила краткую визуальную демонстрацию работы пайплайна, как раз на юридическом корпусе:</w:t>
      </w:r>
    </w:p>
    <w:p w14:paraId="59BFD7EC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Segoe UI Emoji" w:eastAsia="Times New Roman" w:hAnsi="Segoe UI Emoji" w:cs="Segoe UI Emoji"/>
          <w:color w:val="DEDEDE"/>
          <w:sz w:val="24"/>
          <w:szCs w:val="24"/>
        </w:rPr>
        <w:t>📺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</w:t>
      </w:r>
      <w:hyperlink r:id="rId6" w:tgtFrame="_blank" w:history="1">
        <w:r w:rsidRPr="00CD4555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LightRAG Workflow: Legal Doc Analysis, Graph Indexing, Dual</w:t>
        </w:r>
        <w:r w:rsidRPr="00CD4555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noBreakHyphen/>
          <w:t>Level Retrieval</w:t>
        </w:r>
      </w:hyperlink>
    </w:p>
    <w:p w14:paraId="2FCB60F6" w14:textId="77777777" w:rsidR="00CD4555" w:rsidRPr="00CD4555" w:rsidRDefault="00CD4555" w:rsidP="00CD4555">
      <w:pPr>
        <w:shd w:val="clear" w:color="auto" w:fill="171717"/>
        <w:spacing w:before="480" w:after="0" w:line="240" w:lineRule="auto"/>
        <w:outlineLvl w:val="2"/>
        <w:rPr>
          <w:rFonts w:ascii="Arial" w:eastAsia="Times New Roman" w:hAnsi="Arial" w:cs="Arial"/>
          <w:color w:val="DEDEDE"/>
          <w:sz w:val="27"/>
          <w:szCs w:val="27"/>
        </w:rPr>
      </w:pPr>
      <w:r w:rsidRPr="00CD4555">
        <w:rPr>
          <w:rFonts w:ascii="Arial" w:eastAsia="Times New Roman" w:hAnsi="Arial" w:cs="Arial"/>
          <w:color w:val="DEDEDE"/>
          <w:sz w:val="27"/>
          <w:szCs w:val="27"/>
        </w:rPr>
        <w:t>Развертывание LightRAG</w:t>
      </w:r>
    </w:p>
    <w:p w14:paraId="28538A3F" w14:textId="77777777" w:rsidR="00CD4555" w:rsidRPr="00CD4555" w:rsidRDefault="00CD4555" w:rsidP="00CD4555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Для большинства доменов и значительной доли практических несложных задач LightRAG можно запустить сходу, с минимальными конфигурационными настройками, задав переменные окружения в.env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файле.</w:t>
      </w:r>
    </w:p>
    <w:p w14:paraId="27EB544D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Фреймворк поставляется с Docker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образом и готовым docker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compose.yml, который описывает, как одновременно запустить все нужные компоненты системы: сам сервер LightRAG, его веб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 xml:space="preserve">интерфейс, REST API для программного 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lastRenderedPageBreak/>
        <w:t>доступа и опционально, если требуется масштабируемое решение в production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сценариях — внешние базы данных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Neo4j для графа, PostgreSQL с расширением pgvector для эмбеддингов; Milvus, FAISS или другую векторную БД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).</w:t>
      </w:r>
    </w:p>
    <w:p w14:paraId="0A0DD768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Для того, чтобы потестить систему эти внешние базы можно не подключать вовсе: LightRAG по умолчанию использует встроенные легковесные хранилища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NetworkX для графа, NanoVectorDB для векторов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), которых достаточно для прототипирования и работы с небольшими корпусами.</w:t>
      </w:r>
    </w:p>
    <w:p w14:paraId="500D648E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Веб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интерфейс LightRAG закрывает основные пользовательские сценарии: загрузку документов и мониторинг их обработки, визуализацию графа знаний, а также выполнение запросов с выбором режима поиска.</w:t>
      </w:r>
    </w:p>
    <w:p w14:paraId="2CD78922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Минимальные требования:</w:t>
      </w:r>
    </w:p>
    <w:tbl>
      <w:tblPr>
        <w:tblW w:w="0" w:type="dxa"/>
        <w:tblBorders>
          <w:top w:val="single" w:sz="4" w:space="0" w:color="4D4D4D"/>
          <w:left w:val="single" w:sz="4" w:space="0" w:color="4D4D4D"/>
          <w:bottom w:val="single" w:sz="4" w:space="0" w:color="4D4D4D"/>
          <w:right w:val="single" w:sz="4" w:space="0" w:color="4D4D4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4365"/>
        <w:gridCol w:w="1982"/>
      </w:tblGrid>
      <w:tr w:rsidR="00CD4555" w:rsidRPr="00CD4555" w14:paraId="57D749BB" w14:textId="77777777" w:rsidTr="00CD4555">
        <w:tc>
          <w:tcPr>
            <w:tcW w:w="253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3B4A641" w14:textId="77777777" w:rsidR="00CD4555" w:rsidRPr="00CD4555" w:rsidRDefault="00CD4555" w:rsidP="00CD4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436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45B01B4" w14:textId="77777777" w:rsidR="00CD4555" w:rsidRPr="00CD4555" w:rsidRDefault="00CD4555" w:rsidP="00CD4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Минимум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25D140E" w14:textId="77777777" w:rsidR="00CD4555" w:rsidRPr="00CD4555" w:rsidRDefault="00CD4555" w:rsidP="00CD4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Рекомендуется</w:t>
            </w:r>
          </w:p>
        </w:tc>
      </w:tr>
      <w:tr w:rsidR="00CD4555" w:rsidRPr="00CD4555" w14:paraId="79F4AAE0" w14:textId="77777777" w:rsidTr="00CD4555">
        <w:tc>
          <w:tcPr>
            <w:tcW w:w="253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934734E" w14:textId="77777777" w:rsidR="00CD4555" w:rsidRPr="00CD4555" w:rsidRDefault="00CD4555" w:rsidP="00CD4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CPU</w:t>
            </w:r>
          </w:p>
        </w:tc>
        <w:tc>
          <w:tcPr>
            <w:tcW w:w="436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C387883" w14:textId="77777777" w:rsidR="00CD4555" w:rsidRPr="00CD4555" w:rsidRDefault="00CD4555" w:rsidP="00CD4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4 ядра (i5 / Ryzen 5)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4D74191F" w14:textId="77777777" w:rsidR="00CD4555" w:rsidRPr="00CD4555" w:rsidRDefault="00CD4555" w:rsidP="00CD4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8+ ядер</w:t>
            </w:r>
          </w:p>
        </w:tc>
      </w:tr>
      <w:tr w:rsidR="00CD4555" w:rsidRPr="00CD4555" w14:paraId="546441E1" w14:textId="77777777" w:rsidTr="00CD4555">
        <w:tc>
          <w:tcPr>
            <w:tcW w:w="253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A4C53CE" w14:textId="77777777" w:rsidR="00CD4555" w:rsidRPr="00CD4555" w:rsidRDefault="00CD4555" w:rsidP="00CD4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436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D37C634" w14:textId="77777777" w:rsidR="00CD4555" w:rsidRPr="00CD4555" w:rsidRDefault="00CD4555" w:rsidP="00CD4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8 GB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FBB6D7D" w14:textId="77777777" w:rsidR="00CD4555" w:rsidRPr="00CD4555" w:rsidRDefault="00CD4555" w:rsidP="00CD4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16+ GB</w:t>
            </w:r>
          </w:p>
        </w:tc>
      </w:tr>
      <w:tr w:rsidR="00CD4555" w:rsidRPr="00CD4555" w14:paraId="08A28BD5" w14:textId="77777777" w:rsidTr="00CD4555">
        <w:tc>
          <w:tcPr>
            <w:tcW w:w="253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5403D1E" w14:textId="77777777" w:rsidR="00CD4555" w:rsidRPr="00CD4555" w:rsidRDefault="00CD4555" w:rsidP="00CD4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Диск</w:t>
            </w:r>
          </w:p>
        </w:tc>
        <w:tc>
          <w:tcPr>
            <w:tcW w:w="436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C755C5A" w14:textId="77777777" w:rsidR="00CD4555" w:rsidRPr="00CD4555" w:rsidRDefault="00CD4555" w:rsidP="00CD4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10 GB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D64A1DE" w14:textId="77777777" w:rsidR="00CD4555" w:rsidRPr="00CD4555" w:rsidRDefault="00CD4555" w:rsidP="00CD4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50+ GB SSD</w:t>
            </w:r>
          </w:p>
        </w:tc>
      </w:tr>
    </w:tbl>
    <w:p w14:paraId="5EDB171C" w14:textId="77777777" w:rsidR="00CD4555" w:rsidRPr="00CD4555" w:rsidRDefault="00CD4555" w:rsidP="00CD4555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В общем, подойдет любой современный бюджетный VPS сервер, в качестве базовой LLM предлагается использовать GPT-4o-mini.</w:t>
      </w:r>
    </w:p>
    <w:p w14:paraId="161277DF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Поддержка Ollama</w:t>
      </w:r>
    </w:p>
    <w:p w14:paraId="5D8D72A9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Ollama позволяет работать с локальными LLM без отправки данных во внешние API. Эта опция особенно актуальна для тех, кому важна конфиденциальность. Например, при работе с юридическими или медицинскими документами.</w:t>
      </w:r>
    </w:p>
    <w:p w14:paraId="1674B6A2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Переключение задается одной переменной в .env (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LLM_BINDING=ollama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плюс адрес локального сервера Ollama и название модели). Аналогично можно настроить локальный эмбеддер.</w:t>
      </w:r>
    </w:p>
    <w:p w14:paraId="168F1449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Здесь не буду останавливаться подробно, так как это отдельный пласт, со своими нюансами выбора модели под доступную видеопамять, оптимизации скорости и качества извлечения сущностей.</w:t>
      </w:r>
    </w:p>
    <w:p w14:paraId="0A09E72D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Важно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лишь упомянуть один практический и экономически значимый нюанс: для качественного извлечения сущностей графа авторы LightRAG рекомендуют LLM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не менее 32B параметров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с контекстом ≥ 32K токенов. Это означает, что для серьезной работы с Ollama понадобится видеокарта уровня NVIDIA RTX 4090 (24 ГБ VRAM) или кластер с нескольким GPU попроще.</w:t>
      </w:r>
    </w:p>
    <w:p w14:paraId="38F654BB" w14:textId="77777777" w:rsidR="00CD4555" w:rsidRPr="00CD4555" w:rsidRDefault="00CD4555" w:rsidP="00CD4555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Три оперативных сценария развертывания</w:t>
      </w:r>
    </w:p>
    <w:p w14:paraId="5D1D6A4A" w14:textId="77777777" w:rsidR="00CD4555" w:rsidRPr="00CD4555" w:rsidRDefault="00CD4555" w:rsidP="00CD4555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1. 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Локально</w:t>
      </w:r>
    </w:p>
    <w:p w14:paraId="4C83895A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lastRenderedPageBreak/>
        <w:t>Чтобы протестировать фреймворк локально, без написания кода и без каких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либо доработок, кроме.env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файла с базовыми настройками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выбор LLM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noBreakHyphen/>
        <w:t>провайдера, API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noBreakHyphen/>
        <w:t>ключи к LLM и эмбеддеру, при желании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–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параметры чанкинга и хранилищ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), достаточно выполнить в терминале следующую последовательность команд:</w:t>
      </w:r>
    </w:p>
    <w:p w14:paraId="24E09E87" w14:textId="77777777" w:rsidR="00CD4555" w:rsidRPr="00CD4555" w:rsidRDefault="00CD4555" w:rsidP="00CD4555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Для выполнения этих команд требуется </w:t>
      </w:r>
      <w:hyperlink r:id="rId7" w:tgtFrame="_blank" w:history="1">
        <w:r w:rsidRPr="00CD4555">
          <w:rPr>
            <w:rFonts w:ascii="Arial" w:eastAsia="Times New Roman" w:hAnsi="Arial" w:cs="Arial"/>
            <w:i/>
            <w:iCs/>
            <w:color w:val="4CB6EB"/>
            <w:sz w:val="24"/>
            <w:szCs w:val="24"/>
          </w:rPr>
          <w:t>Docker Desktop</w:t>
        </w:r>
      </w:hyperlink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 (Windows/macOS) или Docker Engine (Linux).</w:t>
      </w:r>
    </w:p>
    <w:p w14:paraId="582E580A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После этого по адресу </w:t>
      </w:r>
      <w:hyperlink r:id="rId8" w:tgtFrame="_blank" w:history="1">
        <w:r w:rsidRPr="00CD4555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http://localhost:9621/webui/</w:t>
        </w:r>
      </w:hyperlink>
      <w:r w:rsidRPr="00CD4555">
        <w:rPr>
          <w:rFonts w:ascii="Arial" w:eastAsia="Times New Roman" w:hAnsi="Arial" w:cs="Arial"/>
          <w:color w:val="DEDEDE"/>
          <w:sz w:val="24"/>
          <w:szCs w:val="24"/>
        </w:rPr>
        <w:t> открывается полноценный веб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интерфейс. Подходит для прототипирования и работы с небольшими корпусами.</w:t>
      </w:r>
    </w:p>
    <w:p w14:paraId="04F45DEA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2. 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Удаленный сервер через Docker</w:t>
      </w:r>
    </w:p>
    <w:p w14:paraId="2DC38B2A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Логика та же, что и при локальном запуске, только команды выполняются не на вашем ноутбуке, а на удаленной машине через SSH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сессию.</w:t>
      </w:r>
    </w:p>
    <w:p w14:paraId="41BE83BA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Здесь уже, конечно, потребуется дополнительно поработать с сетевыми настройками сервера и параметрами доступа, чтобы запущенный сервис (LightRAG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инстанс) был доступен извне и при этом защищен от посторонних, а это уже задача базового системного администрирования.</w:t>
      </w:r>
    </w:p>
    <w:p w14:paraId="44D05C9F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3. 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Через self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noBreakHyphen/>
        <w:t>hosted PaaS</w:t>
      </w:r>
    </w:p>
    <w:p w14:paraId="087E28BD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Если не хочется заниматься системным администрированием и возиться с терминалом, можно развернуть с помощью self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hosted PaaS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Platform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noBreakHyphen/>
        <w:t>as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noBreakHyphen/>
        <w:t>a-Service)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 например, </w:t>
      </w:r>
      <w:hyperlink r:id="rId9" w:tgtFrame="_blank" w:history="1">
        <w:r w:rsidRPr="00CD4555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Dokploy</w:t>
        </w:r>
      </w:hyperlink>
      <w:r w:rsidRPr="00CD4555">
        <w:rPr>
          <w:rFonts w:ascii="Arial" w:eastAsia="Times New Roman" w:hAnsi="Arial" w:cs="Arial"/>
          <w:color w:val="DEDEDE"/>
          <w:sz w:val="24"/>
          <w:szCs w:val="24"/>
        </w:rPr>
        <w:t>.</w:t>
      </w:r>
    </w:p>
    <w:p w14:paraId="6AEDA07E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После установки такой платформы на свой сервер все управление идет через веб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интерфейс в браузере.</w:t>
      </w:r>
    </w:p>
    <w:p w14:paraId="3932E6B4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Упрощенно сценарий развертки выглядит так:</w:t>
      </w:r>
    </w:p>
    <w:p w14:paraId="70C954A4" w14:textId="77777777" w:rsidR="00CD4555" w:rsidRPr="00CD4555" w:rsidRDefault="00CD4555" w:rsidP="00CD4555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В панели Dokploy подключить GitHub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репозиторий LightRAG (просто вставить ссылку </w:t>
      </w:r>
      <w:hyperlink r:id="rId10" w:tgtFrame="_blank" w:history="1">
        <w:r w:rsidRPr="00CD4555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https://github.com/HKUDS/LightRAG</w:t>
        </w:r>
      </w:hyperlink>
      <w:r w:rsidRPr="00CD4555">
        <w:rPr>
          <w:rFonts w:ascii="Arial" w:eastAsia="Times New Roman" w:hAnsi="Arial" w:cs="Arial"/>
          <w:color w:val="DEDEDE"/>
          <w:sz w:val="24"/>
          <w:szCs w:val="24"/>
        </w:rPr>
        <w:t>).</w:t>
      </w:r>
    </w:p>
    <w:p w14:paraId="76C0FBD4" w14:textId="77777777" w:rsidR="00CD4555" w:rsidRPr="00CD4555" w:rsidRDefault="00CD4555" w:rsidP="00CD4555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Заполнить переменные окружения через веб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интерфейс (а не в «сыром».env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файле).</w:t>
      </w:r>
    </w:p>
    <w:p w14:paraId="6489F5B7" w14:textId="77777777" w:rsidR="00CD4555" w:rsidRPr="00CD4555" w:rsidRDefault="00CD4555" w:rsidP="00CD4555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Указать свой домен.</w:t>
      </w:r>
    </w:p>
    <w:p w14:paraId="1BA45782" w14:textId="77777777" w:rsidR="00CD4555" w:rsidRPr="00CD4555" w:rsidRDefault="00CD4555" w:rsidP="00CD4555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Нажать Deploy.</w:t>
      </w:r>
    </w:p>
    <w:p w14:paraId="0ABDCA88" w14:textId="77777777" w:rsidR="00CD4555" w:rsidRPr="00CD4555" w:rsidRDefault="00CD4555" w:rsidP="00CD4555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Логика та же, что и при локальном запуске, только команды выполняются не на вашем ноутбуке, а на удаленной машине через SSH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сессию.</w:t>
      </w:r>
    </w:p>
    <w:p w14:paraId="2E0F6EA4" w14:textId="77777777" w:rsidR="00CD4555" w:rsidRPr="00CD4555" w:rsidRDefault="00CD4555" w:rsidP="00CD4555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WebUI</w:t>
      </w:r>
    </w:p>
    <w:p w14:paraId="21145C00" w14:textId="77777777" w:rsidR="00CD4555" w:rsidRPr="00CD4555" w:rsidRDefault="00CD4555" w:rsidP="00CD4555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После развертки можно сразу использовать интуитивно понятный веб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интерфейс.</w:t>
      </w:r>
    </w:p>
    <w:p w14:paraId="251A3E59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WebUI содержит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четыре вкладки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:</w:t>
      </w:r>
    </w:p>
    <w:p w14:paraId="7AD6A7B5" w14:textId="77777777" w:rsidR="00CD4555" w:rsidRPr="00CD4555" w:rsidRDefault="00CD4555" w:rsidP="00CD4555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Documents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– управление документами;</w:t>
      </w:r>
    </w:p>
    <w:p w14:paraId="17ECC09E" w14:textId="77777777" w:rsidR="00CD4555" w:rsidRPr="00CD4555" w:rsidRDefault="00CD4555" w:rsidP="00CD4555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lastRenderedPageBreak/>
        <w:t>Knowledge Graph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– интерактивная визуализация графа знаний с фильтрами по типам сущностей, поиском по именам узлов, отображением свойств;</w:t>
      </w:r>
    </w:p>
    <w:p w14:paraId="70A63C98" w14:textId="77777777" w:rsidR="00CD4555" w:rsidRPr="00CD4555" w:rsidRDefault="00CD4555" w:rsidP="00CD4555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Retrieval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– собственно, чат с выбором режима поиска (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 xml:space="preserve">local 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/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 xml:space="preserve">global 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/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 xml:space="preserve">hybrid 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/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 xml:space="preserve">naive 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/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mix )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 настройкой параметров (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top_k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chunk_top_k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max_total_tokens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), возможностью включения реранкера, передачей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 xml:space="preserve">user_prompt 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для управления стилем ответа;</w:t>
      </w:r>
    </w:p>
    <w:p w14:paraId="346F9333" w14:textId="77777777" w:rsidR="00CD4555" w:rsidRPr="00CD4555" w:rsidRDefault="00CD4555" w:rsidP="00CD4555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API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– автоматически генерируемая интерактивная документация (Swagger UI) всех REST-эндпоинтов сервера. В браузере видно, какие запросы поддерживает LightRAG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загрузка документов, поиск, выгрузка графа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), какие параметры они принимают.</w:t>
      </w:r>
    </w:p>
    <w:p w14:paraId="376EC84C" w14:textId="5C53AF84" w:rsidR="00CD4555" w:rsidRPr="00CD4555" w:rsidRDefault="00CD4555" w:rsidP="00CD4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06CB00" w14:textId="77777777" w:rsidR="00CD4555" w:rsidRPr="00CD4555" w:rsidRDefault="00CD4555" w:rsidP="00CD4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55">
        <w:rPr>
          <w:rFonts w:ascii="Times New Roman" w:eastAsia="Times New Roman" w:hAnsi="Times New Roman" w:cs="Times New Roman"/>
          <w:sz w:val="24"/>
          <w:szCs w:val="24"/>
        </w:rPr>
        <w:t xml:space="preserve">пример того, как может выглядеть вкладка </w:t>
      </w:r>
      <w:r w:rsidRPr="00CD4555">
        <w:rPr>
          <w:rFonts w:ascii="Times New Roman" w:eastAsia="Times New Roman" w:hAnsi="Times New Roman" w:cs="Times New Roman"/>
          <w:b/>
          <w:bCs/>
          <w:sz w:val="24"/>
          <w:szCs w:val="24"/>
        </w:rPr>
        <w:t>Documents</w:t>
      </w:r>
    </w:p>
    <w:p w14:paraId="0FA68C1B" w14:textId="65788A04" w:rsidR="00CD4555" w:rsidRPr="00CD4555" w:rsidRDefault="00CD4555" w:rsidP="00CD4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5997C4" w14:textId="77777777" w:rsidR="00CD4555" w:rsidRPr="00CD4555" w:rsidRDefault="00CD4555" w:rsidP="00CD4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55">
        <w:rPr>
          <w:rFonts w:ascii="Times New Roman" w:eastAsia="Times New Roman" w:hAnsi="Times New Roman" w:cs="Times New Roman"/>
          <w:sz w:val="24"/>
          <w:szCs w:val="24"/>
        </w:rPr>
        <w:t xml:space="preserve">пример того, как может выглядеть граф во вкладке </w:t>
      </w:r>
      <w:r w:rsidRPr="00CD4555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Graph</w:t>
      </w:r>
    </w:p>
    <w:p w14:paraId="1F1FF746" w14:textId="77777777" w:rsidR="00CD4555" w:rsidRPr="00CD4555" w:rsidRDefault="00CD4555" w:rsidP="00CD4555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Ограниченность "коробочных" решений</w:t>
      </w:r>
    </w:p>
    <w:p w14:paraId="285DED55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Ограниченность вытекает из самой природы "коробочного" подхода, особенно когда система изначально не была "заточена" под специфику конкретного домена.</w:t>
      </w:r>
    </w:p>
    <w:p w14:paraId="3666927F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Рабочий LightRAG-инстанс с дефолтными промптами, дефолтной типологией сущностей и декларативной настройкой через .env, WebUI и REST API не может стать антихрупким решением в любом домене.</w:t>
      </w:r>
    </w:p>
    <w:p w14:paraId="180EE9F5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В общем, как показал наш эксперимент на реальных "юридических" данных, без программирования и понимания домена все еще не обойтись :)</w:t>
      </w:r>
    </w:p>
    <w:p w14:paraId="0F320AFD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Об этом – в следующем разделе.</w:t>
      </w:r>
    </w:p>
    <w:p w14:paraId="0DDC3B1E" w14:textId="77777777" w:rsidR="00CD4555" w:rsidRPr="00CD4555" w:rsidRDefault="00CD4555" w:rsidP="00CD4555">
      <w:pPr>
        <w:shd w:val="clear" w:color="auto" w:fill="171717"/>
        <w:spacing w:before="480" w:after="0" w:line="240" w:lineRule="auto"/>
        <w:outlineLvl w:val="2"/>
        <w:rPr>
          <w:rFonts w:ascii="Arial" w:eastAsia="Times New Roman" w:hAnsi="Arial" w:cs="Arial"/>
          <w:color w:val="DEDEDE"/>
          <w:sz w:val="27"/>
          <w:szCs w:val="27"/>
        </w:rPr>
      </w:pPr>
      <w:r w:rsidRPr="00CD4555">
        <w:rPr>
          <w:rFonts w:ascii="Arial" w:eastAsia="Times New Roman" w:hAnsi="Arial" w:cs="Arial"/>
          <w:color w:val="DEDEDE"/>
          <w:sz w:val="27"/>
          <w:szCs w:val="27"/>
        </w:rPr>
        <w:t>Эксперимент</w:t>
      </w:r>
    </w:p>
    <w:p w14:paraId="54D4B202" w14:textId="77777777" w:rsidR="00CD4555" w:rsidRPr="00CD4555" w:rsidRDefault="00CD4555" w:rsidP="00CD4555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Цель эксперимента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– обзорно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исследовательская.</w:t>
      </w:r>
    </w:p>
    <w:p w14:paraId="7EBDD4D5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Раскладывается на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две практические задачи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:</w:t>
      </w:r>
    </w:p>
    <w:p w14:paraId="539AF4FA" w14:textId="77777777" w:rsidR="00CD4555" w:rsidRPr="00CD4555" w:rsidRDefault="00CD4555" w:rsidP="00CD4555">
      <w:pPr>
        <w:numPr>
          <w:ilvl w:val="0"/>
          <w:numId w:val="6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Протестировать запуск фреймворка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на дефолтных параметрах с теми же данными, что использовались в предыдущем эксперименте.</w:t>
      </w:r>
    </w:p>
    <w:p w14:paraId="7AB4EF90" w14:textId="77777777" w:rsidR="00CD4555" w:rsidRPr="00CD4555" w:rsidRDefault="00CD4555" w:rsidP="00CD4555">
      <w:pPr>
        <w:numPr>
          <w:ilvl w:val="0"/>
          <w:numId w:val="6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Понять, на каких реальных задачах юридического домена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граф знаний дает не просто прирост качества по сравнению с векторным RAG, а,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в принципе, позволяет их решать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 то есть где ограничения векторного RAG принципиальны.</w:t>
      </w:r>
    </w:p>
    <w:p w14:paraId="0A5751DD" w14:textId="77777777" w:rsidR="00CD4555" w:rsidRPr="00CD4555" w:rsidRDefault="00CD4555" w:rsidP="00CD4555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Здесь же стоит обозначить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две методологические рамки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 в которые пришлось вписаться, чтобы сравнение чисто векторной и векторно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графовой систем было корректным.</w:t>
      </w:r>
    </w:p>
    <w:p w14:paraId="52EC4A26" w14:textId="77777777" w:rsidR="00CD4555" w:rsidRPr="00CD4555" w:rsidRDefault="00CD4555" w:rsidP="00CD4555">
      <w:pPr>
        <w:numPr>
          <w:ilvl w:val="0"/>
          <w:numId w:val="7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LightRAG не интегрирован в инфраструктуру LangChain. 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Ensemble Vector RAG из статьи </w:t>
      </w:r>
      <w:hyperlink r:id="rId11" w:history="1">
        <w:r w:rsidRPr="00CD4555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Law &amp; Practice Ensemble RAG. Как создать ассистента, помогающего решать многоаспектные юридические задачи</w:t>
        </w:r>
      </w:hyperlink>
      <w:r w:rsidRPr="00CD4555">
        <w:rPr>
          <w:rFonts w:ascii="Arial" w:eastAsia="Times New Roman" w:hAnsi="Arial" w:cs="Arial"/>
          <w:color w:val="DEDEDE"/>
          <w:sz w:val="24"/>
          <w:szCs w:val="24"/>
        </w:rPr>
        <w:t> был построен именно вокруг LangChain, что давало ряд возможностей по гибкой настройке пайплайна «из коробки».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br/>
        <w:t xml:space="preserve">В LightRAG же системе передается сам вопрос пользователя и небольшой 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lastRenderedPageBreak/>
        <w:t>объект настроек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режим поиска, число извлекаемых сущностей и чанков, бюджет контекста, опциональная системная инструкция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). Все промежуточные стадии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двухуровневое извлечение ключевых слов, обход графа, векторный поиск по чанкам, слияние результатов и генерация финального текста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 выполняются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внутри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фреймворка, и вмешаться в них на уровне отдельных компонентов так же гибко, как в LCEL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пайплайне, нельзя.</w:t>
      </w:r>
    </w:p>
    <w:p w14:paraId="4DE57CDB" w14:textId="77777777" w:rsidR="00CD4555" w:rsidRPr="00CD4555" w:rsidRDefault="00CD4555" w:rsidP="00CD4555">
      <w:pPr>
        <w:numPr>
          <w:ilvl w:val="0"/>
          <w:numId w:val="7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Количественная оценка с помощью </w:t>
      </w:r>
      <w:hyperlink r:id="rId12" w:tgtFrame="_blank" w:history="1">
        <w:r w:rsidRPr="00CD4555">
          <w:rPr>
            <w:rFonts w:ascii="Arial" w:eastAsia="Times New Roman" w:hAnsi="Arial" w:cs="Arial"/>
            <w:b/>
            <w:bCs/>
            <w:color w:val="4CB6EB"/>
            <w:sz w:val="24"/>
            <w:szCs w:val="24"/>
          </w:rPr>
          <w:t>RAGAS</w:t>
        </w:r>
      </w:hyperlink>
      <w:r w:rsidRPr="00CD4555">
        <w:rPr>
          <w:rFonts w:ascii="Arial" w:eastAsia="Times New Roman" w:hAnsi="Arial" w:cs="Arial"/>
          <w:color w:val="DEDEDE"/>
          <w:sz w:val="24"/>
          <w:szCs w:val="24"/>
        </w:rPr>
        <w:t>, на мой взгляд, применительно к графовым RAG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системам в юридическом домене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 является ограниченной и не всегда репрезентативной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.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br/>
        <w:t>Метрики для оценки полноты и качества извлеченного системой контекста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context_precision и context_recall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 спроектированы для парадигмы а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ля «чанки текста как атомарные единицы извлечения». Контекст, который собирает LightRAG в режиме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mix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наиболее эффективном для юридического домена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), гетерогенен по природе: это смесь сущностей графа, описаний ребер и текстовых чанков. Что считать «релевантным контекстом» в случае ребра графа, описание которого лишь косвенно связано с запросом, но при этом играет роль логического моста между двумя несомненно релевантными сущностями?</w:t>
      </w:r>
    </w:p>
    <w:p w14:paraId="77F3AA5B" w14:textId="77777777" w:rsidR="00CD4555" w:rsidRPr="00CD4555" w:rsidRDefault="00CD4555" w:rsidP="00CD4555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Практические следствия:</w:t>
      </w:r>
    </w:p>
    <w:p w14:paraId="59DB6C3A" w14:textId="77777777" w:rsidR="00CD4555" w:rsidRPr="00CD4555" w:rsidRDefault="00CD4555" w:rsidP="00CD4555">
      <w:pPr>
        <w:numPr>
          <w:ilvl w:val="0"/>
          <w:numId w:val="8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Векторная часть фреймворка в эксперименте используется "из коробки", без специальной донастройки ретривера.</w:t>
      </w:r>
    </w:p>
    <w:p w14:paraId="51D3E0FC" w14:textId="77777777" w:rsidR="00CD4555" w:rsidRPr="00CD4555" w:rsidRDefault="00CD4555" w:rsidP="00CD4555">
      <w:pPr>
        <w:numPr>
          <w:ilvl w:val="0"/>
          <w:numId w:val="8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Оценка проведена на репрезентативных запросах, которые либо прямо соотносятся с базой знаний, либо специально подобраны для проверки гипотезы о том, что графовый подход справляется там, где векторный принципиально ограничен.</w:t>
      </w:r>
    </w:p>
    <w:p w14:paraId="486AFD50" w14:textId="77777777" w:rsidR="00CD4555" w:rsidRPr="00CD4555" w:rsidRDefault="00CD4555" w:rsidP="00CD4555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При этом, забегая немного вперед, с графовой частью пришлось поработать "руками": "коробочной" конфигурации для серьезной работы с юридическим доменом ожидаемо оказалось недостаточно.</w:t>
      </w:r>
    </w:p>
    <w:p w14:paraId="4B84B0C4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Для чистоты сравнительного тестирования мы продолжим работать с тем же корпусом, что использовался в </w:t>
      </w:r>
      <w:hyperlink r:id="rId13" w:history="1">
        <w:r w:rsidRPr="00CD4555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эксперименте</w:t>
        </w:r>
      </w:hyperlink>
      <w:r w:rsidRPr="00CD4555">
        <w:rPr>
          <w:rFonts w:ascii="Arial" w:eastAsia="Times New Roman" w:hAnsi="Arial" w:cs="Arial"/>
          <w:color w:val="DEDEDE"/>
          <w:sz w:val="24"/>
          <w:szCs w:val="24"/>
        </w:rPr>
        <w:t> с Ensemble Vector RAG.</w:t>
      </w:r>
    </w:p>
    <w:p w14:paraId="3C7E2CB7" w14:textId="77777777" w:rsidR="00CD4555" w:rsidRPr="00CD4555" w:rsidRDefault="00CD4555" w:rsidP="00CD4555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Источники знаний</w:t>
      </w:r>
    </w:p>
    <w:p w14:paraId="4F863655" w14:textId="77777777" w:rsidR="00CD4555" w:rsidRPr="00CD4555" w:rsidRDefault="00CD4555" w:rsidP="00CD4555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В качестве источников знаний использовал неструктурированные (но специально подобранные и отобранные) текстовые данные в машиночитаемом формате, которые условно обозначим как "юридические тексты в сфере недвижимого имущества":</w:t>
      </w:r>
    </w:p>
    <w:p w14:paraId="6ADF2A27" w14:textId="77777777" w:rsidR="00CD4555" w:rsidRPr="00CD4555" w:rsidRDefault="00CD4555" w:rsidP="00CD4555">
      <w:pPr>
        <w:numPr>
          <w:ilvl w:val="0"/>
          <w:numId w:val="9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Тексты законов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: в данном случае, учитывая стоимость индексации и особенности постобработки графа при оптимизации, необходимостью визуализации и демонстрации построенного графа, было решено ограничиться основным и наиболее репрезентативным источником – Гражданским кодексом Российской Федерации (части 1, 2).</w:t>
      </w:r>
    </w:p>
    <w:p w14:paraId="0E60FAC1" w14:textId="77777777" w:rsidR="00CD4555" w:rsidRPr="00CD4555" w:rsidRDefault="00CD4555" w:rsidP="00CD4555">
      <w:pPr>
        <w:numPr>
          <w:ilvl w:val="0"/>
          <w:numId w:val="9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Тексты решений Верховного Суда Российской Федерации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: 110 релевантных текстов, в которых рассматриваются вопросы неоднозначной квалификации объектов имущества, за период: 2006–2023.</w:t>
      </w:r>
    </w:p>
    <w:p w14:paraId="1DF2A87F" w14:textId="77777777" w:rsidR="00CD4555" w:rsidRPr="00CD4555" w:rsidRDefault="00CD4555" w:rsidP="00CD4555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Особенности, на которые стоит обратить внимание.</w:t>
      </w:r>
    </w:p>
    <w:p w14:paraId="0136C484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1. Необходимость патча асинхронности.</w:t>
      </w:r>
    </w:p>
    <w:p w14:paraId="2D1DAE28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lastRenderedPageBreak/>
        <w:t>Один из базовых архитектурных принципов фреймворка – асинхронность. Ключевые методы существуют в двух вариантах:</w:t>
      </w:r>
    </w:p>
    <w:p w14:paraId="66AF02D5" w14:textId="77777777" w:rsidR="00CD4555" w:rsidRPr="00CD4555" w:rsidRDefault="00CD4555" w:rsidP="00CD4555">
      <w:pPr>
        <w:numPr>
          <w:ilvl w:val="0"/>
          <w:numId w:val="10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асинхронные корутины: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ainsert()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aquery()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initialize_storages()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и</w:t>
      </w:r>
    </w:p>
    <w:p w14:paraId="630C8399" w14:textId="77777777" w:rsidR="00CD4555" w:rsidRPr="00CD4555" w:rsidRDefault="00CD4555" w:rsidP="00CD4555">
      <w:pPr>
        <w:numPr>
          <w:ilvl w:val="0"/>
          <w:numId w:val="10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синхронные обертки над ними: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insert()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query()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.</w:t>
      </w:r>
    </w:p>
    <w:p w14:paraId="72218169" w14:textId="77777777" w:rsidR="00CD4555" w:rsidRPr="00CD4555" w:rsidRDefault="00CD4555" w:rsidP="00CD4555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В интерактивной среде (Jupyter, Kaggle и Colab) управляющий цикл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event loop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уже запущен самим ядром ноутбука. А стандартные способы запуска асинхронного кода рассчитаны на то, что цикл они создают сами, "с нуля". Натыкаясь на уже работающий цикл, они падают с ошибкой:</w:t>
      </w:r>
    </w:p>
    <w:p w14:paraId="0A6E8A84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RuntimeError: This event loop is already running</w:t>
      </w:r>
    </w:p>
    <w:p w14:paraId="4DC496AF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Решение – патч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nest_asyncio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: перед первым вызовом методов LightRAG он "оборачивает" уже работающий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event loop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 позволяя запускать в нем новые корутины. Реализован в коде выше.</w:t>
      </w:r>
    </w:p>
    <w:p w14:paraId="09D5A247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2. Подключение эмбеддеров не из дефолтного набора.</w:t>
      </w:r>
    </w:p>
    <w:p w14:paraId="63BF2414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LightRAG на текущий момент поддерживает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openai_embed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– встроенную функцию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обертку для эмбеддеров OpenAI (по умолчанию text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embedding-3-small, 1536 dim), а также модели через Ollama.</w:t>
      </w:r>
    </w:p>
    <w:p w14:paraId="36D80C80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Если вы хотите использовать эмбеддер не из дефолтного набора, а, например, загрузить веса модели из HuggingFace, придется написать асинхронную обертку над такой моделью. Для этого в LightRAG предусмотрен специальный класс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адаптер EmbeddingFunc.</w:t>
      </w:r>
    </w:p>
    <w:p w14:paraId="1964604C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Я использовал LaBSE от HuggingFace. Если вы захотите взять, например, современную и эффективную для русского языка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GigaEmbeddings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(Sber), которую можно скачать с HuggingFace, придется проделать аналогичные шаги:</w:t>
      </w:r>
    </w:p>
    <w:p w14:paraId="59233E59" w14:textId="77777777" w:rsidR="00CD4555" w:rsidRPr="00CD4555" w:rsidRDefault="00CD4555" w:rsidP="00CD4555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3. Привязка встроенных функций к OpenAI.</w:t>
      </w:r>
    </w:p>
    <w:p w14:paraId="381BCCCD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LightRAG также имеет встроенный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gpt_4o_mini_complete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 но он жестко привязан к официальному эндпоинту OpenAI. Для оплаты в рублях из России использовал </w:t>
      </w:r>
      <w:hyperlink r:id="rId14" w:tgtFrame="_blank" w:history="1">
        <w:r w:rsidRPr="00CD4555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VseLLM</w:t>
        </w:r>
      </w:hyperlink>
      <w:r w:rsidRPr="00CD4555">
        <w:rPr>
          <w:rFonts w:ascii="Arial" w:eastAsia="Times New Roman" w:hAnsi="Arial" w:cs="Arial"/>
          <w:color w:val="DEDEDE"/>
          <w:sz w:val="24"/>
          <w:szCs w:val="24"/>
        </w:rPr>
        <w:t> – российский OpenAI-совместимый прокси (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 xml:space="preserve">base_url 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переопределяем самостоятельно через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openai_complete_if_cache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 как в коде ниже):</w:t>
      </w:r>
    </w:p>
    <w:p w14:paraId="2F54C7B2" w14:textId="77777777" w:rsidR="00CD4555" w:rsidRPr="00CD4555" w:rsidRDefault="00CD4555" w:rsidP="00CD4555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Несколько технических нюансов:</w:t>
      </w:r>
    </w:p>
    <w:p w14:paraId="627DCE0E" w14:textId="77777777" w:rsidR="00CD4555" w:rsidRPr="00CD4555" w:rsidRDefault="00CD4555" w:rsidP="00CD4555">
      <w:pPr>
        <w:numPr>
          <w:ilvl w:val="0"/>
          <w:numId w:val="1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openai_complete_if_cache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– встроенная функция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обертка LightRAG, которая автоматически кеширует ответы LLM: для экономии на повторных вызовах на идентичных фрагментах;</w:t>
      </w:r>
    </w:p>
    <w:p w14:paraId="0F56D97D" w14:textId="77777777" w:rsidR="00CD4555" w:rsidRPr="00CD4555" w:rsidRDefault="00CD4555" w:rsidP="00CD4555">
      <w:pPr>
        <w:numPr>
          <w:ilvl w:val="0"/>
          <w:numId w:val="1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max_tokens=3000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– с запасом, потому как на этапе extraction LLM генерирует не только список сущностей, но и развернутые описания каждой из них.</w:t>
      </w:r>
    </w:p>
    <w:p w14:paraId="11E24131" w14:textId="77777777" w:rsidR="00CD4555" w:rsidRPr="00CD4555" w:rsidRDefault="00CD4555" w:rsidP="00CD4555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Инициализация LightRAG-инстанса и запуск индексации.</w:t>
      </w:r>
    </w:p>
    <w:p w14:paraId="2FEBB1CB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Собираем все вместе:</w:t>
      </w:r>
    </w:p>
    <w:p w14:paraId="0A9FC6BE" w14:textId="2AE6708D" w:rsidR="00CD4555" w:rsidRPr="00CD4555" w:rsidRDefault="00CD4555" w:rsidP="00CD4555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lastRenderedPageBreak/>
        <w:t>ainsert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запускает pipeline индексации: LightRAG разбивает корпус на чанки, прогоняет каждый через GPT-4o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mini для извлечения сущностей и связей, профилирует их через LLM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описания, векторизует через LaBSE и сохраняет одновременно в трех хранилищах: графовом (NetworkX), key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value (JSON) и векторном (NanoVectorDB).</w:t>
      </w:r>
    </w:p>
    <w:p w14:paraId="2E98272F" w14:textId="77777777" w:rsidR="00CD4555" w:rsidRPr="00CD4555" w:rsidRDefault="00CD4555" w:rsidP="00CD4555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Время, затраченное на индексацию</w:t>
      </w:r>
    </w:p>
    <w:p w14:paraId="1E23F449" w14:textId="77777777" w:rsidR="00CD4555" w:rsidRPr="00CD4555" w:rsidRDefault="00CD4555" w:rsidP="00CD4555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На моем корпусе – ГК РФ (части 1 и 2) + 110 решений ВС РФ, построение графа заняло около 5–6 часов. Разброс связан с тем, что индексация выполнялась не за один проход, а инкрементально, в несколько сессий:</w:t>
      </w:r>
    </w:p>
    <w:tbl>
      <w:tblPr>
        <w:tblW w:w="0" w:type="dxa"/>
        <w:tblBorders>
          <w:top w:val="single" w:sz="4" w:space="0" w:color="4D4D4D"/>
          <w:left w:val="single" w:sz="4" w:space="0" w:color="4D4D4D"/>
          <w:bottom w:val="single" w:sz="4" w:space="0" w:color="4D4D4D"/>
          <w:right w:val="single" w:sz="4" w:space="0" w:color="4D4D4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8"/>
        <w:gridCol w:w="2175"/>
        <w:gridCol w:w="1746"/>
        <w:gridCol w:w="1666"/>
      </w:tblGrid>
      <w:tr w:rsidR="00CD4555" w:rsidRPr="00CD4555" w14:paraId="3085731F" w14:textId="77777777" w:rsidTr="00CD4555">
        <w:tc>
          <w:tcPr>
            <w:tcW w:w="4560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45F5D59" w14:textId="77777777" w:rsidR="00CD4555" w:rsidRPr="00CD4555" w:rsidRDefault="00CD4555" w:rsidP="00CD4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Корпус</w:t>
            </w:r>
          </w:p>
        </w:tc>
        <w:tc>
          <w:tcPr>
            <w:tcW w:w="250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98D0E74" w14:textId="77777777" w:rsidR="00CD4555" w:rsidRPr="00CD4555" w:rsidRDefault="00CD4555" w:rsidP="00CD4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LLM</w:t>
            </w:r>
          </w:p>
        </w:tc>
        <w:tc>
          <w:tcPr>
            <w:tcW w:w="1920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37039ED" w14:textId="77777777" w:rsidR="00CD4555" w:rsidRPr="00CD4555" w:rsidRDefault="00CD4555" w:rsidP="00CD4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Объем (сим.)</w:t>
            </w:r>
          </w:p>
        </w:tc>
        <w:tc>
          <w:tcPr>
            <w:tcW w:w="1920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36B255F" w14:textId="77777777" w:rsidR="00CD4555" w:rsidRPr="00CD4555" w:rsidRDefault="00CD4555" w:rsidP="00CD4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</w:t>
            </w:r>
          </w:p>
        </w:tc>
      </w:tr>
      <w:tr w:rsidR="00CD4555" w:rsidRPr="00CD4555" w14:paraId="55B78A54" w14:textId="77777777" w:rsidTr="00CD4555">
        <w:tc>
          <w:tcPr>
            <w:tcW w:w="4560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A9E3C4A" w14:textId="77777777" w:rsidR="00CD4555" w:rsidRPr="00CD4555" w:rsidRDefault="00CD4555" w:rsidP="00CD4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ГК РФ (ч. 1–2) + 110 решений ВС РФ</w:t>
            </w:r>
          </w:p>
        </w:tc>
        <w:tc>
          <w:tcPr>
            <w:tcW w:w="250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37B960E" w14:textId="77777777" w:rsidR="00CD4555" w:rsidRPr="00CD4555" w:rsidRDefault="00CD4555" w:rsidP="00CD4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GPT-4o</w:t>
            </w: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mini (через прокси VseLLM)</w:t>
            </w:r>
          </w:p>
        </w:tc>
        <w:tc>
          <w:tcPr>
            <w:tcW w:w="1920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738999C" w14:textId="77777777" w:rsidR="00CD4555" w:rsidRPr="00CD4555" w:rsidRDefault="00CD4555" w:rsidP="00CD4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2 645 413</w:t>
            </w:r>
          </w:p>
        </w:tc>
        <w:tc>
          <w:tcPr>
            <w:tcW w:w="1920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169DFB3" w14:textId="77777777" w:rsidR="00CD4555" w:rsidRPr="00CD4555" w:rsidRDefault="00CD4555" w:rsidP="00CD4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555">
              <w:rPr>
                <w:rFonts w:ascii="Times New Roman" w:eastAsia="Times New Roman" w:hAnsi="Times New Roman" w:cs="Times New Roman"/>
                <w:sz w:val="24"/>
                <w:szCs w:val="24"/>
              </w:rPr>
              <w:t>~ 5–6 ч</w:t>
            </w:r>
          </w:p>
        </w:tc>
      </w:tr>
    </w:tbl>
    <w:p w14:paraId="7D428A1C" w14:textId="77777777" w:rsidR="00CD4555" w:rsidRPr="00CD4555" w:rsidRDefault="00CD4555" w:rsidP="00CD4555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Время определяется не только объемом корпуса, но и инфраструктурой LLM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вызовов: латентность облачного прокси VseLLM, параллелизм (4 одновременных запроса) и (незначительно) вычисление LaBSE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эмбеддингов на CPU.</w:t>
      </w:r>
    </w:p>
    <w:p w14:paraId="7CB9586B" w14:textId="77777777" w:rsidR="00CD4555" w:rsidRPr="00CD4555" w:rsidRDefault="00CD4555" w:rsidP="00CD4555">
      <w:pPr>
        <w:shd w:val="clear" w:color="auto" w:fill="171717"/>
        <w:spacing w:before="480" w:after="0" w:line="240" w:lineRule="auto"/>
        <w:outlineLvl w:val="2"/>
        <w:rPr>
          <w:rFonts w:ascii="Arial" w:eastAsia="Times New Roman" w:hAnsi="Arial" w:cs="Arial"/>
          <w:color w:val="DEDEDE"/>
          <w:sz w:val="27"/>
          <w:szCs w:val="27"/>
        </w:rPr>
      </w:pPr>
      <w:r w:rsidRPr="00CD4555">
        <w:rPr>
          <w:rFonts w:ascii="Arial" w:eastAsia="Times New Roman" w:hAnsi="Arial" w:cs="Arial"/>
          <w:color w:val="DEDEDE"/>
          <w:sz w:val="27"/>
          <w:szCs w:val="27"/>
        </w:rPr>
        <w:t>Граф знаний LightRAG без тонкой настройки</w:t>
      </w:r>
    </w:p>
    <w:p w14:paraId="6D81F1A3" w14:textId="77777777" w:rsidR="00CD4555" w:rsidRPr="00CD4555" w:rsidRDefault="00CD4555" w:rsidP="00CD4555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Итак, что мы получили из "коробки", подкорректировав пару дефолтных параметров.</w:t>
      </w:r>
    </w:p>
    <w:sectPr w:rsidR="00CD4555" w:rsidRPr="00CD45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14B19"/>
    <w:multiLevelType w:val="multilevel"/>
    <w:tmpl w:val="678A7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F4AEA"/>
    <w:multiLevelType w:val="multilevel"/>
    <w:tmpl w:val="85E8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40FC0"/>
    <w:multiLevelType w:val="multilevel"/>
    <w:tmpl w:val="B934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C505E"/>
    <w:multiLevelType w:val="multilevel"/>
    <w:tmpl w:val="D144B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F155A7"/>
    <w:multiLevelType w:val="multilevel"/>
    <w:tmpl w:val="47F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E724F"/>
    <w:multiLevelType w:val="multilevel"/>
    <w:tmpl w:val="129A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95AF8"/>
    <w:multiLevelType w:val="multilevel"/>
    <w:tmpl w:val="52BE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F76A5"/>
    <w:multiLevelType w:val="multilevel"/>
    <w:tmpl w:val="C5C80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C83593"/>
    <w:multiLevelType w:val="multilevel"/>
    <w:tmpl w:val="06BE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FE3B10"/>
    <w:multiLevelType w:val="multilevel"/>
    <w:tmpl w:val="2182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BE4958"/>
    <w:multiLevelType w:val="multilevel"/>
    <w:tmpl w:val="CC905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9"/>
  </w:num>
  <w:num w:numId="6">
    <w:abstractNumId w:val="0"/>
  </w:num>
  <w:num w:numId="7">
    <w:abstractNumId w:val="10"/>
  </w:num>
  <w:num w:numId="8">
    <w:abstractNumId w:val="7"/>
  </w:num>
  <w:num w:numId="9">
    <w:abstractNumId w:val="8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C19"/>
    <w:rsid w:val="001D558D"/>
    <w:rsid w:val="00CA1C19"/>
    <w:rsid w:val="00CD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81DBE"/>
  <w15:chartTrackingRefBased/>
  <w15:docId w15:val="{856E054A-97AF-4E96-8419-13C255B62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D45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CD45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D455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CD4555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a"/>
    <w:rsid w:val="00CD4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CD4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CD4555"/>
    <w:rPr>
      <w:b/>
      <w:bCs/>
    </w:rPr>
  </w:style>
  <w:style w:type="character" w:styleId="a5">
    <w:name w:val="Emphasis"/>
    <w:basedOn w:val="a0"/>
    <w:uiPriority w:val="20"/>
    <w:qFormat/>
    <w:rsid w:val="00CD4555"/>
    <w:rPr>
      <w:i/>
      <w:iCs/>
    </w:rPr>
  </w:style>
  <w:style w:type="character" w:styleId="HTML">
    <w:name w:val="HTML Code"/>
    <w:basedOn w:val="a0"/>
    <w:uiPriority w:val="99"/>
    <w:semiHidden/>
    <w:unhideWhenUsed/>
    <w:rsid w:val="00CD4555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semiHidden/>
    <w:unhideWhenUsed/>
    <w:rsid w:val="00CD4555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CD4555"/>
    <w:rPr>
      <w:color w:val="800080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CD45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CD4555"/>
    <w:rPr>
      <w:rFonts w:ascii="Courier New" w:eastAsia="Times New Roman" w:hAnsi="Courier New" w:cs="Courier New"/>
      <w:sz w:val="20"/>
      <w:szCs w:val="20"/>
    </w:rPr>
  </w:style>
  <w:style w:type="character" w:customStyle="1" w:styleId="5">
    <w:name w:val="ͼ5"/>
    <w:basedOn w:val="a0"/>
    <w:rsid w:val="00CD4555"/>
  </w:style>
  <w:style w:type="character" w:customStyle="1" w:styleId="6">
    <w:name w:val="ͼ6"/>
    <w:basedOn w:val="a0"/>
    <w:rsid w:val="00CD4555"/>
  </w:style>
  <w:style w:type="character" w:customStyle="1" w:styleId="8">
    <w:name w:val="ͼ8"/>
    <w:basedOn w:val="a0"/>
    <w:rsid w:val="00CD4555"/>
  </w:style>
  <w:style w:type="character" w:customStyle="1" w:styleId="41">
    <w:name w:val="ͼ4"/>
    <w:basedOn w:val="a0"/>
    <w:rsid w:val="00CD4555"/>
  </w:style>
  <w:style w:type="character" w:customStyle="1" w:styleId="7">
    <w:name w:val="ͼ7"/>
    <w:basedOn w:val="a0"/>
    <w:rsid w:val="00CD4555"/>
  </w:style>
  <w:style w:type="character" w:customStyle="1" w:styleId="9">
    <w:name w:val="ͼ9"/>
    <w:basedOn w:val="a0"/>
    <w:rsid w:val="00CD4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3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5698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9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91390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03338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8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71942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080107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719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936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535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2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84699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45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31781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65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652253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2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621/webui/" TargetMode="External"/><Relationship Id="rId13" Type="http://schemas.openxmlformats.org/officeDocument/2006/relationships/hyperlink" Target="https://habr.com/ru/companies/otus/articles/946354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ocker.com/products/docker-desktop/" TargetMode="External"/><Relationship Id="rId12" Type="http://schemas.openxmlformats.org/officeDocument/2006/relationships/hyperlink" Target="https://docs.ragas.io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dn.learnopencv.com/wp-content/uploads/2024/11/04083659/LightRAG-Workflow-Illustration-Legal-Doc-Analysis-Graph-Indexing-Dual-Level-Retrieval-1.mp4" TargetMode="External"/><Relationship Id="rId11" Type="http://schemas.openxmlformats.org/officeDocument/2006/relationships/hyperlink" Target="https://habr.com/ru/companies/otus/articles/946012/" TargetMode="External"/><Relationship Id="rId5" Type="http://schemas.openxmlformats.org/officeDocument/2006/relationships/hyperlink" Target="https://learnopencv.com/lightrag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HKUDS/LightRA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kploy.com/" TargetMode="External"/><Relationship Id="rId14" Type="http://schemas.openxmlformats.org/officeDocument/2006/relationships/hyperlink" Target="https://vsellm.ru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2777</Words>
  <Characters>15833</Characters>
  <Application>Microsoft Office Word</Application>
  <DocSecurity>0</DocSecurity>
  <Lines>131</Lines>
  <Paragraphs>37</Paragraphs>
  <ScaleCrop>false</ScaleCrop>
  <Company/>
  <LinksUpToDate>false</LinksUpToDate>
  <CharactersWithSpaces>18573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Сиротенко</dc:creator>
  <cp:keywords/>
  <dc:description/>
  <cp:lastModifiedBy>Александр Сиротенко</cp:lastModifiedBy>
  <cp:revision>3</cp:revision>
  <dcterms:created xsi:type="dcterms:W3CDTF">2026-06-17T09:12:00Z</dcterms:created>
  <dcterms:modified xsi:type="dcterms:W3CDTF">2026-06-17T09:14:00Z</dcterms:modified>
</cp:coreProperties>
</file>