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4B384" w14:textId="77777777" w:rsidR="00CD4555" w:rsidRPr="00CD4555" w:rsidRDefault="00CD4555" w:rsidP="00CD455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Шаг 1. Extraction Pipeline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 извлечение из документов сущностей и отношений.</w:t>
      </w:r>
    </w:p>
    <w:p w14:paraId="6BD7C5B6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Документы проходят стандартную предобработку: разбивка на чанки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по умолчанию размер чанков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1200 токенов с перекрытием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100 токенов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 с последующей векторизацией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embedding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noBreakHyphen/>
        <w:t>model по умолчанию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BAAI/bge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noBreakHyphen/>
        <w:t>m3,1024 dim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). Полученные эмбеддинги автоматически сохраняются в Vector DB Storage.</w:t>
      </w:r>
    </w:p>
    <w:p w14:paraId="4FC8D37F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Extraction Pipeline задается на уровне системных промптов, руководствуясь которыми LLM 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по умолчанию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GPT-4o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noBreakHyphen/>
        <w:t>mini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итеративно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количество итеративных проходов ограничено на уровне настроек фреймворка в целях экономии токенов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в несколько проходов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их количество ограничено, что позволяет сэкономить, в отличие от GraphRAG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извлекает из чанков сущности (Entities) – узлы будущего графа, и отношения (Relations) между ними – связи между сущностями, который сформируют ребра будущего графа.</w:t>
      </w:r>
    </w:p>
    <w:p w14:paraId="66669D0E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Отдельного внимания заслуживает предзаданная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типизация сущностей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. По умолчанию используется универсальный перечень из 11 категорий:</w:t>
      </w:r>
    </w:p>
    <w:p w14:paraId="09A40DD6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Person, Creature, Organization, Location, Event, Concept, Method, Content, Data, Artifact, NaturalObject</w:t>
      </w:r>
    </w:p>
    <w:p w14:paraId="75B385DC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Все, что не попало в этот список, относится к категории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Other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.</w:t>
      </w:r>
    </w:p>
    <w:p w14:paraId="03232ED4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Если вы работаете со специфическим доменом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юридический домен, как раз, относится к таковым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можно переопределить и задать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собственную нативную таксономию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.</w:t>
      </w:r>
    </w:p>
    <w:p w14:paraId="77C82FB0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 нашем эксперименте мы пошли по компромиссному пути: использовали стандартную типологию при индексации и переопределили ее постфактум, на этапе оптимизации графа. К плюсам и минусам такого выбора вернемся в дальнейшем.</w:t>
      </w:r>
    </w:p>
    <w:p w14:paraId="55DA6761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Узлы и ребра снабжаются развернутыми текстовыми описаниями – аннотациями, являющимися результатом суммаризации исходного текста той же LLM.</w:t>
      </w:r>
    </w:p>
    <w:p w14:paraId="36BCC922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Шаг 2. LLM Profiling for Key Value Pair Generation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 профилирование сущностей и связей.</w:t>
      </w:r>
    </w:p>
    <w:p w14:paraId="037CEF7A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Для каждой извлеченной сущности и каждого отношения выполняется так называемое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профилирование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 специальная функция генерирует пару {key: value}, где:</w:t>
      </w:r>
    </w:p>
    <w:p w14:paraId="6AFBD1CA" w14:textId="77777777" w:rsidR="00CD4555" w:rsidRPr="00CD4555" w:rsidRDefault="00CD4555" w:rsidP="00CD4555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key – имя сущности или ключевые слова отношения;</w:t>
      </w:r>
    </w:p>
    <w:p w14:paraId="59AC349B" w14:textId="77777777" w:rsidR="00CD4555" w:rsidRPr="00CD4555" w:rsidRDefault="00CD4555" w:rsidP="00CD4555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value – summary, агрегирующее релевантный контекст из всех чанков, где эта сущность или отношение встречались.</w:t>
      </w:r>
    </w:p>
    <w:p w14:paraId="3E6B12D3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Сущности, как правило, имеют один ключ, отношения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– несколько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 xml:space="preserve">, чтобы охватить более широкие тематические контексты, в которых данная связь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lastRenderedPageBreak/>
        <w:t>проявляется. Это и закладывает фундамент двухуровневого поиска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см. ниже по тексту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2CBDED70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Значения KV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пар дополнительно векторизуются. Таким образом формируется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гибридный индекс "граф + вектор"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 топология связей хранится в графе, семантика наименований и описаний – в векторном пространстве, где можно искать по смысловой близости.</w:t>
      </w:r>
    </w:p>
    <w:p w14:paraId="0D4AB1CA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Шаг 3. Дедупликация.</w:t>
      </w:r>
    </w:p>
    <w:p w14:paraId="05934C88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Явные дубликаты сущностей автоматически объединяются в единые узлы с сохранением ранее построенных отношений. С помощью LLM формируется единое подробное описание каждой сущности и каждой связи, агрегирующее информацию из всех чанков, где они встретились.</w:t>
      </w:r>
    </w:p>
    <w:p w14:paraId="7EEBAF15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Важная оговорка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 автоматическая дедупликация работает только с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явными дубликатами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 узлами с точным совпадением имен. Случаи вроде "ст. 130" и "статья 130 ГК РФ", или "ООО «Результат»" и "ооо результат", или "Civil Code" и "Гражданский кодекс РФ" LLM на этом этапе, к сожалению, пока не объединит. Этим придется заниматься на отдельном этапе оптимизации.</w:t>
      </w:r>
    </w:p>
    <w:p w14:paraId="32A8A2E1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Создание графа и финальное сохранение.</w:t>
      </w:r>
    </w:p>
    <w:p w14:paraId="0A7D5B19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После трех указанных выше шагов:</w:t>
      </w:r>
    </w:p>
    <w:p w14:paraId="061C7AE5" w14:textId="77777777" w:rsidR="00CD4555" w:rsidRPr="00CD4555" w:rsidRDefault="00CD4555" w:rsidP="00CD4555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все сущности и связи записаны в графовую базу данных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по умолчанию — NetworkX, опционально поддерживаются Neo4j, PostgreSQL, MongoDB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);</w:t>
      </w:r>
    </w:p>
    <w:p w14:paraId="0DA34822" w14:textId="77777777" w:rsidR="00CD4555" w:rsidRPr="00CD4555" w:rsidRDefault="00CD4555" w:rsidP="00CD4555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описания сущностей и связей векторизованы и сохранены в Vector DB Storage.</w:t>
      </w:r>
    </w:p>
    <w:p w14:paraId="4C1308E2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Это и позволяет искать одновременно: по тексту чанков, по именам и описаниям сущностей, а также по ключевым словам и описаниям самих отношений (идея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гибридного индекса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1148995A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Поиск</w:t>
      </w:r>
    </w:p>
    <w:p w14:paraId="292FBD9B" w14:textId="118142A8" w:rsidR="00CD4555" w:rsidRPr="00CD4555" w:rsidRDefault="00CD4555" w:rsidP="00CD4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9A7B8" w14:textId="77777777" w:rsidR="00CD4555" w:rsidRPr="00CD4555" w:rsidRDefault="00CD4555" w:rsidP="00CD4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55">
        <w:rPr>
          <w:rFonts w:ascii="Times New Roman" w:eastAsia="Times New Roman" w:hAnsi="Times New Roman" w:cs="Times New Roman"/>
          <w:sz w:val="24"/>
          <w:szCs w:val="24"/>
        </w:rPr>
        <w:t xml:space="preserve">Архитектура поиска LightRAG </w:t>
      </w:r>
    </w:p>
    <w:p w14:paraId="66F41176" w14:textId="77777777" w:rsidR="00CD4555" w:rsidRPr="00CD4555" w:rsidRDefault="00CD4555" w:rsidP="00CD455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При обработке запроса LLM выделяет из него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два набора ключевых слов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</w:t>
      </w:r>
    </w:p>
    <w:p w14:paraId="3C4ED0FB" w14:textId="77777777" w:rsidR="00CD4555" w:rsidRPr="00CD4555" w:rsidRDefault="00CD4555" w:rsidP="00CD4555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низкоуровневые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low_level_keywords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 – конкретные именованные сущности и факты (например,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торговый павильон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ст. 130 ГК РФ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ООО Верево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);</w:t>
      </w:r>
    </w:p>
    <w:p w14:paraId="36B4035A" w14:textId="77777777" w:rsidR="00CD4555" w:rsidRPr="00CD4555" w:rsidRDefault="00CD4555" w:rsidP="00CD4555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высокоуровневые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high_level_keywords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 – обобщенные темы и концепции (например,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квалификация объекта недвижимости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вещь, судебная инстанция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32F16931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 этом суть того, что авторы называют "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dual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noBreakHyphen/>
        <w:t>level retrieval system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": система одновременно понимает,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что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спрашивает пользователь, и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о чем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этот вопрос в более широком контексте..</w:t>
      </w:r>
    </w:p>
    <w:p w14:paraId="725D39F1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Дальнейшая логика поиска зависит от выбранного режима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</w:t>
      </w:r>
    </w:p>
    <w:p w14:paraId="5E454162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lastRenderedPageBreak/>
        <w:t>В наиболее полном режиме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mix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фактически выполняются три параллельных процесса: обход графа от выявленных конкретных сущностей, обход от связанных концептов и стандартный векторный поиск по чанкам. Полученные результаты объединяются в единый контекст, передаваемый LLM для генерации ответа.</w:t>
      </w:r>
    </w:p>
    <w:p w14:paraId="21EA3E32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Поддержка инкрементальных обновлений графа</w:t>
      </w:r>
    </w:p>
    <w:p w14:paraId="3260C5BA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Отдельно стоит выделить алгоритм инкрементального обновления базы знаний. Новые документы добавляются в существующий граф без полной переиндексации, что очень важно при работе с регулярно обновляемым корпусами юридических текстов.</w:t>
      </w:r>
    </w:p>
    <w:p w14:paraId="458E47F0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Демо для закрепления</w:t>
      </w:r>
    </w:p>
    <w:p w14:paraId="7E6A9415" w14:textId="77777777" w:rsidR="00CD4555" w:rsidRPr="00CD4555" w:rsidRDefault="00CD4555" w:rsidP="00CD455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Команда блога </w:t>
      </w:r>
      <w:hyperlink r:id="rId5" w:tgtFrame="_blank" w:history="1"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LearnOpenCV</w:t>
        </w:r>
      </w:hyperlink>
      <w:r w:rsidRPr="00CD4555">
        <w:rPr>
          <w:rFonts w:ascii="Arial" w:eastAsia="Times New Roman" w:hAnsi="Arial" w:cs="Arial"/>
          <w:color w:val="DEDEDE"/>
          <w:sz w:val="24"/>
          <w:szCs w:val="24"/>
        </w:rPr>
        <w:t>, сделавшая, на мой взгляд, один из лучших англоязычных разборов фреймворка, подготовила краткую визуальную демонстрацию работы пайплайна, как раз на юридическом корпусе:</w:t>
      </w:r>
    </w:p>
    <w:p w14:paraId="59BFD7EC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Segoe UI Emoji" w:eastAsia="Times New Roman" w:hAnsi="Segoe UI Emoji" w:cs="Segoe UI Emoji"/>
          <w:color w:val="DEDEDE"/>
          <w:sz w:val="24"/>
          <w:szCs w:val="24"/>
        </w:rPr>
        <w:t>📺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</w:t>
      </w:r>
      <w:hyperlink r:id="rId6" w:tgtFrame="_blank" w:history="1"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LightRAG Workflow: Legal Doc Analysis, Graph Indexing, Dual</w:t>
        </w:r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noBreakHyphen/>
          <w:t>Level Retrieval</w:t>
        </w:r>
      </w:hyperlink>
    </w:p>
    <w:p w14:paraId="2FCB60F6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</w:rPr>
      </w:pPr>
      <w:r w:rsidRPr="00CD4555">
        <w:rPr>
          <w:rFonts w:ascii="Arial" w:eastAsia="Times New Roman" w:hAnsi="Arial" w:cs="Arial"/>
          <w:color w:val="DEDEDE"/>
          <w:sz w:val="27"/>
          <w:szCs w:val="27"/>
        </w:rPr>
        <w:t>Развертывание LightRAG</w:t>
      </w:r>
    </w:p>
    <w:p w14:paraId="28538A3F" w14:textId="77777777" w:rsidR="00CD4555" w:rsidRPr="00CD4555" w:rsidRDefault="00CD4555" w:rsidP="00CD455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Для большинства доменов и значительной доли практических несложных задач LightRAG можно запустить сходу, с минимальными конфигурационными настройками, задав переменные окружения в.env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файле.</w:t>
      </w:r>
    </w:p>
    <w:p w14:paraId="27EB544D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Фреймворк поставляется с Docker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образом и готовым docker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compose.yml, который описывает, как одновременно запустить все нужные компоненты системы: сам сервер LightRAG, его веб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интерфейс, REST API для программного доступа и опционально, если требуется масштабируемое решение в production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сценариях — внешние базы данных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Neo4j для графа, PostgreSQL с расширением pgvector для эмбеддингов; Milvus, FAISS или другую векторную БД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0A0DD768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Для того, чтобы потестить систему эти внешние базы можно не подключать вовсе: LightRAG по умолчанию использует встроенные легковесные хранилища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NetworkX для графа, NanoVectorDB для векторов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которых достаточно для прототипирования и работы с небольшими корпусами.</w:t>
      </w:r>
    </w:p>
    <w:p w14:paraId="500D648E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Веб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интерфейс LightRAG закрывает основные пользовательские сценарии: загрузку документов и мониторинг их обработки, визуализацию графа знаний, а также выполнение запросов с выбором режима поиска.</w:t>
      </w:r>
    </w:p>
    <w:p w14:paraId="2CD78922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Минимальные требования:</w:t>
      </w:r>
    </w:p>
    <w:p w14:paraId="5EDB171C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 общем, подойдет любой современный бюджетный VPS сервер, в качестве базовой LLM предлагается использовать GPT-4o-mini.</w:t>
      </w:r>
    </w:p>
    <w:p w14:paraId="161277DF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Поддержка Ollama</w:t>
      </w:r>
    </w:p>
    <w:p w14:paraId="5D8D72A9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lastRenderedPageBreak/>
        <w:t>Ollama позволяет работать с локальными LLM без отправки данных во внешние API. Эта опция особенно актуальна для тех, кому важна конфиденциальность. Например, при работе с юридическими или медицинскими документами.</w:t>
      </w:r>
    </w:p>
    <w:p w14:paraId="1674B6A2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Переключение задается одной переменной в .env (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LLM_BINDING=ollama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плюс адрес локального сервера Ollama и название модели). Аналогично можно настроить локальный эмбеддер.</w:t>
      </w:r>
    </w:p>
    <w:p w14:paraId="168F1449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Здесь не буду останавливаться подробно, так как это отдельный пласт, со своими нюансами выбора модели под доступную видеопамять, оптимизации скорости и качества извлечения сущностей.</w:t>
      </w:r>
    </w:p>
    <w:p w14:paraId="0A09E72D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Важно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лишь упомянуть один практический и экономически значимый нюанс: для качественного извлечения сущностей графа авторы LightRAG рекомендуют LLM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не менее 32B параметров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с контекстом ≥ 32K токенов. Это означает, что для серьезной работы с Ollama понадобится видеокарта уровня NVIDIA RTX 4090 (24 ГБ VRAM) или кластер с нескольким GPU попроще.</w:t>
      </w:r>
    </w:p>
    <w:p w14:paraId="38F654BB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Три оперативных сценария развертывания</w:t>
      </w:r>
    </w:p>
    <w:p w14:paraId="5D1D6A4A" w14:textId="77777777" w:rsidR="00CD4555" w:rsidRPr="00CD4555" w:rsidRDefault="00CD4555" w:rsidP="00CD455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1. 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Локально</w:t>
      </w:r>
    </w:p>
    <w:p w14:paraId="4C83895A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Чтобы протестировать фреймворк локально, без написания кода и без каких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либо доработок, кроме.env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файла с базовыми настройками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выбор LLM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noBreakHyphen/>
        <w:t>провайдера, API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noBreakHyphen/>
        <w:t>ключи к LLM и эмбеддеру, при желании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параметры чанкинга и хранилищ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достаточно выполнить в терминале следующую последовательность команд:</w:t>
      </w:r>
    </w:p>
    <w:p w14:paraId="24E09E87" w14:textId="77777777" w:rsidR="00CD4555" w:rsidRPr="00CD4555" w:rsidRDefault="00CD4555" w:rsidP="00CD455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Для выполнения этих команд требуется </w:t>
      </w:r>
      <w:hyperlink r:id="rId7" w:tgtFrame="_blank" w:history="1">
        <w:r w:rsidRPr="00CD4555">
          <w:rPr>
            <w:rFonts w:ascii="Arial" w:eastAsia="Times New Roman" w:hAnsi="Arial" w:cs="Arial"/>
            <w:i/>
            <w:iCs/>
            <w:color w:val="4CB6EB"/>
            <w:sz w:val="24"/>
            <w:szCs w:val="24"/>
          </w:rPr>
          <w:t>Docker Desktop</w:t>
        </w:r>
      </w:hyperlink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 (Windows/macOS) или Docker Engine (Linux).</w:t>
      </w:r>
    </w:p>
    <w:p w14:paraId="582E580A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После этого по адресу </w:t>
      </w:r>
      <w:hyperlink r:id="rId8" w:tgtFrame="_blank" w:history="1"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http://localhost:9621/webui/</w:t>
        </w:r>
      </w:hyperlink>
      <w:r w:rsidRPr="00CD4555">
        <w:rPr>
          <w:rFonts w:ascii="Arial" w:eastAsia="Times New Roman" w:hAnsi="Arial" w:cs="Arial"/>
          <w:color w:val="DEDEDE"/>
          <w:sz w:val="24"/>
          <w:szCs w:val="24"/>
        </w:rPr>
        <w:t> открывается полноценный веб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интерфейс. Подходит для прототипирования и работы с небольшими корпусами.</w:t>
      </w:r>
    </w:p>
    <w:p w14:paraId="04F45DEA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2. 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Удаленный сервер через Docker</w:t>
      </w:r>
    </w:p>
    <w:p w14:paraId="2DC38B2A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Логика та же, что и при локальном запуске, только команды выполняются не на вашем ноутбуке, а на удаленной машине через SSH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сессию.</w:t>
      </w:r>
    </w:p>
    <w:p w14:paraId="41BE83BA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Здесь уже, конечно, потребуется дополнительно поработать с сетевыми настройками сервера и параметрами доступа, чтобы запущенный сервис (LightRAG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инстанс) был доступен извне и при этом защищен от посторонних, а это уже задача базового системного администрирования.</w:t>
      </w:r>
    </w:p>
    <w:p w14:paraId="44D05C9F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3. 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Через self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noBreakHyphen/>
        <w:t>hosted PaaS</w:t>
      </w:r>
    </w:p>
    <w:p w14:paraId="087E28BD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lastRenderedPageBreak/>
        <w:t>Если не хочется заниматься системным администрированием и возиться с терминалом, можно развернуть с помощью self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hosted PaaS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Platform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noBreakHyphen/>
        <w:t>as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noBreakHyphen/>
        <w:t>a-Service)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 например, </w:t>
      </w:r>
      <w:hyperlink r:id="rId9" w:tgtFrame="_blank" w:history="1"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Dokploy</w:t>
        </w:r>
      </w:hyperlink>
      <w:r w:rsidRPr="00CD4555">
        <w:rPr>
          <w:rFonts w:ascii="Arial" w:eastAsia="Times New Roman" w:hAnsi="Arial" w:cs="Arial"/>
          <w:color w:val="DEDEDE"/>
          <w:sz w:val="24"/>
          <w:szCs w:val="24"/>
        </w:rPr>
        <w:t>.</w:t>
      </w:r>
    </w:p>
    <w:p w14:paraId="6AEDA07E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После установки такой платформы на свой сервер все управление идет через веб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интерфейс в браузере.</w:t>
      </w:r>
    </w:p>
    <w:p w14:paraId="3932E6B4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Упрощенно сценарий развертки выглядит так:</w:t>
      </w:r>
    </w:p>
    <w:p w14:paraId="70C954A4" w14:textId="77777777" w:rsidR="00CD4555" w:rsidRPr="00CD4555" w:rsidRDefault="00CD4555" w:rsidP="00CD4555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 панели Dokploy подключить GitHub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репозиторий LightRAG (просто вставить ссылку </w:t>
      </w:r>
      <w:hyperlink r:id="rId10" w:tgtFrame="_blank" w:history="1"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https://github.com/HKUDS/LightRAG</w:t>
        </w:r>
      </w:hyperlink>
      <w:r w:rsidRPr="00CD4555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76C0FBD4" w14:textId="77777777" w:rsidR="00CD4555" w:rsidRPr="00CD4555" w:rsidRDefault="00CD4555" w:rsidP="00CD4555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Заполнить переменные окружения через веб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интерфейс (а не в «сыром».env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файле).</w:t>
      </w:r>
    </w:p>
    <w:p w14:paraId="6489F5B7" w14:textId="77777777" w:rsidR="00CD4555" w:rsidRPr="00CD4555" w:rsidRDefault="00CD4555" w:rsidP="00CD4555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Указать свой домен.</w:t>
      </w:r>
    </w:p>
    <w:p w14:paraId="1BA45782" w14:textId="77777777" w:rsidR="00CD4555" w:rsidRPr="00CD4555" w:rsidRDefault="00CD4555" w:rsidP="00CD4555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Нажать Deploy.</w:t>
      </w:r>
    </w:p>
    <w:p w14:paraId="0ABDCA88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Логика та же, что и при локальном запуске, только команды выполняются не на вашем ноутбуке, а на удаленной машине через SSH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сессию.</w:t>
      </w:r>
    </w:p>
    <w:p w14:paraId="2E0F6EA4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WebUI</w:t>
      </w:r>
    </w:p>
    <w:p w14:paraId="21145C00" w14:textId="77777777" w:rsidR="00CD4555" w:rsidRPr="00CD4555" w:rsidRDefault="00CD4555" w:rsidP="00CD455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После развертки можно сразу использовать интуитивно понятный веб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интерфейс.</w:t>
      </w:r>
    </w:p>
    <w:p w14:paraId="251A3E59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WebUI содержит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четыре вкладки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</w:t>
      </w:r>
    </w:p>
    <w:p w14:paraId="7AD6A7B5" w14:textId="77777777" w:rsidR="00CD4555" w:rsidRPr="00CD4555" w:rsidRDefault="00CD4555" w:rsidP="00CD4555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Documents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 управление документами;</w:t>
      </w:r>
    </w:p>
    <w:p w14:paraId="17ECC09E" w14:textId="77777777" w:rsidR="00CD4555" w:rsidRPr="00CD4555" w:rsidRDefault="00CD4555" w:rsidP="00CD4555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Knowledge Graph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 интерактивная визуализация графа знаний с фильтрами по типам сущностей, поиском по именам узлов, отображением свойств;</w:t>
      </w:r>
    </w:p>
    <w:p w14:paraId="70A63C98" w14:textId="77777777" w:rsidR="00CD4555" w:rsidRPr="00CD4555" w:rsidRDefault="00CD4555" w:rsidP="00CD4555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Retrieval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 собственно, чат с выбором режима поиска (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local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/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global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/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hybrid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/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naive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/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mix )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 настройкой параметров (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top_k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chunk_top_k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max_total_tokens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возможностью включения реранкера, передачей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user_prompt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для управления стилем ответа;</w:t>
      </w:r>
    </w:p>
    <w:p w14:paraId="346F9333" w14:textId="77777777" w:rsidR="00CD4555" w:rsidRPr="00CD4555" w:rsidRDefault="00CD4555" w:rsidP="00CD4555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API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 автоматически генерируемая интерактивная документация (Swagger UI) всех REST-эндпоинтов сервера. В браузере видно, какие запросы поддерживает LightRAG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загрузка документов, поиск, выгрузка графа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какие параметры они принимают.</w:t>
      </w:r>
    </w:p>
    <w:p w14:paraId="376EC84C" w14:textId="5C53AF84" w:rsidR="00CD4555" w:rsidRPr="00CD4555" w:rsidRDefault="00CD4555" w:rsidP="00CD4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06CB00" w14:textId="77777777" w:rsidR="00CD4555" w:rsidRPr="00CD4555" w:rsidRDefault="00CD4555" w:rsidP="00CD4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55">
        <w:rPr>
          <w:rFonts w:ascii="Times New Roman" w:eastAsia="Times New Roman" w:hAnsi="Times New Roman" w:cs="Times New Roman"/>
          <w:sz w:val="24"/>
          <w:szCs w:val="24"/>
        </w:rPr>
        <w:t xml:space="preserve">пример того, как может выглядеть вкладка </w:t>
      </w:r>
      <w:r w:rsidRPr="00CD4555">
        <w:rPr>
          <w:rFonts w:ascii="Times New Roman" w:eastAsia="Times New Roman" w:hAnsi="Times New Roman" w:cs="Times New Roman"/>
          <w:b/>
          <w:bCs/>
          <w:sz w:val="24"/>
          <w:szCs w:val="24"/>
        </w:rPr>
        <w:t>Documents</w:t>
      </w:r>
    </w:p>
    <w:p w14:paraId="0FA68C1B" w14:textId="65788A04" w:rsidR="00CD4555" w:rsidRPr="00CD4555" w:rsidRDefault="00CD4555" w:rsidP="00CD4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5997C4" w14:textId="77777777" w:rsidR="00CD4555" w:rsidRPr="00CD4555" w:rsidRDefault="00CD4555" w:rsidP="00CD4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555">
        <w:rPr>
          <w:rFonts w:ascii="Times New Roman" w:eastAsia="Times New Roman" w:hAnsi="Times New Roman" w:cs="Times New Roman"/>
          <w:sz w:val="24"/>
          <w:szCs w:val="24"/>
        </w:rPr>
        <w:t xml:space="preserve">пример того, как может выглядеть граф во вкладке </w:t>
      </w:r>
      <w:r w:rsidRPr="00CD4555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Graph</w:t>
      </w:r>
    </w:p>
    <w:p w14:paraId="1F1FF746" w14:textId="77777777" w:rsidR="00CD4555" w:rsidRPr="00CD4555" w:rsidRDefault="00CD4555" w:rsidP="00CD455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Ограниченность "коробочных" решений</w:t>
      </w:r>
    </w:p>
    <w:p w14:paraId="285DED55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Ограниченность вытекает из самой природы "коробочного" подхода, особенно когда система изначально не была "заточена" под специфику конкретного домена.</w:t>
      </w:r>
    </w:p>
    <w:p w14:paraId="3666927F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Рабочий LightRAG-инстанс с дефолтными промптами, дефолтной типологией сущностей и декларативной настройкой через .env, WebUI и REST API не может стать антихрупким решением в любом домене.</w:t>
      </w:r>
    </w:p>
    <w:p w14:paraId="180EE9F5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lastRenderedPageBreak/>
        <w:t>В общем, как показал наш эксперимент на реальных "юридических" данных, без программирования и понимания домена все еще не обойтись :)</w:t>
      </w:r>
    </w:p>
    <w:p w14:paraId="0F320AFD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Об этом – в следующем разделе.</w:t>
      </w:r>
    </w:p>
    <w:p w14:paraId="0DDC3B1E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</w:rPr>
      </w:pPr>
      <w:r w:rsidRPr="00CD4555">
        <w:rPr>
          <w:rFonts w:ascii="Arial" w:eastAsia="Times New Roman" w:hAnsi="Arial" w:cs="Arial"/>
          <w:color w:val="DEDEDE"/>
          <w:sz w:val="27"/>
          <w:szCs w:val="27"/>
        </w:rPr>
        <w:t>Эксперимент</w:t>
      </w:r>
    </w:p>
    <w:p w14:paraId="54D4B202" w14:textId="77777777" w:rsidR="00CD4555" w:rsidRPr="00CD4555" w:rsidRDefault="00CD4555" w:rsidP="00CD455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Цель эксперимента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– обзорно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исследовательская.</w:t>
      </w:r>
    </w:p>
    <w:p w14:paraId="7EBDD4D5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Раскладывается на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две практические задачи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</w:t>
      </w:r>
    </w:p>
    <w:p w14:paraId="539AF4FA" w14:textId="77777777" w:rsidR="00CD4555" w:rsidRPr="00CD4555" w:rsidRDefault="00CD4555" w:rsidP="00CD4555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Протестировать запуск фреймворка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на дефолтных параметрах с теми же данными, что использовались в предыдущем эксперименте.</w:t>
      </w:r>
    </w:p>
    <w:p w14:paraId="7AB4EF90" w14:textId="77777777" w:rsidR="00CD4555" w:rsidRPr="00CD4555" w:rsidRDefault="00CD4555" w:rsidP="00CD4555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Понять, на каких реальных задачах юридического домена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граф знаний дает не просто прирост качества по сравнению с векторным RAG, а,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в принципе, позволяет их решать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 то есть где ограничения векторного RAG принципиальны.</w:t>
      </w:r>
    </w:p>
    <w:p w14:paraId="0A5751DD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Здесь же стоит обозначить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две методологические рамки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 в которые пришлось вписаться, чтобы сравнение чисто векторной и векторно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графовой систем было корректным.</w:t>
      </w:r>
    </w:p>
    <w:p w14:paraId="52EC4A26" w14:textId="77777777" w:rsidR="00CD4555" w:rsidRPr="00CD4555" w:rsidRDefault="00CD4555" w:rsidP="00CD4555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LightRAG не интегрирован в инфраструктуру LangChain. 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Ensemble Vector RAG из статьи </w:t>
      </w:r>
      <w:hyperlink r:id="rId11" w:history="1"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Law &amp; Practice Ensemble RAG. Как создать ассистента, помогающего решать многоаспектные юридические задачи</w:t>
        </w:r>
      </w:hyperlink>
      <w:r w:rsidRPr="00CD4555">
        <w:rPr>
          <w:rFonts w:ascii="Arial" w:eastAsia="Times New Roman" w:hAnsi="Arial" w:cs="Arial"/>
          <w:color w:val="DEDEDE"/>
          <w:sz w:val="24"/>
          <w:szCs w:val="24"/>
        </w:rPr>
        <w:t> был построен именно вокруг LangChain, что давало ряд возможностей по гибкой настройке пайплайна «из коробки».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br/>
        <w:t>В LightRAG же системе передается сам вопрос пользователя и небольшой объект настроек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режим поиска, число извлекаемых сущностей и чанков, бюджет контекста, опциональная системная инструкция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). Все промежуточные стадии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двухуровневое извлечение ключевых слов, обход графа, векторный поиск по чанкам, слияние результатов и генерация финального текста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 выполняются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внутри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фреймворка, и вмешаться в них на уровне отдельных компонентов так же гибко, как в LCEL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пайплайне, нельзя.</w:t>
      </w:r>
    </w:p>
    <w:p w14:paraId="4DE57CDB" w14:textId="77777777" w:rsidR="00CD4555" w:rsidRPr="00CD4555" w:rsidRDefault="00CD4555" w:rsidP="00CD4555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Количественная оценка с помощью </w:t>
      </w:r>
      <w:hyperlink r:id="rId12" w:tgtFrame="_blank" w:history="1">
        <w:r w:rsidRPr="00CD4555">
          <w:rPr>
            <w:rFonts w:ascii="Arial" w:eastAsia="Times New Roman" w:hAnsi="Arial" w:cs="Arial"/>
            <w:b/>
            <w:bCs/>
            <w:color w:val="4CB6EB"/>
            <w:sz w:val="24"/>
            <w:szCs w:val="24"/>
          </w:rPr>
          <w:t>RAGAS</w:t>
        </w:r>
      </w:hyperlink>
      <w:r w:rsidRPr="00CD4555">
        <w:rPr>
          <w:rFonts w:ascii="Arial" w:eastAsia="Times New Roman" w:hAnsi="Arial" w:cs="Arial"/>
          <w:color w:val="DEDEDE"/>
          <w:sz w:val="24"/>
          <w:szCs w:val="24"/>
        </w:rPr>
        <w:t>, на мой взгляд, применительно к графовым RAG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системам в юридическом домене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 является ограниченной и не всегда репрезентативной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.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br/>
        <w:t>Метрики для оценки полноты и качества извлеченного системой контекста 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context_precision и context_recall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 спроектированы для парадигмы 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ля «чанки текста как атомарные единицы извлечения». Контекст, который собирает LightRAG в режиме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mix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(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наиболее эффективном для юридического домена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), гетерогенен по природе: это смесь сущностей графа, описаний ребер и текстовых чанков. Что считать «релевантным контекстом» в случае ребра графа, описание которого лишь косвенно связано с запросом, но при этом играет роль логического моста между двумя несомненно релевантными сущностями?</w:t>
      </w:r>
    </w:p>
    <w:p w14:paraId="77F3AA5B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Практические следствия:</w:t>
      </w:r>
    </w:p>
    <w:p w14:paraId="59DB6C3A" w14:textId="77777777" w:rsidR="00CD4555" w:rsidRPr="00CD4555" w:rsidRDefault="00CD4555" w:rsidP="00CD4555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Векторная часть фреймворка в эксперименте используется "из коробки", без специальной донастройки ретривера.</w:t>
      </w:r>
    </w:p>
    <w:p w14:paraId="51D3E0FC" w14:textId="77777777" w:rsidR="00CD4555" w:rsidRPr="00CD4555" w:rsidRDefault="00CD4555" w:rsidP="00CD4555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Оценка проведена на репрезентативных запросах, которые либо прямо соотносятся с базой знаний, либо специально подобраны для проверки гипотезы о том, что графовый подход справляется там, где векторный принципиально ограничен.</w:t>
      </w:r>
    </w:p>
    <w:p w14:paraId="486AFD50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lastRenderedPageBreak/>
        <w:t>При этом, забегая немного вперед, с графовой частью пришлось поработать "руками": "коробочной" конфигурации для серьезной работы с юридическим доменом ожидаемо оказалось недостаточно.</w:t>
      </w:r>
    </w:p>
    <w:p w14:paraId="4B84B0C4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Для чистоты сравнительного тестирования мы продолжим работать с тем же корпусом, что использовался в </w:t>
      </w:r>
      <w:hyperlink r:id="rId13" w:history="1"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эксперименте</w:t>
        </w:r>
      </w:hyperlink>
      <w:r w:rsidRPr="00CD4555">
        <w:rPr>
          <w:rFonts w:ascii="Arial" w:eastAsia="Times New Roman" w:hAnsi="Arial" w:cs="Arial"/>
          <w:color w:val="DEDEDE"/>
          <w:sz w:val="24"/>
          <w:szCs w:val="24"/>
        </w:rPr>
        <w:t> с Ensemble Vector RAG.</w:t>
      </w:r>
    </w:p>
    <w:p w14:paraId="3C7E2CB7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Источники знаний</w:t>
      </w:r>
    </w:p>
    <w:p w14:paraId="4F863655" w14:textId="77777777" w:rsidR="00CD4555" w:rsidRPr="00CD4555" w:rsidRDefault="00CD4555" w:rsidP="00CD455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 качестве источников знаний использовал неструктурированные (но специально подобранные и отобранные) текстовые данные в машиночитаемом формате, которые условно обозначим как "юридические тексты в сфере недвижимого имущества":</w:t>
      </w:r>
    </w:p>
    <w:p w14:paraId="6ADF2A27" w14:textId="77777777" w:rsidR="00CD4555" w:rsidRPr="00CD4555" w:rsidRDefault="00CD4555" w:rsidP="00CD4555">
      <w:pPr>
        <w:numPr>
          <w:ilvl w:val="0"/>
          <w:numId w:val="9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Тексты законов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 в данном случае, учитывая стоимость индексации и особенности постобработки графа при оптимизации, необходимостью визуализации и демонстрации построенного графа, было решено ограничиться основным и наиболее репрезентативным источником – Гражданским кодексом Российской Федерации (части 1, 2).</w:t>
      </w:r>
    </w:p>
    <w:p w14:paraId="0E60FAC1" w14:textId="77777777" w:rsidR="00CD4555" w:rsidRPr="00CD4555" w:rsidRDefault="00CD4555" w:rsidP="00CD4555">
      <w:pPr>
        <w:numPr>
          <w:ilvl w:val="0"/>
          <w:numId w:val="9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Тексты решений Верховного Суда Российской Федерации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 110 релевантных текстов, в которых рассматриваются вопросы неоднозначной квалификации объектов имущества, за период: 2006–2023.</w:t>
      </w:r>
    </w:p>
    <w:p w14:paraId="1DF2A87F" w14:textId="77777777" w:rsidR="00CD4555" w:rsidRPr="00CD4555" w:rsidRDefault="00CD4555" w:rsidP="00CD455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Особенности, на которые стоит обратить внимание.</w:t>
      </w:r>
    </w:p>
    <w:p w14:paraId="0136C484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1. Необходимость патча асинхронности.</w:t>
      </w:r>
    </w:p>
    <w:p w14:paraId="2D1DAE28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Один из базовых архитектурных принципов фреймворка – асинхронность. Ключевые методы существуют в двух вариантах:</w:t>
      </w:r>
    </w:p>
    <w:p w14:paraId="66AF02D5" w14:textId="77777777" w:rsidR="00CD4555" w:rsidRPr="00CD4555" w:rsidRDefault="00CD4555" w:rsidP="00CD4555">
      <w:pPr>
        <w:numPr>
          <w:ilvl w:val="0"/>
          <w:numId w:val="10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асинхронные корутины: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ainsert()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aquery()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initialize_storages()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и</w:t>
      </w:r>
    </w:p>
    <w:p w14:paraId="630C8399" w14:textId="77777777" w:rsidR="00CD4555" w:rsidRPr="00CD4555" w:rsidRDefault="00CD4555" w:rsidP="00CD4555">
      <w:pPr>
        <w:numPr>
          <w:ilvl w:val="0"/>
          <w:numId w:val="10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синхронные обертки над ними: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insert()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query()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.</w:t>
      </w:r>
    </w:p>
    <w:p w14:paraId="72218169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 интерактивной среде (Jupyter, Kaggle и Colab) управляющий цикл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event loop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уже запущен самим ядром ноутбука. А стандартные способы запуска асинхронного кода рассчитаны на то, что цикл они создают сами, "с нуля". Натыкаясь на уже работающий цикл, они падают с ошибкой:</w:t>
      </w:r>
    </w:p>
    <w:p w14:paraId="0A6E8A84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RuntimeError: This event loop is already running</w:t>
      </w:r>
    </w:p>
    <w:p w14:paraId="4DC496AF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Решение – патч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nest_asyncio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: перед первым вызовом методов LightRAG он "оборачивает" уже работающий </w:t>
      </w:r>
      <w:r w:rsidRPr="00CD4555">
        <w:rPr>
          <w:rFonts w:ascii="Arial" w:eastAsia="Times New Roman" w:hAnsi="Arial" w:cs="Arial"/>
          <w:i/>
          <w:iCs/>
          <w:color w:val="DEDEDE"/>
          <w:sz w:val="24"/>
          <w:szCs w:val="24"/>
        </w:rPr>
        <w:t>event loop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 позволяя запускать в нем новые корутины. Реализован в коде выше.</w:t>
      </w:r>
    </w:p>
    <w:p w14:paraId="09D5A247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2. Подключение эмбеддеров не из дефолтного набора.</w:t>
      </w:r>
    </w:p>
    <w:p w14:paraId="63BF2414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LightRAG на текущий момент поддерживает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openai_embed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– встроенную функцию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обертку для эмбеддеров OpenAI (по умолчанию text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embedding-3-small, 1536 dim), а также модели через Ollama.</w:t>
      </w:r>
    </w:p>
    <w:p w14:paraId="36D80C80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 xml:space="preserve">Если вы хотите использовать эмбеддер не из дефолтного набора, а, например, загрузить веса модели из HuggingFace, придется написать асинхронную обертку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lastRenderedPageBreak/>
        <w:t>над такой моделью. Для этого в LightRAG предусмотрен специальный класс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адаптер EmbeddingFunc.</w:t>
      </w:r>
    </w:p>
    <w:p w14:paraId="1964604C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Я использовал LaBSE от HuggingFace. Если вы захотите взять, например, современную и эффективную для русского языка </w:t>
      </w: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GigaEmbeddings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(Sber), которую можно скачать с HuggingFace, придется проделать аналогичные шаги:</w:t>
      </w:r>
    </w:p>
    <w:p w14:paraId="59233E59" w14:textId="77777777" w:rsidR="00CD4555" w:rsidRPr="00CD4555" w:rsidRDefault="00CD4555" w:rsidP="00CD455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3. Привязка встроенных функций к OpenAI.</w:t>
      </w:r>
    </w:p>
    <w:p w14:paraId="381BCCCD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LightRAG также имеет встроенный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gpt_4o_mini_complete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 но он жестко привязан к официальному эндпоинту OpenAI. Для оплаты в рублях из России использовал </w:t>
      </w:r>
      <w:hyperlink r:id="rId14" w:tgtFrame="_blank" w:history="1">
        <w:r w:rsidRPr="00CD4555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VseLLM</w:t>
        </w:r>
      </w:hyperlink>
      <w:r w:rsidRPr="00CD4555">
        <w:rPr>
          <w:rFonts w:ascii="Arial" w:eastAsia="Times New Roman" w:hAnsi="Arial" w:cs="Arial"/>
          <w:color w:val="DEDEDE"/>
          <w:sz w:val="24"/>
          <w:szCs w:val="24"/>
        </w:rPr>
        <w:t> – российский OpenAI-совместимый прокси (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 xml:space="preserve">base_url 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переопределяем самостоятельно через </w:t>
      </w: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openai_complete_if_cache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, как в коде ниже):</w:t>
      </w:r>
    </w:p>
    <w:p w14:paraId="2F54C7B2" w14:textId="77777777" w:rsidR="00CD4555" w:rsidRPr="00CD4555" w:rsidRDefault="00CD4555" w:rsidP="00CD455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Несколько технических нюансов:</w:t>
      </w:r>
    </w:p>
    <w:p w14:paraId="627DCE0E" w14:textId="77777777" w:rsidR="00CD4555" w:rsidRPr="00CD4555" w:rsidRDefault="00CD4555" w:rsidP="00CD4555">
      <w:pPr>
        <w:numPr>
          <w:ilvl w:val="0"/>
          <w:numId w:val="1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openai_complete_if_cache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– встроенная функция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обертка LightRAG, которая автоматически кеширует ответы LLM: для экономии на повторных вызовах на идентичных фрагментах;</w:t>
      </w:r>
    </w:p>
    <w:p w14:paraId="0F56D97D" w14:textId="77777777" w:rsidR="00CD4555" w:rsidRPr="00CD4555" w:rsidRDefault="00CD4555" w:rsidP="00CD4555">
      <w:pPr>
        <w:numPr>
          <w:ilvl w:val="0"/>
          <w:numId w:val="1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Consolas" w:eastAsia="Times New Roman" w:hAnsi="Consolas" w:cs="Courier New"/>
          <w:color w:val="DEDEDE"/>
          <w:sz w:val="20"/>
          <w:szCs w:val="20"/>
          <w:shd w:val="clear" w:color="auto" w:fill="262626"/>
        </w:rPr>
        <w:t>max_tokens=3000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– с запасом, потому как на этапе extraction LLM генерирует не только список сущностей, но и развернутые описания каждой из них.</w:t>
      </w:r>
    </w:p>
    <w:p w14:paraId="11E24131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Инициализация LightRAG-инстанса и запуск индексации.</w:t>
      </w:r>
    </w:p>
    <w:p w14:paraId="2FEBB1CB" w14:textId="77777777" w:rsidR="00CD4555" w:rsidRPr="00CD4555" w:rsidRDefault="00CD4555" w:rsidP="00CD455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Собираем все вместе:</w:t>
      </w:r>
    </w:p>
    <w:p w14:paraId="0A9FC6BE" w14:textId="2AE6708D" w:rsidR="00CD4555" w:rsidRPr="00CD4555" w:rsidRDefault="00CD4555" w:rsidP="00CD455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b/>
          <w:bCs/>
          <w:color w:val="DEDEDE"/>
          <w:sz w:val="24"/>
          <w:szCs w:val="24"/>
        </w:rPr>
        <w:t>ainsert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t> запускает pipeline индексации: LightRAG разбивает корпус на чанки, прогоняет каждый через GPT-4o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mini для извлечения сущностей и связей, профилирует их через LLM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описания, векторизует через LaBSE и сохраняет одновременно в трех хранилищах: графовом (NetworkX), key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value (JSON) и векторном (NanoVectorDB).</w:t>
      </w:r>
    </w:p>
    <w:p w14:paraId="2E98272F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Время, затраченное на индексацию</w:t>
      </w:r>
    </w:p>
    <w:p w14:paraId="1E23F449" w14:textId="77777777" w:rsidR="00CD4555" w:rsidRPr="00CD4555" w:rsidRDefault="00CD4555" w:rsidP="00CD455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На моем корпусе – ГК РФ (части 1 и 2) + 110 решений ВС РФ, построение графа заняло около 5–6 часов. Разброс связан с тем, что индексация выполнялась не за один проход, а инкрементально, в несколько сессий:</w:t>
      </w:r>
    </w:p>
    <w:p w14:paraId="7D428A1C" w14:textId="77777777" w:rsidR="00CD4555" w:rsidRPr="00CD4555" w:rsidRDefault="00CD4555" w:rsidP="00CD455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Время определяется не только объемом корпуса, но и инфраструктурой LLM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вызовов: латентность облачного прокси VseLLM, параллелизм (4 одновременных запроса) и (незначительно) вычисление LaBSE</w:t>
      </w:r>
      <w:r w:rsidRPr="00CD4555">
        <w:rPr>
          <w:rFonts w:ascii="Arial" w:eastAsia="Times New Roman" w:hAnsi="Arial" w:cs="Arial"/>
          <w:color w:val="DEDEDE"/>
          <w:sz w:val="24"/>
          <w:szCs w:val="24"/>
        </w:rPr>
        <w:noBreakHyphen/>
        <w:t>эмбеддингов на CPU.</w:t>
      </w:r>
    </w:p>
    <w:p w14:paraId="7CB9586B" w14:textId="77777777" w:rsidR="00CD4555" w:rsidRPr="00CD4555" w:rsidRDefault="00CD4555" w:rsidP="00CD4555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</w:rPr>
      </w:pPr>
      <w:r w:rsidRPr="00CD4555">
        <w:rPr>
          <w:rFonts w:ascii="Arial" w:eastAsia="Times New Roman" w:hAnsi="Arial" w:cs="Arial"/>
          <w:color w:val="DEDEDE"/>
          <w:sz w:val="27"/>
          <w:szCs w:val="27"/>
        </w:rPr>
        <w:t>Граф знаний LightRAG без тонкой настройки</w:t>
      </w:r>
    </w:p>
    <w:p w14:paraId="6D81F1A3" w14:textId="77777777" w:rsidR="00CD4555" w:rsidRPr="00CD4555" w:rsidRDefault="00CD4555" w:rsidP="00CD455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D4555">
        <w:rPr>
          <w:rFonts w:ascii="Arial" w:eastAsia="Times New Roman" w:hAnsi="Arial" w:cs="Arial"/>
          <w:color w:val="DEDEDE"/>
          <w:sz w:val="24"/>
          <w:szCs w:val="24"/>
        </w:rPr>
        <w:t>Итак, что мы получили из "коробки", подкорректировав пару дефолтных параметров.</w:t>
      </w:r>
    </w:p>
    <w:sectPr w:rsidR="00CD4555" w:rsidRPr="00CD4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14B19"/>
    <w:multiLevelType w:val="multilevel"/>
    <w:tmpl w:val="678A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F4AEA"/>
    <w:multiLevelType w:val="multilevel"/>
    <w:tmpl w:val="85E8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40FC0"/>
    <w:multiLevelType w:val="multilevel"/>
    <w:tmpl w:val="B934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C505E"/>
    <w:multiLevelType w:val="multilevel"/>
    <w:tmpl w:val="D144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155A7"/>
    <w:multiLevelType w:val="multilevel"/>
    <w:tmpl w:val="47F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E724F"/>
    <w:multiLevelType w:val="multilevel"/>
    <w:tmpl w:val="129A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95AF8"/>
    <w:multiLevelType w:val="multilevel"/>
    <w:tmpl w:val="52BE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F76A5"/>
    <w:multiLevelType w:val="multilevel"/>
    <w:tmpl w:val="C5C8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C83593"/>
    <w:multiLevelType w:val="multilevel"/>
    <w:tmpl w:val="06BE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FE3B10"/>
    <w:multiLevelType w:val="multilevel"/>
    <w:tmpl w:val="2182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E4958"/>
    <w:multiLevelType w:val="multilevel"/>
    <w:tmpl w:val="CC90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9"/>
  </w:num>
  <w:num w:numId="6">
    <w:abstractNumId w:val="0"/>
  </w:num>
  <w:num w:numId="7">
    <w:abstractNumId w:val="10"/>
  </w:num>
  <w:num w:numId="8">
    <w:abstractNumId w:val="7"/>
  </w:num>
  <w:num w:numId="9">
    <w:abstractNumId w:val="8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19"/>
    <w:rsid w:val="001D558D"/>
    <w:rsid w:val="006E1902"/>
    <w:rsid w:val="00CA1C19"/>
    <w:rsid w:val="00CD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81DBE"/>
  <w15:chartTrackingRefBased/>
  <w15:docId w15:val="{856E054A-97AF-4E96-8419-13C255B6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D45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D45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D455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CD455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a"/>
    <w:rsid w:val="00CD4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D4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D4555"/>
    <w:rPr>
      <w:b/>
      <w:bCs/>
    </w:rPr>
  </w:style>
  <w:style w:type="character" w:styleId="a5">
    <w:name w:val="Emphasis"/>
    <w:basedOn w:val="a0"/>
    <w:uiPriority w:val="20"/>
    <w:qFormat/>
    <w:rsid w:val="00CD4555"/>
    <w:rPr>
      <w:i/>
      <w:iCs/>
    </w:rPr>
  </w:style>
  <w:style w:type="character" w:styleId="HTML">
    <w:name w:val="HTML Code"/>
    <w:basedOn w:val="a0"/>
    <w:uiPriority w:val="99"/>
    <w:semiHidden/>
    <w:unhideWhenUsed/>
    <w:rsid w:val="00CD4555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CD4555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CD4555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D45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CD4555"/>
    <w:rPr>
      <w:rFonts w:ascii="Courier New" w:eastAsia="Times New Roman" w:hAnsi="Courier New" w:cs="Courier New"/>
      <w:sz w:val="20"/>
      <w:szCs w:val="20"/>
    </w:rPr>
  </w:style>
  <w:style w:type="character" w:customStyle="1" w:styleId="5">
    <w:name w:val="ͼ5"/>
    <w:basedOn w:val="a0"/>
    <w:rsid w:val="00CD4555"/>
  </w:style>
  <w:style w:type="character" w:customStyle="1" w:styleId="6">
    <w:name w:val="ͼ6"/>
    <w:basedOn w:val="a0"/>
    <w:rsid w:val="00CD4555"/>
  </w:style>
  <w:style w:type="character" w:customStyle="1" w:styleId="8">
    <w:name w:val="ͼ8"/>
    <w:basedOn w:val="a0"/>
    <w:rsid w:val="00CD4555"/>
  </w:style>
  <w:style w:type="character" w:customStyle="1" w:styleId="41">
    <w:name w:val="ͼ4"/>
    <w:basedOn w:val="a0"/>
    <w:rsid w:val="00CD4555"/>
  </w:style>
  <w:style w:type="character" w:customStyle="1" w:styleId="7">
    <w:name w:val="ͼ7"/>
    <w:basedOn w:val="a0"/>
    <w:rsid w:val="00CD4555"/>
  </w:style>
  <w:style w:type="character" w:customStyle="1" w:styleId="9">
    <w:name w:val="ͼ9"/>
    <w:basedOn w:val="a0"/>
    <w:rsid w:val="00CD4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5698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9139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03338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71942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08010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719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936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535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2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84699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4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3178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6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52253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621/webui/" TargetMode="External"/><Relationship Id="rId13" Type="http://schemas.openxmlformats.org/officeDocument/2006/relationships/hyperlink" Target="https://habr.com/ru/companies/otus/articles/94635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ocker.com/products/docker-desktop/" TargetMode="External"/><Relationship Id="rId12" Type="http://schemas.openxmlformats.org/officeDocument/2006/relationships/hyperlink" Target="https://docs.ragas.io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dn.learnopencv.com/wp-content/uploads/2024/11/04083659/LightRAG-Workflow-Illustration-Legal-Doc-Analysis-Graph-Indexing-Dual-Level-Retrieval-1.mp4" TargetMode="External"/><Relationship Id="rId11" Type="http://schemas.openxmlformats.org/officeDocument/2006/relationships/hyperlink" Target="https://habr.com/ru/companies/otus/articles/946012/" TargetMode="External"/><Relationship Id="rId5" Type="http://schemas.openxmlformats.org/officeDocument/2006/relationships/hyperlink" Target="https://learnopencv.com/lightrag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HKUDS/LightRA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kploy.com/" TargetMode="External"/><Relationship Id="rId14" Type="http://schemas.openxmlformats.org/officeDocument/2006/relationships/hyperlink" Target="https://vsellm.ru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2654</Words>
  <Characters>15131</Characters>
  <Application>Microsoft Office Word</Application>
  <DocSecurity>0</DocSecurity>
  <Lines>126</Lines>
  <Paragraphs>35</Paragraphs>
  <ScaleCrop>false</ScaleCrop>
  <Company/>
  <LinksUpToDate>false</LinksUpToDate>
  <CharactersWithSpaces>17750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4</cp:revision>
  <dcterms:created xsi:type="dcterms:W3CDTF">2026-06-17T09:12:00Z</dcterms:created>
  <dcterms:modified xsi:type="dcterms:W3CDTF">2026-06-17T10:18:00Z</dcterms:modified>
</cp:coreProperties>
</file>