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Cagande, Micaela C.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BSIT 2-A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  <w:t xml:space="preserve">Practice Exercise 2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Quantitative Methods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Procedures: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3775"/>
        <w:gridCol w:w="2458"/>
        <w:gridCol w:w="3117"/>
      </w:tblGrid>
      <w:tr>
        <w:trPr>
          <w:trHeight w:val="1" w:hRule="atLeast"/>
          <w:jc w:val="center"/>
        </w:trPr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Traffic Spots in Metro Manila</w:t>
            </w:r>
          </w:p>
        </w:tc>
        <w:tc>
          <w:tcPr>
            <w:tcW w:w="24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Percentage of Respondents</w:t>
            </w:r>
          </w:p>
        </w:tc>
        <w:tc>
          <w:tcPr>
            <w:tcW w:w="31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Central Angel</w:t>
            </w:r>
          </w:p>
        </w:tc>
      </w:tr>
      <w:tr>
        <w:trPr>
          <w:trHeight w:val="1" w:hRule="atLeast"/>
          <w:jc w:val="center"/>
        </w:trPr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Alabang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–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 Zapote Road (Las Penas)</w:t>
            </w:r>
          </w:p>
        </w:tc>
        <w:tc>
          <w:tcPr>
            <w:tcW w:w="24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0.08 = 8%</w:t>
            </w:r>
          </w:p>
        </w:tc>
        <w:tc>
          <w:tcPr>
            <w:tcW w:w="31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0.08 * 360 =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FFFF00" w:val="clear"/>
              </w:rPr>
              <w:t xml:space="preserve">28.8</w:t>
            </w:r>
          </w:p>
        </w:tc>
      </w:tr>
      <w:tr>
        <w:trPr>
          <w:trHeight w:val="1" w:hRule="atLeast"/>
          <w:jc w:val="center"/>
        </w:trPr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Circumferential Road 5 (CS)</w:t>
            </w:r>
          </w:p>
        </w:tc>
        <w:tc>
          <w:tcPr>
            <w:tcW w:w="24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0.03 = 3%</w:t>
            </w:r>
          </w:p>
        </w:tc>
        <w:tc>
          <w:tcPr>
            <w:tcW w:w="31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0.03 * 360 =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FFFF00" w:val="clear"/>
              </w:rPr>
              <w:t xml:space="preserve">10.8</w:t>
            </w:r>
          </w:p>
        </w:tc>
      </w:tr>
      <w:tr>
        <w:trPr>
          <w:trHeight w:val="1" w:hRule="atLeast"/>
          <w:jc w:val="center"/>
        </w:trPr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Commonwealth Quezon City</w:t>
            </w:r>
          </w:p>
        </w:tc>
        <w:tc>
          <w:tcPr>
            <w:tcW w:w="24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0.15 = 15%</w:t>
            </w:r>
          </w:p>
        </w:tc>
        <w:tc>
          <w:tcPr>
            <w:tcW w:w="31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0.15 * 360 =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FFFF00" w:val="clear"/>
              </w:rPr>
              <w:t xml:space="preserve">54</w:t>
            </w:r>
          </w:p>
        </w:tc>
      </w:tr>
      <w:tr>
        <w:trPr>
          <w:trHeight w:val="1" w:hRule="atLeast"/>
          <w:jc w:val="center"/>
        </w:trPr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EDSA</w:t>
            </w:r>
          </w:p>
        </w:tc>
        <w:tc>
          <w:tcPr>
            <w:tcW w:w="24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0.28 = 28%</w:t>
            </w:r>
          </w:p>
        </w:tc>
        <w:tc>
          <w:tcPr>
            <w:tcW w:w="31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0.28 * 360 =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FFFF00" w:val="clear"/>
              </w:rPr>
              <w:t xml:space="preserve">100.8</w:t>
            </w:r>
          </w:p>
        </w:tc>
      </w:tr>
      <w:tr>
        <w:trPr>
          <w:trHeight w:val="1" w:hRule="atLeast"/>
          <w:jc w:val="center"/>
        </w:trPr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Espana Boulevard, Manila</w:t>
            </w:r>
          </w:p>
        </w:tc>
        <w:tc>
          <w:tcPr>
            <w:tcW w:w="24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0.13 = 13%</w:t>
            </w:r>
          </w:p>
        </w:tc>
        <w:tc>
          <w:tcPr>
            <w:tcW w:w="31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0.13 * 360 =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FFFF00" w:val="clear"/>
              </w:rPr>
              <w:t xml:space="preserve">46.8</w:t>
            </w:r>
          </w:p>
        </w:tc>
      </w:tr>
      <w:tr>
        <w:trPr>
          <w:trHeight w:val="1" w:hRule="atLeast"/>
          <w:jc w:val="center"/>
        </w:trPr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Gil Puyat Buendia Makati/Manila</w:t>
            </w:r>
          </w:p>
        </w:tc>
        <w:tc>
          <w:tcPr>
            <w:tcW w:w="24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0.07 = 7%</w:t>
            </w:r>
          </w:p>
        </w:tc>
        <w:tc>
          <w:tcPr>
            <w:tcW w:w="31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0.07 * 360 =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FFFF00" w:val="clear"/>
              </w:rPr>
              <w:t xml:space="preserve">25.2</w:t>
            </w:r>
          </w:p>
        </w:tc>
      </w:tr>
      <w:tr>
        <w:trPr>
          <w:trHeight w:val="1" w:hRule="atLeast"/>
          <w:jc w:val="center"/>
        </w:trPr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Osmena Highway, Makati/Manila</w:t>
            </w:r>
          </w:p>
        </w:tc>
        <w:tc>
          <w:tcPr>
            <w:tcW w:w="24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0.02 = 2%</w:t>
            </w:r>
          </w:p>
        </w:tc>
        <w:tc>
          <w:tcPr>
            <w:tcW w:w="31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0.02 * 360 =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FFFF00" w:val="clear"/>
              </w:rPr>
              <w:t xml:space="preserve">7.2</w:t>
            </w:r>
          </w:p>
        </w:tc>
      </w:tr>
      <w:tr>
        <w:trPr>
          <w:trHeight w:val="1" w:hRule="atLeast"/>
          <w:jc w:val="center"/>
        </w:trPr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Recto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–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 Quiapo Manila</w:t>
            </w:r>
          </w:p>
        </w:tc>
        <w:tc>
          <w:tcPr>
            <w:tcW w:w="24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0.25 = 25%</w:t>
            </w:r>
          </w:p>
        </w:tc>
        <w:tc>
          <w:tcPr>
            <w:tcW w:w="31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0.25 * 360 =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FFFF00" w:val="clear"/>
              </w:rPr>
              <w:t xml:space="preserve">90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6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object w:dxaOrig="11232" w:dyaOrig="5725">
          <v:rect xmlns:o="urn:schemas-microsoft-com:office:office" xmlns:v="urn:schemas-microsoft-com:vml" id="rectole0000000000" style="width:561.600000pt;height:286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8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object w:dxaOrig="11438" w:dyaOrig="5725">
          <v:rect xmlns:o="urn:schemas-microsoft-com:office:office" xmlns:v="urn:schemas-microsoft-com:vml" id="rectole0000000001" style="width:571.900000pt;height:286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object w:dxaOrig="11232" w:dyaOrig="5627">
          <v:rect xmlns:o="urn:schemas-microsoft-com:office:office" xmlns:v="urn:schemas-microsoft-com:vml" id="rectole0000000002" style="width:561.600000pt;height:281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2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object w:dxaOrig="11232" w:dyaOrig="5624">
          <v:rect xmlns:o="urn:schemas-microsoft-com:office:office" xmlns:v="urn:schemas-microsoft-com:vml" id="rectole0000000003" style="width:561.600000pt;height:281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Essay: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ab/>
        <w:br/>
      </w:r>
    </w:p>
    <w:p>
      <w:pPr>
        <w:numPr>
          <w:ilvl w:val="0"/>
          <w:numId w:val="34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object w:dxaOrig="11232" w:dyaOrig="5650">
          <v:rect xmlns:o="urn:schemas-microsoft-com:office:office" xmlns:v="urn:schemas-microsoft-com:vml" id="rectole0000000004" style="width:561.600000pt;height:282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6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object w:dxaOrig="11232" w:dyaOrig="5680">
          <v:rect xmlns:o="urn:schemas-microsoft-com:office:office" xmlns:v="urn:schemas-microsoft-com:vml" id="rectole0000000005" style="width:561.600000pt;height:284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num w:numId="4">
    <w:abstractNumId w:val="36"/>
  </w:num>
  <w:num w:numId="26">
    <w:abstractNumId w:val="30"/>
  </w:num>
  <w:num w:numId="28">
    <w:abstractNumId w:val="24"/>
  </w:num>
  <w:num w:numId="30">
    <w:abstractNumId w:val="18"/>
  </w:num>
  <w:num w:numId="32">
    <w:abstractNumId w:val="12"/>
  </w:num>
  <w:num w:numId="34">
    <w:abstractNumId w:val="6"/>
  </w:num>
  <w:num w:numId="3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