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2C32" w14:textId="77777777" w:rsidR="00FD51E3" w:rsidRDefault="00FD51E3"/>
    <w:p w14:paraId="3DCC1B5F" w14:textId="77777777" w:rsidR="006B1CAE" w:rsidRDefault="006B1CAE"/>
    <w:p w14:paraId="5007262A" w14:textId="4A096CC2" w:rsidR="006B1CAE" w:rsidRDefault="006B1CAE">
      <w:r w:rsidRPr="006B1CAE">
        <w:drawing>
          <wp:inline distT="0" distB="0" distL="0" distR="0" wp14:anchorId="669E3700" wp14:editId="69BBFDBA">
            <wp:extent cx="5943600" cy="6529705"/>
            <wp:effectExtent l="0" t="0" r="0" b="0"/>
            <wp:docPr id="836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4728" name=""/>
                    <pic:cNvPicPr/>
                  </pic:nvPicPr>
                  <pic:blipFill>
                    <a:blip r:embed="rId4"/>
                    <a:stretch>
                      <a:fillRect/>
                    </a:stretch>
                  </pic:blipFill>
                  <pic:spPr>
                    <a:xfrm>
                      <a:off x="0" y="0"/>
                      <a:ext cx="5943600" cy="6529705"/>
                    </a:xfrm>
                    <a:prstGeom prst="rect">
                      <a:avLst/>
                    </a:prstGeom>
                  </pic:spPr>
                </pic:pic>
              </a:graphicData>
            </a:graphic>
          </wp:inline>
        </w:drawing>
      </w:r>
    </w:p>
    <w:p w14:paraId="1B2149DF" w14:textId="77777777" w:rsidR="006B1CAE" w:rsidRDefault="006B1CAE"/>
    <w:p w14:paraId="2D6F60A6" w14:textId="36EBDDC1" w:rsidR="006B1CAE" w:rsidRDefault="006B1CAE">
      <w:r w:rsidRPr="006B1CAE">
        <w:lastRenderedPageBreak/>
        <w:drawing>
          <wp:inline distT="0" distB="0" distL="0" distR="0" wp14:anchorId="11A705D0" wp14:editId="011C1A50">
            <wp:extent cx="5943600" cy="6184265"/>
            <wp:effectExtent l="0" t="0" r="0" b="635"/>
            <wp:docPr id="3931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17191" name=""/>
                    <pic:cNvPicPr/>
                  </pic:nvPicPr>
                  <pic:blipFill>
                    <a:blip r:embed="rId5"/>
                    <a:stretch>
                      <a:fillRect/>
                    </a:stretch>
                  </pic:blipFill>
                  <pic:spPr>
                    <a:xfrm>
                      <a:off x="0" y="0"/>
                      <a:ext cx="5943600" cy="6184265"/>
                    </a:xfrm>
                    <a:prstGeom prst="rect">
                      <a:avLst/>
                    </a:prstGeom>
                  </pic:spPr>
                </pic:pic>
              </a:graphicData>
            </a:graphic>
          </wp:inline>
        </w:drawing>
      </w:r>
    </w:p>
    <w:p w14:paraId="22C94ACE" w14:textId="77777777" w:rsidR="006B1CAE" w:rsidRDefault="006B1CAE"/>
    <w:p w14:paraId="18074BF8" w14:textId="5E225E07" w:rsidR="006B1CAE" w:rsidRDefault="006B1CAE">
      <w:r w:rsidRPr="006B1CAE">
        <w:lastRenderedPageBreak/>
        <w:drawing>
          <wp:inline distT="0" distB="0" distL="0" distR="0" wp14:anchorId="677E269B" wp14:editId="74D746E0">
            <wp:extent cx="5943600" cy="5978525"/>
            <wp:effectExtent l="0" t="0" r="0" b="3175"/>
            <wp:docPr id="14024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91610" name=""/>
                    <pic:cNvPicPr/>
                  </pic:nvPicPr>
                  <pic:blipFill>
                    <a:blip r:embed="rId6"/>
                    <a:stretch>
                      <a:fillRect/>
                    </a:stretch>
                  </pic:blipFill>
                  <pic:spPr>
                    <a:xfrm>
                      <a:off x="0" y="0"/>
                      <a:ext cx="5943600" cy="5978525"/>
                    </a:xfrm>
                    <a:prstGeom prst="rect">
                      <a:avLst/>
                    </a:prstGeom>
                  </pic:spPr>
                </pic:pic>
              </a:graphicData>
            </a:graphic>
          </wp:inline>
        </w:drawing>
      </w:r>
    </w:p>
    <w:p w14:paraId="4628B1E6" w14:textId="77777777" w:rsidR="006B1CAE" w:rsidRDefault="006B1CAE"/>
    <w:p w14:paraId="3350F614" w14:textId="58E8C03C" w:rsidR="006B1CAE" w:rsidRDefault="006B1CAE">
      <w:r w:rsidRPr="006B1CAE">
        <w:lastRenderedPageBreak/>
        <w:drawing>
          <wp:inline distT="0" distB="0" distL="0" distR="0" wp14:anchorId="7423B382" wp14:editId="2E0E441B">
            <wp:extent cx="5943600" cy="6494780"/>
            <wp:effectExtent l="0" t="0" r="0" b="0"/>
            <wp:docPr id="70236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66466" name=""/>
                    <pic:cNvPicPr/>
                  </pic:nvPicPr>
                  <pic:blipFill>
                    <a:blip r:embed="rId7"/>
                    <a:stretch>
                      <a:fillRect/>
                    </a:stretch>
                  </pic:blipFill>
                  <pic:spPr>
                    <a:xfrm>
                      <a:off x="0" y="0"/>
                      <a:ext cx="5943600" cy="6494780"/>
                    </a:xfrm>
                    <a:prstGeom prst="rect">
                      <a:avLst/>
                    </a:prstGeom>
                  </pic:spPr>
                </pic:pic>
              </a:graphicData>
            </a:graphic>
          </wp:inline>
        </w:drawing>
      </w:r>
    </w:p>
    <w:p w14:paraId="5BEE322C" w14:textId="77777777" w:rsidR="006B1CAE" w:rsidRDefault="006B1CAE"/>
    <w:p w14:paraId="2A2E481F" w14:textId="27496261" w:rsidR="006B1CAE" w:rsidRDefault="006B1CAE">
      <w:r w:rsidRPr="006B1CAE">
        <w:lastRenderedPageBreak/>
        <w:drawing>
          <wp:inline distT="0" distB="0" distL="0" distR="0" wp14:anchorId="454FD8F6" wp14:editId="0D51F79F">
            <wp:extent cx="5943600" cy="5936615"/>
            <wp:effectExtent l="0" t="0" r="0" b="0"/>
            <wp:docPr id="211165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58136" name=""/>
                    <pic:cNvPicPr/>
                  </pic:nvPicPr>
                  <pic:blipFill>
                    <a:blip r:embed="rId8"/>
                    <a:stretch>
                      <a:fillRect/>
                    </a:stretch>
                  </pic:blipFill>
                  <pic:spPr>
                    <a:xfrm>
                      <a:off x="0" y="0"/>
                      <a:ext cx="5943600" cy="5936615"/>
                    </a:xfrm>
                    <a:prstGeom prst="rect">
                      <a:avLst/>
                    </a:prstGeom>
                  </pic:spPr>
                </pic:pic>
              </a:graphicData>
            </a:graphic>
          </wp:inline>
        </w:drawing>
      </w:r>
    </w:p>
    <w:p w14:paraId="253D6E48" w14:textId="77777777" w:rsidR="006B1CAE" w:rsidRDefault="006B1CAE"/>
    <w:p w14:paraId="1CB1F13A" w14:textId="77777777" w:rsidR="006B1CAE" w:rsidRDefault="006B1CAE"/>
    <w:p w14:paraId="4129CAFE" w14:textId="77777777" w:rsidR="006B1CAE" w:rsidRPr="006B1CAE" w:rsidRDefault="006B1CAE" w:rsidP="006B1CAE">
      <w:pPr>
        <w:shd w:val="clear" w:color="auto" w:fill="FFFFFF"/>
        <w:spacing w:after="0" w:line="240" w:lineRule="auto"/>
        <w:rPr>
          <w:rFonts w:ascii="inherit" w:eastAsia="Times New Roman" w:hAnsi="inherit" w:cs="Times New Roman"/>
          <w:color w:val="2E2E2E"/>
          <w:kern w:val="0"/>
          <w:sz w:val="30"/>
          <w:szCs w:val="30"/>
          <w14:ligatures w14:val="none"/>
        </w:rPr>
      </w:pPr>
      <w:r w:rsidRPr="006B1CAE">
        <w:rPr>
          <w:rFonts w:ascii="inherit" w:eastAsia="Times New Roman" w:hAnsi="inherit" w:cs="Times New Roman"/>
          <w:color w:val="2E2E2E"/>
          <w:kern w:val="0"/>
          <w:sz w:val="30"/>
          <w:szCs w:val="30"/>
          <w14:ligatures w14:val="none"/>
        </w:rPr>
        <w:t>Your Answers</w:t>
      </w:r>
    </w:p>
    <w:p w14:paraId="7B5D4DD5" w14:textId="77777777" w:rsidR="006B1CAE" w:rsidRPr="006B1CAE" w:rsidRDefault="006B1CAE" w:rsidP="006B1CAE">
      <w:pPr>
        <w:shd w:val="clear" w:color="auto" w:fill="FFFFFF"/>
        <w:spacing w:before="75" w:after="0" w:line="240" w:lineRule="auto"/>
        <w:ind w:left="75"/>
        <w:rPr>
          <w:rFonts w:ascii="Times New Roman" w:eastAsia="Times New Roman" w:hAnsi="Times New Roman" w:cs="Times New Roman"/>
          <w:color w:val="3B5998"/>
          <w:kern w:val="0"/>
          <w:shd w:val="clear" w:color="auto" w:fill="FFFFFF"/>
          <w14:ligatures w14:val="none"/>
        </w:rPr>
      </w:pPr>
      <w:r w:rsidRPr="006B1CAE">
        <w:rPr>
          <w:rFonts w:ascii="inherit" w:eastAsia="Times New Roman" w:hAnsi="inherit" w:cs="Times New Roman"/>
          <w:color w:val="2E2E2E"/>
          <w:kern w:val="0"/>
          <w:sz w:val="30"/>
          <w:szCs w:val="30"/>
          <w14:ligatures w14:val="none"/>
        </w:rPr>
        <w:fldChar w:fldCharType="begin"/>
      </w:r>
      <w:r w:rsidRPr="006B1CAE">
        <w:rPr>
          <w:rFonts w:ascii="inherit" w:eastAsia="Times New Roman" w:hAnsi="inherit" w:cs="Times New Roman"/>
          <w:color w:val="2E2E2E"/>
          <w:kern w:val="0"/>
          <w:sz w:val="30"/>
          <w:szCs w:val="30"/>
          <w14:ligatures w14:val="none"/>
        </w:rPr>
        <w:instrText>HYPERLINK "https://www.proprofs.com/quiz-school/certificate/pdf.php?sid=354483530&amp;title=end-of-week-2-assessment-fedex-fde-training-program-may-2026-aic2101-and-gai2109n7&amp;id=354483530&amp;qid=4721098&amp;uname=Alberto%20Gutierrez&amp;saveAs=PDFCertificate" \o "Download Score Report"</w:instrText>
      </w:r>
      <w:r w:rsidRPr="006B1CAE">
        <w:rPr>
          <w:rFonts w:ascii="inherit" w:eastAsia="Times New Roman" w:hAnsi="inherit" w:cs="Times New Roman"/>
          <w:color w:val="2E2E2E"/>
          <w:kern w:val="0"/>
          <w:sz w:val="30"/>
          <w:szCs w:val="30"/>
          <w14:ligatures w14:val="none"/>
        </w:rPr>
      </w:r>
      <w:r w:rsidRPr="006B1CAE">
        <w:rPr>
          <w:rFonts w:ascii="inherit" w:eastAsia="Times New Roman" w:hAnsi="inherit" w:cs="Times New Roman"/>
          <w:color w:val="2E2E2E"/>
          <w:kern w:val="0"/>
          <w:sz w:val="30"/>
          <w:szCs w:val="30"/>
          <w14:ligatures w14:val="none"/>
        </w:rPr>
        <w:fldChar w:fldCharType="separate"/>
      </w:r>
    </w:p>
    <w:p w14:paraId="457FE33C" w14:textId="77777777" w:rsidR="006B1CAE" w:rsidRPr="006B1CAE" w:rsidRDefault="006B1CAE" w:rsidP="006B1CAE">
      <w:pPr>
        <w:shd w:val="clear" w:color="auto" w:fill="FFFFFF"/>
        <w:spacing w:after="0" w:line="240" w:lineRule="auto"/>
        <w:rPr>
          <w:rFonts w:ascii="Times New Roman" w:eastAsia="Times New Roman" w:hAnsi="Times New Roman" w:cs="Times New Roman"/>
          <w:color w:val="2E2E2E"/>
          <w:kern w:val="0"/>
          <w14:ligatures w14:val="none"/>
        </w:rPr>
      </w:pPr>
      <w:r w:rsidRPr="006B1CAE">
        <w:rPr>
          <w:rFonts w:ascii="inherit" w:eastAsia="Times New Roman" w:hAnsi="inherit" w:cs="Times New Roman"/>
          <w:color w:val="2E2E2E"/>
          <w:kern w:val="0"/>
          <w:sz w:val="30"/>
          <w:szCs w:val="30"/>
          <w14:ligatures w14:val="none"/>
        </w:rPr>
        <w:fldChar w:fldCharType="end"/>
      </w:r>
    </w:p>
    <w:p w14:paraId="563D3C34"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063B74B4"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31F8E0C1"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1)</w:t>
      </w:r>
    </w:p>
    <w:p w14:paraId="33D30AE7"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lastRenderedPageBreak/>
        <w:t>Which statement about ADDED, MODIFIED, and REMOVED sections in a delta spec is correct?</w:t>
      </w:r>
    </w:p>
    <w:p w14:paraId="4256220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A single change can use all three sections together, e.g., adding pricing tiers, modifying existing menu requirements, and removing the assumption of fixed pricing (Your Answer)</w:t>
      </w:r>
    </w:p>
    <w:p w14:paraId="7D632AEB"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ADDED must appear before MODIFIED in the file, or archive will fail</w:t>
      </w:r>
    </w:p>
    <w:p w14:paraId="6072802A"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MODIFIED is only for multi-artifact changes; single-domain updates must use ADDED</w:t>
      </w:r>
    </w:p>
    <w:p w14:paraId="23ABC2C5"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REMOVED may omit a reason when the removal is obvious from the proposal</w:t>
      </w:r>
    </w:p>
    <w:p w14:paraId="0F5BCE8B"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500F6F3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Delta specs routinely combine all three sections in a single change. The dynamic pricing example in AIC-2101 Module 5 does this. MODIFIED applies whenever a prior requirement changes. REMOVED must always include a reason so future developers can distinguish intentional removal from accident. The other options describe rules that don't exist in the OpenSpec delta format.</w:t>
      </w:r>
    </w:p>
    <w:p w14:paraId="7B2A0D61"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17504D3C"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7EAFA82C"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2)</w:t>
      </w:r>
    </w:p>
    <w:p w14:paraId="33D394B9"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Which review strategy best reflects the course's guidance on reviewing AI-generated implementations?</w:t>
      </w:r>
    </w:p>
    <w:p w14:paraId="56FD56E5"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Apply the same deep review to every change so reviews are consistent</w:t>
      </w:r>
    </w:p>
    <w:p w14:paraId="4FFB794A"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Match review depth to change complexity: deep review for multi-part features, uncertain scope, or edge cases; quick scan for small, well-scoped, low-stakes changes (Your Answer)</w:t>
      </w:r>
    </w:p>
    <w:p w14:paraId="7D68ED83"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Skip review for all changes, `/opsx:apply` guarantees the implementation matches the spec</w:t>
      </w:r>
    </w:p>
    <w:p w14:paraId="3D6CAE6E"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Review only tasks.md, since it drives implementation</w:t>
      </w:r>
    </w:p>
    <w:p w14:paraId="0D6C84C3"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172DD54E"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AIC-2101 teaches that review depth should be proportional to change complexity. Deep review is for multi-part features, uncertain scope, or edge-case-heavy changes. Quick scans suit small, well-scoped, low-stakes ones. Applying identical depth to every change (A) wastes review time on trivial fixes while leaving complex changes under-scrutinized. Skipping review entirely (C) misunderstands /opsx:apply: it implements against the spec but doesn't guarantee the spec was right. Reviewing only tasks.md (D) skips the proposal, specs, and design that contain the actual decisions.</w:t>
      </w:r>
    </w:p>
    <w:p w14:paraId="545CC81C"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0675AB8C"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6B42D760"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3)</w:t>
      </w:r>
    </w:p>
    <w:p w14:paraId="7E4D5C95"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Which OpenSpec command scaffolds a change folder without generating any artifacts?</w:t>
      </w:r>
    </w:p>
    <w:p w14:paraId="78E5B0BE"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/opsx:propose</w:t>
      </w:r>
    </w:p>
    <w:p w14:paraId="1EBA6987"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/opsx:apply</w:t>
      </w:r>
    </w:p>
    <w:p w14:paraId="706F274C"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/opsx:new (Your Answer)</w:t>
      </w:r>
    </w:p>
    <w:p w14:paraId="734384D8"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/opsx:archive</w:t>
      </w:r>
    </w:p>
    <w:p w14:paraId="004C4470"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08EA3ACF"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lastRenderedPageBreak/>
        <w:t>/opsx:new scaffolds the change folder structure (proposal.md, specs/, design.md, tasks.md as empty or templated files) without generating content for any of them. From there, students can use /opsx:continue to generate one artifact at a time with review gates between them (the expanded workflow), or /opsx:ff to generate everything at once (faster but no per-artifact review). /opsx:propose is the lighter core-workflow command that generates all four artifacts in one pass. /opsx:apply runs the implementation against the finalized specs. AIC-2101 Module 4 covers the expanded workflow in detail.</w:t>
      </w:r>
    </w:p>
    <w:p w14:paraId="1CDEBA92"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27A82AB4"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797B0468"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4)</w:t>
      </w:r>
    </w:p>
    <w:p w14:paraId="7F64F723"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You are changing the existing rule 'Tax MUST be 8.5% of the subtotal' to 'Tax MUST match the state rate, defaulting to 8.5%.' In the delta spec, this change belongs in which section?</w:t>
      </w:r>
    </w:p>
    <w:p w14:paraId="5F69EAC8"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ADDED, because state-based tax is a new capability</w:t>
      </w:r>
    </w:p>
    <w:p w14:paraId="7D60D83D"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A NOTE at the top of the proposal, delta specs only support ADDED</w:t>
      </w:r>
    </w:p>
    <w:p w14:paraId="07549759"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REMOVED, followed by a new ADDED section</w:t>
      </w:r>
    </w:p>
    <w:p w14:paraId="533ED61F"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MODIFIED, including a 'Previous:' line with the old requirement and an 'Updated:' line with the new one (Your Answer)</w:t>
      </w:r>
    </w:p>
    <w:p w14:paraId="2CA94438"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74AAF3D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MODIFIED is the delta section for changes to existing requirements: the requirement still exists, but its content has changed. The 'Previous:' line captures the old wording and the 'Updated:' line captures the new wording. This makes the diff reviewable at the requirement level rather than the file level. ADDED (A) is for genuinely new capabilities; this rule already existed. The NOTE-only approach (B) misframes the delta format. REMOVED + ADDED (C) is overkill for an in-place refinement and loses the connection between old and new. AIC-2101 Module 5 walks through worked examples of ADDED, MODIFIED, and REMOVED.</w:t>
      </w:r>
    </w:p>
    <w:p w14:paraId="5D5903E6"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3AF7805F"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440492FB"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5)</w:t>
      </w:r>
    </w:p>
    <w:p w14:paraId="7E87722F"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A new developer joins the team. How does the course suggest they can use the spec suite to get productive quickly?</w:t>
      </w:r>
    </w:p>
    <w:p w14:paraId="2D346E76"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Rely on the chat history in the team's AI agent, where all prior conversations are stored</w:t>
      </w:r>
    </w:p>
    <w:p w14:paraId="4F7E623C"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Run `/opsx:apply` on every archived change to rebuild the codebase from scratch</w:t>
      </w:r>
    </w:p>
    <w:p w14:paraId="3E8B6892"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Read the spec suite in `openspec/specs/` as the team's persistent memory, captured intent, recorded decisions, and a description of how the system should behave across domains (Your Answer)</w:t>
      </w:r>
    </w:p>
    <w:p w14:paraId="05377B8A"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Skip specs and read the code directly, specs are only useful before a change is applied</w:t>
      </w:r>
    </w:p>
    <w:p w14:paraId="3C8B1016"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3DF4E34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 xml:space="preserve">AIC-2101 frames the spec suite in openspec/specs/ as the team's persistent memory: captured intent, recorded decisions, and a behavioral description of </w:t>
      </w:r>
      <w:r w:rsidRPr="006B1CAE">
        <w:rPr>
          <w:rFonts w:ascii="Roboto" w:eastAsia="Times New Roman" w:hAnsi="Roboto" w:cs="Times New Roman"/>
          <w:color w:val="4D4D4D"/>
          <w:kern w:val="0"/>
          <w:sz w:val="27"/>
          <w:szCs w:val="27"/>
          <w14:ligatures w14:val="none"/>
        </w:rPr>
        <w:lastRenderedPageBreak/>
        <w:t>the system that survives any single chat session. A new developer reading the spec suite gets oriented to why the system works the way it does, not just how. Chat-history reliance (B) is exactly the failure mode SDD exists to prevent because conversations are ephemeral and don't survive team turnover. /opsx:apply rebuilds (A) misunderstands what apply does. Skipping specs and reading code (D) recovers the how but loses the why, which is what specs uniquely preserve.</w:t>
      </w:r>
    </w:p>
    <w:p w14:paraId="76BEDE1F"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135C3D3B"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54A5BE8C"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6)</w:t>
      </w:r>
    </w:p>
    <w:p w14:paraId="758BF0F3"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What is the purpose of a runtime context object in tool functions?</w:t>
      </w:r>
    </w:p>
    <w:p w14:paraId="14A7904B"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To provide access to injected dependencies and shared state (Your Answer)</w:t>
      </w:r>
    </w:p>
    <w:p w14:paraId="7B57440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measure execution time of the tool</w:t>
      </w:r>
    </w:p>
    <w:p w14:paraId="5DD9453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log tool invocations automatically</w:t>
      </w:r>
    </w:p>
    <w:p w14:paraId="7340265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limit the number of tool calls</w:t>
      </w:r>
    </w:p>
    <w:p w14:paraId="7F0AD022"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encrypt sensitive data in transit</w:t>
      </w:r>
    </w:p>
    <w:p w14:paraId="5CDF98F8"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08FC3C3C"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The runtime context (RunContext in PydanticAI) gives tools access to injected dependencies and shared state: database connections, API clients, configuration values, all without hard-coding them inside the tool function. This is the foundation of testability. In production, real connections are injected; in tests, mocks are injected via the same mechanism. Execution timing (B), automatic logging (C), call limiting (D), and encryption (E) are all real concerns in agent systems but none are what RunContext is for. GAI-2109 Module 4 covers Dependencies and Runtime Context as a core agent-design concern.</w:t>
      </w:r>
    </w:p>
    <w:p w14:paraId="4F9F90FA"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3789B617"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391B6014"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7)</w:t>
      </w:r>
    </w:p>
    <w:p w14:paraId="6A41C34B"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How does dependency injection improve AI agent development?</w:t>
      </w:r>
    </w:p>
    <w:p w14:paraId="77EE00E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reduces the size of model responses</w:t>
      </w:r>
    </w:p>
    <w:p w14:paraId="00A51335"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It improves testability by allowing mock dependencies to be substituted (Your Answer)</w:t>
      </w:r>
    </w:p>
    <w:p w14:paraId="57DE8CC7"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increases the speed of LLM inference</w:t>
      </w:r>
    </w:p>
    <w:p w14:paraId="0FCB94CD"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automatically handles rate limiting</w:t>
      </w:r>
    </w:p>
    <w:p w14:paraId="101827A2"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compresses conversation history</w:t>
      </w:r>
    </w:p>
    <w:p w14:paraId="09B53D4F"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08FDAFCF"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 xml:space="preserve">Dependency injection's primary benefit is testability. Production code uses real dependencies (databases, APIs); tests substitute mocks or fakes via the same injection mechanism; and the agent code under test doesn't change. This is what enables fast, isolated, deterministic unit tests on agent logic. The other options describe unrelated concerns: response size, inference speed, rate limiting, and conversation history compression are not affected by DI. </w:t>
      </w:r>
      <w:r w:rsidRPr="006B1CAE">
        <w:rPr>
          <w:rFonts w:ascii="Roboto" w:eastAsia="Times New Roman" w:hAnsi="Roboto" w:cs="Times New Roman"/>
          <w:color w:val="4D4D4D"/>
          <w:kern w:val="0"/>
          <w:sz w:val="27"/>
          <w:szCs w:val="27"/>
          <w14:ligatures w14:val="none"/>
        </w:rPr>
        <w:lastRenderedPageBreak/>
        <w:t>GAI-2109 Module 4 frames DI as essential for production agents and Module 9 reinforces it as the foundation for testing with TestModel.</w:t>
      </w:r>
    </w:p>
    <w:p w14:paraId="074E3CD8"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5F80D720"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6CC9CA5A"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8)</w:t>
      </w:r>
    </w:p>
    <w:p w14:paraId="1464D5D6"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According to clean architecture principles, where should complex business logic reside in an agent system?</w:t>
      </w:r>
    </w:p>
    <w:p w14:paraId="7B6C1EDF"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In the system prompt instructions</w:t>
      </w:r>
    </w:p>
    <w:p w14:paraId="7DE950B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Embedded in the LLM's training</w:t>
      </w:r>
    </w:p>
    <w:p w14:paraId="7AC95D8E"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In well-tested functions separate from agent orchestration (Your Answer)</w:t>
      </w:r>
    </w:p>
    <w:p w14:paraId="1A1706E6"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In the user's input message</w:t>
      </w:r>
    </w:p>
    <w:p w14:paraId="0070783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In environment variables</w:t>
      </w:r>
    </w:p>
    <w:p w14:paraId="75C023C7"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67296EAC"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Clean architecture principles place complex business logic in well-tested functions that the agent calls as tools, separate from the agent orchestration code itself. This makes business rules testable without invoking the LLM, debuggable independently, and reusable across agents. Embedding business logic in the system prompt (A) makes it untestable and brittle. Relying on LLM training (B) is non-deterministic and ungovernable. Placing logic in the user message (D) puts it outside team control. Environment variables (E) hold configuration, not logic. GAI-2109 Module 4's 'Separating Business Logic from Agent Logic' section is the explicit teaching.</w:t>
      </w:r>
    </w:p>
    <w:p w14:paraId="3B879892"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5BF4FBF1"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607243C3"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9)</w:t>
      </w:r>
    </w:p>
    <w:p w14:paraId="1A9E694F"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When deploying a PydanticAI agent to production, which observability capability is most important for diagnosing why an agent took a particular sequence of tool calls?</w:t>
      </w:r>
    </w:p>
    <w:p w14:paraId="4A3AAA87"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Aggregated request count metrics across the agent fleet</w:t>
      </w:r>
    </w:p>
    <w:p w14:paraId="47ACEB0A"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Per-run traces capturing the full sequence of model calls, tool calls, and intermediate outputs (Your Answer)</w:t>
      </w:r>
    </w:p>
    <w:p w14:paraId="4FC1AAFC"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CPU and memory utilization of the host running the agent</w:t>
      </w:r>
    </w:p>
    <w:p w14:paraId="53C962E8"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The size of the agent's container image</w:t>
      </w:r>
    </w:p>
    <w:p w14:paraId="6FE4448E"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2326F978"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Per-run traces (via Logfire or equivalent OpenTelemetry-backed tooling) capture the model calls, tool invocations, and intermediate outputs that together explain what an agent did and why. Aggregate metrics, host resource usage, and image size are useful operationally but do not explain agent decisions. GAI-2109 Module 9 covers Observability and Tracing Integration with structured logging, metrics, and OpenTelemetry.</w:t>
      </w:r>
    </w:p>
    <w:p w14:paraId="293D2A11"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2A838DDE"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13E64043"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10)</w:t>
      </w:r>
    </w:p>
    <w:p w14:paraId="033C102D"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lastRenderedPageBreak/>
        <w:t>A team is running an agent that processes thousands of queries per day. They want to control inference cost without sacrificing answer quality on the queries where it matters. Which pattern from Module 6 addresses this cost-quality trade-off?</w:t>
      </w:r>
    </w:p>
    <w:p w14:paraId="32454CEA"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Route every query through the most expensive model to maximize quality, then cache aggressively</w:t>
      </w:r>
    </w:p>
    <w:p w14:paraId="27A47A3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Route queries randomly across multiple providers to amortize cost across vendors</w:t>
      </w:r>
    </w:p>
    <w:p w14:paraId="6BF0515C"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Cascading model approach, answer with a cheap model first, judge the result, escalate to a more capable model only when the cheap answer is insufficient (Your Answer)</w:t>
      </w:r>
    </w:p>
    <w:p w14:paraId="7D6E3306"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Increase the temperature on the cheap model so it produces more diverse answers</w:t>
      </w:r>
    </w:p>
    <w:p w14:paraId="07A87015"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63E095B1"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The cascading model approach (GAI-2109 Module 6, Cost-Quality Trade-offs) routes queries through a cheap model first, uses an LLM-as-judge to assess the answer, and escalates to a more capable model only when needed. This keeps the per-query cost low for the majority of traffic while preserving quality on the queries that need it. The other options either ignore the trade-off (always-expensive routing), introduce non-determinism without a cost reduction (random vendor routing), or degrade quality (higher temperature).</w:t>
      </w:r>
    </w:p>
    <w:p w14:paraId="39DB8CC1"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36B39FB5"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2402A332"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11)</w:t>
      </w:r>
    </w:p>
    <w:p w14:paraId="143B70BC"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What approach uses a secondary language model to assess the quality of an agent's output?</w:t>
      </w:r>
    </w:p>
    <w:p w14:paraId="47609F48"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LLM-as-Judge evaluation pattern (Your Answer)</w:t>
      </w:r>
    </w:p>
    <w:p w14:paraId="60CB75D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Tool selection algorithm</w:t>
      </w:r>
    </w:p>
    <w:p w14:paraId="78743CB3"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Model fine-tuning process</w:t>
      </w:r>
    </w:p>
    <w:p w14:paraId="1E499471"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Provider cost ranking</w:t>
      </w:r>
    </w:p>
    <w:p w14:paraId="07D07ECF"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Response compression technique</w:t>
      </w:r>
    </w:p>
    <w:p w14:paraId="649D70D0"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06FDBC73"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LLM-as-Judge uses a secondary language model to evaluate the primary agent's output against quality criteria such as accuracy, relevance, completeness, and tone. The result is a structured judgment that can be logged, aggregated, and used to escalate failing answers to a more capable model. This pattern scales evaluation in a way human review cannot. The other options name unrelated agent concerns: tool selection happens inside the agent loop, fine-tuning is a training-time process, cost ranking is operational metadata, and response compression is a token-economy concern. GAI-2109 Module 6 covers LLM-as-Judge as a core evaluation pattern with a dedicated demo anchor.</w:t>
      </w:r>
    </w:p>
    <w:p w14:paraId="4F3335EF"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7AA8E777"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3CC4B1AC"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12)</w:t>
      </w:r>
    </w:p>
    <w:p w14:paraId="60E0ED79"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lastRenderedPageBreak/>
        <w:t>Which guardrail pattern best reduces the risk of an AI agent invoking a tool with fabricated or hallucinated arguments?</w:t>
      </w:r>
    </w:p>
    <w:p w14:paraId="30031A91"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Increasing the model's temperature to encourage more diverse outputs</w:t>
      </w:r>
    </w:p>
    <w:p w14:paraId="021EFDD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Disabling structured outputs so the model can express uncertainty in free text</w:t>
      </w:r>
    </w:p>
    <w:p w14:paraId="79FC56A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Allowing the agent to retry the same tool call indefinitely until it succeeds</w:t>
      </w:r>
    </w:p>
    <w:p w14:paraId="60942333"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Validating tool call arguments against the tool's declared schema before invocation and rejecting invalid calls (Your Answer)</w:t>
      </w:r>
    </w:p>
    <w:p w14:paraId="2E173BA9"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4C589DF5"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Schema validation at the tool boundary is a core PydanticAI pattern. Tool arguments are typed and validated before the tool executes, catching hallucinated or malformed arguments before they cause harm. Higher temperature increases hallucination risk. Indefinite retries waste budget without addressing the cause. Disabling structured outputs removes the validation guarantee. GAI-2109 Module 6 covers Input and Output Guardrails as the layer that enforces this.</w:t>
      </w:r>
    </w:p>
    <w:p w14:paraId="7EB0987E"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57D70778"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6F465D6F"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13)</w:t>
      </w:r>
    </w:p>
    <w:p w14:paraId="797B592A"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What type of graph structure is commonly used to represent workflows with dependencies and no cycles?</w:t>
      </w:r>
    </w:p>
    <w:p w14:paraId="0C18AB67"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Data Aggregation Gateway</w:t>
      </w:r>
    </w:p>
    <w:p w14:paraId="29744DBC"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Dynamic Agent Graph</w:t>
      </w:r>
    </w:p>
    <w:p w14:paraId="6DD6EB6D"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Dependency Allocation Group</w:t>
      </w:r>
    </w:p>
    <w:p w14:paraId="6912B566"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Distributed Agent Grid</w:t>
      </w:r>
    </w:p>
    <w:p w14:paraId="0DC5ED30"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Directed Acyclic Graph (Your Answer)</w:t>
      </w:r>
    </w:p>
    <w:p w14:paraId="7D2909D3"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2A6AD71E"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A Directed Acyclic Graph (DAG) represents workflows where steps have explicit dependencies but the graph never loops back on itself. The 'directed' part captures dependency direction (step B depends on step A). The 'acyclic' part guarantees the workflow terminates and can be topologically sorted into a valid execution order. Python's graphlib.TopologicalSorter is the standard library tool for this. GAI-2109 Module 7's demo anchor uses it explicitly, including showing graphlib.CycleError fire when a student deliberately introduces a cycle. The other options are plausible-sounding but made-up terms.</w:t>
      </w:r>
    </w:p>
    <w:p w14:paraId="5FCB704A"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1A9FB149"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7B60EE4B"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14)</w:t>
      </w:r>
    </w:p>
    <w:p w14:paraId="50A2BCF7"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What is the purpose of structured handoff messages in multi-agent systems?</w:t>
      </w:r>
    </w:p>
    <w:p w14:paraId="0E382407"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compress data between agents</w:t>
      </w:r>
    </w:p>
    <w:p w14:paraId="1ACAE149"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authenticate agent identities</w:t>
      </w:r>
    </w:p>
    <w:p w14:paraId="74315E98"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measure response latency</w:t>
      </w:r>
    </w:p>
    <w:p w14:paraId="2506EC73"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To ensure reliable information transfer during task delegation (Your Answer)</w:t>
      </w:r>
    </w:p>
    <w:p w14:paraId="15A9BB97"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To encrypt inter-agent communication</w:t>
      </w:r>
    </w:p>
    <w:p w14:paraId="2B8E5218"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lastRenderedPageBreak/>
        <w:t>Feedback</w:t>
      </w:r>
    </w:p>
    <w:p w14:paraId="0DF02C14"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Structured handoff messages use well-defined schemas (typically Pydantic models) so that when one agent delegates work to another, the receiving agent gets every field it needs in the expected shape. There is no context loss, no ambiguous prose to re-parse, and no missing fields silently defaulted. This is what makes multi-agent coordination reliable instead of fragile. Compression (A), authentication (B), latency measurement (C), and encryption (E) are all real concerns in distributed systems but none are what 'structured handoff' refers to. GAI-2109 Module 8 covers Coordination and Handoff Protocols including the Structured Handoff, Request-Response, and Broadcasting patterns.</w:t>
      </w:r>
    </w:p>
    <w:p w14:paraId="51D7A812"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3D850A"/>
          <w:kern w:val="0"/>
          <w:sz w:val="23"/>
          <w:szCs w:val="23"/>
          <w14:ligatures w14:val="none"/>
        </w:rPr>
        <w:t>Correct</w:t>
      </w:r>
    </w:p>
    <w:p w14:paraId="5957AC34"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707070"/>
          <w:kern w:val="0"/>
          <w:sz w:val="18"/>
          <w:szCs w:val="18"/>
          <w14:ligatures w14:val="none"/>
        </w:rPr>
        <w:t>Points earned:</w:t>
      </w:r>
      <w:r w:rsidRPr="006B1CAE">
        <w:rPr>
          <w:rFonts w:ascii="Roboto" w:eastAsia="Times New Roman" w:hAnsi="Roboto" w:cs="Times New Roman"/>
          <w:color w:val="000000"/>
          <w:kern w:val="0"/>
          <w14:ligatures w14:val="none"/>
        </w:rPr>
        <w:t> </w:t>
      </w:r>
      <w:r w:rsidRPr="006B1CAE">
        <w:rPr>
          <w:rFonts w:ascii="Roboto" w:eastAsia="Times New Roman" w:hAnsi="Roboto" w:cs="Times New Roman"/>
          <w:b/>
          <w:bCs/>
          <w:color w:val="000000"/>
          <w:kern w:val="0"/>
          <w:sz w:val="18"/>
          <w:szCs w:val="18"/>
          <w14:ligatures w14:val="none"/>
        </w:rPr>
        <w:t>1 / 1</w:t>
      </w:r>
    </w:p>
    <w:p w14:paraId="137635CA"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14:ligatures w14:val="none"/>
        </w:rPr>
      </w:pPr>
      <w:r w:rsidRPr="006B1CAE">
        <w:rPr>
          <w:rFonts w:ascii="Roboto" w:eastAsia="Times New Roman" w:hAnsi="Roboto" w:cs="Times New Roman"/>
          <w:color w:val="000000"/>
          <w:kern w:val="0"/>
          <w:sz w:val="23"/>
          <w:szCs w:val="23"/>
          <w14:ligatures w14:val="none"/>
        </w:rPr>
        <w:t>15)</w:t>
      </w:r>
    </w:p>
    <w:p w14:paraId="38FA3344" w14:textId="77777777" w:rsidR="006B1CAE" w:rsidRPr="006B1CAE" w:rsidRDefault="006B1CAE" w:rsidP="006B1CAE">
      <w:pPr>
        <w:shd w:val="clear" w:color="auto" w:fill="FFFFFF"/>
        <w:spacing w:after="0" w:line="240" w:lineRule="auto"/>
        <w:rPr>
          <w:rFonts w:ascii="Roboto" w:eastAsia="Times New Roman" w:hAnsi="Roboto" w:cs="Times New Roman"/>
          <w:color w:val="000000"/>
          <w:kern w:val="0"/>
          <w:sz w:val="23"/>
          <w:szCs w:val="23"/>
          <w14:ligatures w14:val="none"/>
        </w:rPr>
      </w:pPr>
      <w:r w:rsidRPr="006B1CAE">
        <w:rPr>
          <w:rFonts w:ascii="Roboto" w:eastAsia="Times New Roman" w:hAnsi="Roboto" w:cs="Times New Roman"/>
          <w:color w:val="2E2E2E"/>
          <w:kern w:val="0"/>
          <w:sz w:val="27"/>
          <w:szCs w:val="27"/>
          <w14:ligatures w14:val="none"/>
        </w:rPr>
        <w:t>What are the key benefits of mocking the language model during agent testing?</w:t>
      </w:r>
    </w:p>
    <w:p w14:paraId="718D89F9"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improves the quality of model responses</w:t>
      </w:r>
    </w:p>
    <w:p w14:paraId="5DF3003A"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increases the accuracy of the agent</w:t>
      </w:r>
    </w:p>
    <w:p w14:paraId="4E5CAB21"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allows agents to access more tools</w:t>
      </w:r>
    </w:p>
    <w:p w14:paraId="541DE6B5"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4D4D4D"/>
          <w:kern w:val="0"/>
          <w:sz w:val="23"/>
          <w:szCs w:val="23"/>
          <w14:ligatures w14:val="none"/>
        </w:rPr>
        <w:t>It enables multi-agent coordination</w:t>
      </w:r>
    </w:p>
    <w:p w14:paraId="1A287FCE"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3"/>
          <w:szCs w:val="23"/>
          <w14:ligatures w14:val="none"/>
        </w:rPr>
      </w:pPr>
      <w:r w:rsidRPr="006B1CAE">
        <w:rPr>
          <w:rFonts w:ascii="Roboto" w:eastAsia="Times New Roman" w:hAnsi="Roboto" w:cs="Times New Roman"/>
          <w:color w:val="3D850A"/>
          <w:kern w:val="0"/>
          <w:sz w:val="23"/>
          <w:szCs w:val="23"/>
          <w14:ligatures w14:val="none"/>
        </w:rPr>
        <w:t>It enables fast, free, deterministic, and offline testing (Your Answer)</w:t>
      </w:r>
    </w:p>
    <w:p w14:paraId="1EBBB158" w14:textId="77777777" w:rsidR="006B1CAE" w:rsidRPr="006B1CAE" w:rsidRDefault="006B1CAE" w:rsidP="006B1CAE">
      <w:pPr>
        <w:shd w:val="clear" w:color="auto" w:fill="FFFFFF"/>
        <w:spacing w:after="0" w:line="240" w:lineRule="auto"/>
        <w:rPr>
          <w:rFonts w:ascii="Roboto" w:eastAsia="Times New Roman" w:hAnsi="Roboto" w:cs="Times New Roman"/>
          <w:color w:val="2E2E2E"/>
          <w:kern w:val="0"/>
          <w:sz w:val="23"/>
          <w:szCs w:val="23"/>
          <w14:ligatures w14:val="none"/>
        </w:rPr>
      </w:pPr>
      <w:r w:rsidRPr="006B1CAE">
        <w:rPr>
          <w:rFonts w:ascii="Roboto" w:eastAsia="Times New Roman" w:hAnsi="Roboto" w:cs="Times New Roman"/>
          <w:b/>
          <w:bCs/>
          <w:color w:val="2E2E2E"/>
          <w:kern w:val="0"/>
          <w:sz w:val="23"/>
          <w:szCs w:val="23"/>
          <w14:ligatures w14:val="none"/>
        </w:rPr>
        <w:t>Feedback</w:t>
      </w:r>
    </w:p>
    <w:p w14:paraId="218F3697" w14:textId="77777777" w:rsidR="006B1CAE" w:rsidRPr="006B1CAE" w:rsidRDefault="006B1CAE" w:rsidP="006B1CAE">
      <w:pPr>
        <w:shd w:val="clear" w:color="auto" w:fill="FFFFFF"/>
        <w:spacing w:after="0" w:line="240" w:lineRule="auto"/>
        <w:rPr>
          <w:rFonts w:ascii="Roboto" w:eastAsia="Times New Roman" w:hAnsi="Roboto" w:cs="Times New Roman"/>
          <w:color w:val="4D4D4D"/>
          <w:kern w:val="0"/>
          <w:sz w:val="27"/>
          <w:szCs w:val="27"/>
          <w14:ligatures w14:val="none"/>
        </w:rPr>
      </w:pPr>
      <w:r w:rsidRPr="006B1CAE">
        <w:rPr>
          <w:rFonts w:ascii="Roboto" w:eastAsia="Times New Roman" w:hAnsi="Roboto" w:cs="Times New Roman"/>
          <w:color w:val="4D4D4D"/>
          <w:kern w:val="0"/>
          <w:sz w:val="27"/>
          <w:szCs w:val="27"/>
          <w14:ligatures w14:val="none"/>
        </w:rPr>
        <w:t>PydanticAI's TestModel lets tests exercise agent logic without calling a real LLM. That means tests are fast (no network round-trips), free (no API costs), deterministic (same input always produces same output, unlike real LLMs), and runnable offline (no API key needed). This makes agent code testable the same way any other Python code is testable. Mocking doesn't improve real response quality (A) or accuracy (B); it sidesteps them. Tool access (C) and multi-agent coordination (D) are orthogonal concerns. GAI-2109 Module 9's TestModel demo anchor lands exactly this 'fast, free, deterministic, offline' framing as the foundational testing pattern.</w:t>
      </w:r>
    </w:p>
    <w:p w14:paraId="0E2E0C7C" w14:textId="77777777" w:rsidR="006B1CAE" w:rsidRPr="006B1CAE" w:rsidRDefault="006B1CAE" w:rsidP="006B1CAE">
      <w:pPr>
        <w:shd w:val="clear" w:color="auto" w:fill="FFFFFF"/>
        <w:spacing w:after="240" w:line="240" w:lineRule="auto"/>
        <w:rPr>
          <w:rFonts w:ascii="Roboto" w:eastAsia="Times New Roman" w:hAnsi="Roboto" w:cs="Times New Roman"/>
          <w:color w:val="000000"/>
          <w:kern w:val="0"/>
          <w14:ligatures w14:val="none"/>
        </w:rPr>
      </w:pPr>
    </w:p>
    <w:p w14:paraId="17A1AB6B" w14:textId="77777777" w:rsidR="006B1CAE" w:rsidRPr="006B1CAE" w:rsidRDefault="006B1CAE" w:rsidP="006B1CAE">
      <w:pPr>
        <w:spacing w:after="0" w:line="240" w:lineRule="auto"/>
        <w:rPr>
          <w:rFonts w:ascii="Times New Roman" w:eastAsia="Times New Roman" w:hAnsi="Times New Roman" w:cs="Times New Roman"/>
          <w:kern w:val="0"/>
          <w14:ligatures w14:val="none"/>
        </w:rPr>
      </w:pPr>
    </w:p>
    <w:p w14:paraId="5770365A" w14:textId="77777777" w:rsidR="006B1CAE" w:rsidRDefault="006B1CAE"/>
    <w:sectPr w:rsidR="006B1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CAE"/>
    <w:rsid w:val="006B1CAE"/>
    <w:rsid w:val="006E75DE"/>
    <w:rsid w:val="00742A10"/>
    <w:rsid w:val="008A5A11"/>
    <w:rsid w:val="00BE74DF"/>
    <w:rsid w:val="00E55AD3"/>
    <w:rsid w:val="00FA2F7A"/>
    <w:rsid w:val="00FD5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BEC5A5"/>
  <w15:chartTrackingRefBased/>
  <w15:docId w15:val="{D4E21E98-7E68-8E46-83AC-50CA801B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CAE"/>
    <w:rPr>
      <w:rFonts w:eastAsiaTheme="majorEastAsia" w:cstheme="majorBidi"/>
      <w:color w:val="272727" w:themeColor="text1" w:themeTint="D8"/>
    </w:rPr>
  </w:style>
  <w:style w:type="paragraph" w:styleId="Title">
    <w:name w:val="Title"/>
    <w:basedOn w:val="Normal"/>
    <w:next w:val="Normal"/>
    <w:link w:val="TitleChar"/>
    <w:uiPriority w:val="10"/>
    <w:qFormat/>
    <w:rsid w:val="006B1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CAE"/>
    <w:pPr>
      <w:spacing w:before="160"/>
      <w:jc w:val="center"/>
    </w:pPr>
    <w:rPr>
      <w:i/>
      <w:iCs/>
      <w:color w:val="404040" w:themeColor="text1" w:themeTint="BF"/>
    </w:rPr>
  </w:style>
  <w:style w:type="character" w:customStyle="1" w:styleId="QuoteChar">
    <w:name w:val="Quote Char"/>
    <w:basedOn w:val="DefaultParagraphFont"/>
    <w:link w:val="Quote"/>
    <w:uiPriority w:val="29"/>
    <w:rsid w:val="006B1CAE"/>
    <w:rPr>
      <w:i/>
      <w:iCs/>
      <w:color w:val="404040" w:themeColor="text1" w:themeTint="BF"/>
    </w:rPr>
  </w:style>
  <w:style w:type="paragraph" w:styleId="ListParagraph">
    <w:name w:val="List Paragraph"/>
    <w:basedOn w:val="Normal"/>
    <w:uiPriority w:val="34"/>
    <w:qFormat/>
    <w:rsid w:val="006B1CAE"/>
    <w:pPr>
      <w:ind w:left="720"/>
      <w:contextualSpacing/>
    </w:pPr>
  </w:style>
  <w:style w:type="character" w:styleId="IntenseEmphasis">
    <w:name w:val="Intense Emphasis"/>
    <w:basedOn w:val="DefaultParagraphFont"/>
    <w:uiPriority w:val="21"/>
    <w:qFormat/>
    <w:rsid w:val="006B1CAE"/>
    <w:rPr>
      <w:i/>
      <w:iCs/>
      <w:color w:val="0F4761" w:themeColor="accent1" w:themeShade="BF"/>
    </w:rPr>
  </w:style>
  <w:style w:type="paragraph" w:styleId="IntenseQuote">
    <w:name w:val="Intense Quote"/>
    <w:basedOn w:val="Normal"/>
    <w:next w:val="Normal"/>
    <w:link w:val="IntenseQuoteChar"/>
    <w:uiPriority w:val="30"/>
    <w:qFormat/>
    <w:rsid w:val="006B1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CAE"/>
    <w:rPr>
      <w:i/>
      <w:iCs/>
      <w:color w:val="0F4761" w:themeColor="accent1" w:themeShade="BF"/>
    </w:rPr>
  </w:style>
  <w:style w:type="character" w:styleId="IntenseReference">
    <w:name w:val="Intense Reference"/>
    <w:basedOn w:val="DefaultParagraphFont"/>
    <w:uiPriority w:val="32"/>
    <w:qFormat/>
    <w:rsid w:val="006B1CAE"/>
    <w:rPr>
      <w:b/>
      <w:bCs/>
      <w:smallCaps/>
      <w:color w:val="0F4761" w:themeColor="accent1" w:themeShade="BF"/>
      <w:spacing w:val="5"/>
    </w:rPr>
  </w:style>
  <w:style w:type="character" w:styleId="Hyperlink">
    <w:name w:val="Hyperlink"/>
    <w:basedOn w:val="DefaultParagraphFont"/>
    <w:uiPriority w:val="99"/>
    <w:semiHidden/>
    <w:unhideWhenUsed/>
    <w:rsid w:val="006B1CAE"/>
    <w:rPr>
      <w:color w:val="0000FF"/>
      <w:u w:val="single"/>
    </w:rPr>
  </w:style>
  <w:style w:type="character" w:styleId="Strong">
    <w:name w:val="Strong"/>
    <w:basedOn w:val="DefaultParagraphFont"/>
    <w:uiPriority w:val="22"/>
    <w:qFormat/>
    <w:rsid w:val="006B1CAE"/>
    <w:rPr>
      <w:b/>
      <w:bCs/>
    </w:rPr>
  </w:style>
  <w:style w:type="character" w:customStyle="1" w:styleId="pointsblk">
    <w:name w:val="points_blk"/>
    <w:basedOn w:val="DefaultParagraphFont"/>
    <w:rsid w:val="006B1CAE"/>
  </w:style>
  <w:style w:type="character" w:customStyle="1" w:styleId="questiontext">
    <w:name w:val="question_text"/>
    <w:basedOn w:val="DefaultParagraphFont"/>
    <w:rsid w:val="006B1CAE"/>
  </w:style>
  <w:style w:type="character" w:customStyle="1" w:styleId="labelnormal">
    <w:name w:val="labelnormal"/>
    <w:basedOn w:val="DefaultParagraphFont"/>
    <w:rsid w:val="006B1CAE"/>
  </w:style>
  <w:style w:type="character" w:customStyle="1" w:styleId="smallcontent">
    <w:name w:val="smallcontent"/>
    <w:basedOn w:val="DefaultParagraphFont"/>
    <w:rsid w:val="006B1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2280</Words>
  <Characters>13001</Characters>
  <Application>Microsoft Office Word</Application>
  <DocSecurity>0</DocSecurity>
  <Lines>108</Lines>
  <Paragraphs>30</Paragraphs>
  <ScaleCrop>false</ScaleCrop>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Gutierrez</dc:creator>
  <cp:keywords/>
  <dc:description/>
  <cp:lastModifiedBy>Alberto Gutierrez</cp:lastModifiedBy>
  <cp:revision>1</cp:revision>
  <dcterms:created xsi:type="dcterms:W3CDTF">2026-06-14T00:37:00Z</dcterms:created>
  <dcterms:modified xsi:type="dcterms:W3CDTF">2026-06-14T01:07:00Z</dcterms:modified>
</cp:coreProperties>
</file>