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64" w:lineRule="auto"/>
      </w:pPr>
    </w:p>
    <w:p>
      <w:pPr>
        <w:spacing w:after="80"/>
      </w:pPr>
      <w:r>
        <w:rPr>
          <w:rFonts w:ascii="Calibri" w:hAnsi="Calibri"/>
          <w:b/>
          <w:color w:val="5A6069"/>
          <w:sz w:val="24"/>
        </w:rPr>
        <w:t>FINAL PROJECT REPORT</w:t>
      </w:r>
    </w:p>
    <w:p>
      <w:pPr>
        <w:spacing w:after="80"/>
      </w:pPr>
      <w:r>
        <w:rPr>
          <w:rFonts w:ascii="Calibri" w:hAnsi="Calibri"/>
          <w:b/>
          <w:color w:val="142337"/>
          <w:sz w:val="56"/>
        </w:rPr>
        <w:t>RiskRadar AI</w:t>
      </w:r>
    </w:p>
    <w:p>
      <w:pPr>
        <w:spacing w:after="320"/>
      </w:pPr>
      <w:r>
        <w:rPr>
          <w:rFonts w:ascii="Calibri" w:hAnsi="Calibri"/>
          <w:color w:val="1F4D78"/>
          <w:sz w:val="30"/>
        </w:rPr>
        <w:t>AI-Powered Fraud Transaction Investigation Assistant</w:t>
      </w:r>
    </w:p>
    <w:tbl>
      <w:tblPr>
        <w:tblStyle w:val="TableGrid"/>
        <w:tblW w:type="dxa" w:w="9360"/>
        <w:jc w:val="left"/>
        <w:tblLook w:firstColumn="1" w:firstRow="1" w:lastColumn="0" w:lastRow="0" w:noHBand="0" w:noVBand="1" w:val="04A0"/>
        <w:tblInd w:w="120" w:type="dxa"/>
      </w:tblPr>
      <w:tblGrid>
        <w:gridCol w:w="2600"/>
        <w:gridCol w:w="6760"/>
      </w:tblGrid>
      <w:tr>
        <w:tc>
          <w:tcPr>
            <w:tcW w:type="dxa" w:w="2600"/>
            <w:tcMar>
              <w:top w:w="80" w:type="dxa"/>
              <w:start w:w="120" w:type="dxa"/>
              <w:bottom w:w="80" w:type="dxa"/>
              <w:end w:w="120" w:type="dxa"/>
            </w:tcMar>
            <w:vAlign w:val="center"/>
            <w:shd w:fill="F2F4F7"/>
          </w:tcPr>
          <w:p>
            <w:pPr>
              <w:spacing w:after="0"/>
            </w:pPr>
            <w:r>
              <w:rPr>
                <w:rFonts w:ascii="Calibri" w:hAnsi="Calibri"/>
                <w:b/>
                <w:color w:val="142337"/>
                <w:sz w:val="21"/>
              </w:rPr>
              <w:t>Capstone</w:t>
            </w:r>
          </w:p>
        </w:tc>
        <w:tc>
          <w:tcPr>
            <w:tcW w:type="dxa" w:w="6760"/>
            <w:tcMar>
              <w:top w:w="80" w:type="dxa"/>
              <w:start w:w="120" w:type="dxa"/>
              <w:bottom w:w="80" w:type="dxa"/>
              <w:end w:w="120" w:type="dxa"/>
            </w:tcMar>
            <w:vAlign w:val="center"/>
          </w:tcPr>
          <w:p>
            <w:pPr>
              <w:spacing w:after="0"/>
            </w:pPr>
            <w:r>
              <w:rPr>
                <w:rFonts w:ascii="Calibri" w:hAnsi="Calibri"/>
                <w:b w:val="0"/>
                <w:color w:val="142337"/>
                <w:sz w:val="21"/>
              </w:rPr>
              <w:t>IIT Roorkee AIOps Capstone</w:t>
            </w:r>
          </w:p>
        </w:tc>
      </w:tr>
      <w:tr>
        <w:tc>
          <w:tcPr>
            <w:tcW w:type="dxa" w:w="2600"/>
            <w:tcMar>
              <w:top w:w="80" w:type="dxa"/>
              <w:start w:w="120" w:type="dxa"/>
              <w:bottom w:w="80" w:type="dxa"/>
              <w:end w:w="120" w:type="dxa"/>
            </w:tcMar>
            <w:vAlign w:val="center"/>
            <w:shd w:fill="F2F4F7"/>
          </w:tcPr>
          <w:p>
            <w:pPr>
              <w:spacing w:after="0"/>
            </w:pPr>
            <w:r>
              <w:rPr>
                <w:rFonts w:ascii="Calibri" w:hAnsi="Calibri"/>
                <w:b/>
                <w:color w:val="142337"/>
                <w:sz w:val="21"/>
              </w:rPr>
              <w:t>Theme</w:t>
            </w:r>
          </w:p>
        </w:tc>
        <w:tc>
          <w:tcPr>
            <w:tcW w:type="dxa" w:w="6760"/>
            <w:tcMar>
              <w:top w:w="80" w:type="dxa"/>
              <w:start w:w="120" w:type="dxa"/>
              <w:bottom w:w="80" w:type="dxa"/>
              <w:end w:w="120" w:type="dxa"/>
            </w:tcMar>
            <w:vAlign w:val="center"/>
          </w:tcPr>
          <w:p>
            <w:pPr>
              <w:spacing w:after="0"/>
            </w:pPr>
            <w:r>
              <w:rPr>
                <w:rFonts w:ascii="Calibri" w:hAnsi="Calibri"/>
                <w:b w:val="0"/>
                <w:color w:val="142337"/>
                <w:sz w:val="21"/>
              </w:rPr>
              <w:t>Theme 13 - AI Fraud Transaction Investigation Assistant</w:t>
            </w:r>
          </w:p>
        </w:tc>
      </w:tr>
      <w:tr>
        <w:tc>
          <w:tcPr>
            <w:tcW w:type="dxa" w:w="2600"/>
            <w:tcMar>
              <w:top w:w="80" w:type="dxa"/>
              <w:start w:w="120" w:type="dxa"/>
              <w:bottom w:w="80" w:type="dxa"/>
              <w:end w:w="120" w:type="dxa"/>
            </w:tcMar>
            <w:vAlign w:val="center"/>
            <w:shd w:fill="F2F4F7"/>
          </w:tcPr>
          <w:p>
            <w:pPr>
              <w:spacing w:after="0"/>
            </w:pPr>
            <w:r>
              <w:rPr>
                <w:rFonts w:ascii="Calibri" w:hAnsi="Calibri"/>
                <w:b/>
                <w:color w:val="142337"/>
                <w:sz w:val="21"/>
              </w:rPr>
              <w:t>Prepared</w:t>
            </w:r>
          </w:p>
        </w:tc>
        <w:tc>
          <w:tcPr>
            <w:tcW w:type="dxa" w:w="6760"/>
            <w:tcMar>
              <w:top w:w="80" w:type="dxa"/>
              <w:start w:w="120" w:type="dxa"/>
              <w:bottom w:w="80" w:type="dxa"/>
              <w:end w:w="120" w:type="dxa"/>
            </w:tcMar>
            <w:vAlign w:val="center"/>
          </w:tcPr>
          <w:p>
            <w:pPr>
              <w:spacing w:after="0"/>
            </w:pPr>
            <w:r>
              <w:rPr>
                <w:rFonts w:ascii="Calibri" w:hAnsi="Calibri"/>
                <w:b w:val="0"/>
                <w:color w:val="142337"/>
                <w:sz w:val="21"/>
              </w:rPr>
              <w:t>June 2026</w:t>
            </w:r>
          </w:p>
        </w:tc>
      </w:tr>
      <w:tr>
        <w:tc>
          <w:tcPr>
            <w:tcW w:type="dxa" w:w="2600"/>
            <w:tcMar>
              <w:top w:w="80" w:type="dxa"/>
              <w:start w:w="120" w:type="dxa"/>
              <w:bottom w:w="80" w:type="dxa"/>
              <w:end w:w="120" w:type="dxa"/>
            </w:tcMar>
            <w:vAlign w:val="center"/>
            <w:shd w:fill="F2F4F7"/>
          </w:tcPr>
          <w:p>
            <w:pPr>
              <w:spacing w:after="0"/>
            </w:pPr>
            <w:r>
              <w:rPr>
                <w:rFonts w:ascii="Calibri" w:hAnsi="Calibri"/>
                <w:b/>
                <w:color w:val="142337"/>
                <w:sz w:val="21"/>
              </w:rPr>
              <w:t>Internal readiness target</w:t>
            </w:r>
          </w:p>
        </w:tc>
        <w:tc>
          <w:tcPr>
            <w:tcW w:type="dxa" w:w="6760"/>
            <w:tcMar>
              <w:top w:w="80" w:type="dxa"/>
              <w:start w:w="120" w:type="dxa"/>
              <w:bottom w:w="80" w:type="dxa"/>
              <w:end w:w="120" w:type="dxa"/>
            </w:tcMar>
            <w:vAlign w:val="center"/>
          </w:tcPr>
          <w:p>
            <w:pPr>
              <w:spacing w:after="0"/>
            </w:pPr>
            <w:r>
              <w:rPr>
                <w:rFonts w:ascii="Calibri" w:hAnsi="Calibri"/>
                <w:b w:val="0"/>
                <w:color w:val="142337"/>
                <w:sz w:val="21"/>
              </w:rPr>
              <w:t>25 June 2026</w:t>
            </w:r>
          </w:p>
        </w:tc>
      </w:tr>
      <w:tr>
        <w:tc>
          <w:tcPr>
            <w:tcW w:type="dxa" w:w="2600"/>
            <w:tcMar>
              <w:top w:w="80" w:type="dxa"/>
              <w:start w:w="120" w:type="dxa"/>
              <w:bottom w:w="80" w:type="dxa"/>
              <w:end w:w="120" w:type="dxa"/>
            </w:tcMar>
            <w:vAlign w:val="center"/>
            <w:shd w:fill="F2F4F7"/>
          </w:tcPr>
          <w:p>
            <w:pPr>
              <w:spacing w:after="0"/>
            </w:pPr>
            <w:r>
              <w:rPr>
                <w:rFonts w:ascii="Calibri" w:hAnsi="Calibri"/>
                <w:b/>
                <w:color w:val="142337"/>
                <w:sz w:val="21"/>
              </w:rPr>
              <w:t>Updated submission deadline</w:t>
            </w:r>
          </w:p>
        </w:tc>
        <w:tc>
          <w:tcPr>
            <w:tcW w:type="dxa" w:w="6760"/>
            <w:tcMar>
              <w:top w:w="80" w:type="dxa"/>
              <w:start w:w="120" w:type="dxa"/>
              <w:bottom w:w="80" w:type="dxa"/>
              <w:end w:w="120" w:type="dxa"/>
            </w:tcMar>
            <w:vAlign w:val="center"/>
          </w:tcPr>
          <w:p>
            <w:pPr>
              <w:spacing w:after="0"/>
            </w:pPr>
            <w:r>
              <w:rPr>
                <w:rFonts w:ascii="Calibri" w:hAnsi="Calibri"/>
                <w:b w:val="0"/>
                <w:color w:val="142337"/>
                <w:sz w:val="21"/>
              </w:rPr>
              <w:t>30 June 2026</w:t>
            </w:r>
          </w:p>
        </w:tc>
      </w:tr>
      <w:tr>
        <w:tc>
          <w:tcPr>
            <w:tcW w:type="dxa" w:w="2600"/>
            <w:tcMar>
              <w:top w:w="80" w:type="dxa"/>
              <w:start w:w="120" w:type="dxa"/>
              <w:bottom w:w="80" w:type="dxa"/>
              <w:end w:w="120" w:type="dxa"/>
            </w:tcMar>
            <w:vAlign w:val="center"/>
            <w:shd w:fill="F2F4F7"/>
          </w:tcPr>
          <w:p>
            <w:pPr>
              <w:spacing w:after="0"/>
            </w:pPr>
            <w:r>
              <w:rPr>
                <w:rFonts w:ascii="Calibri" w:hAnsi="Calibri"/>
                <w:b/>
                <w:color w:val="142337"/>
                <w:sz w:val="21"/>
              </w:rPr>
              <w:t>Repository</w:t>
            </w:r>
          </w:p>
        </w:tc>
        <w:tc>
          <w:tcPr>
            <w:tcW w:type="dxa" w:w="6760"/>
            <w:tcMar>
              <w:top w:w="80" w:type="dxa"/>
              <w:start w:w="120" w:type="dxa"/>
              <w:bottom w:w="80" w:type="dxa"/>
              <w:end w:w="120" w:type="dxa"/>
            </w:tcMar>
            <w:vAlign w:val="center"/>
          </w:tcPr>
          <w:p>
            <w:pPr>
              <w:spacing w:after="0"/>
            </w:pPr>
            <w:r>
              <w:rPr>
                <w:rFonts w:ascii="Calibri" w:hAnsi="Calibri"/>
                <w:b w:val="0"/>
                <w:color w:val="142337"/>
                <w:sz w:val="21"/>
              </w:rPr>
              <w:t>https://github.com/Alkarth2010/RiskRadar_AI</w:t>
            </w:r>
          </w:p>
        </w:tc>
      </w:tr>
    </w:tbl>
    <w:p>
      <w:pPr>
        <w:spacing w:before="0" w:after="80" w:line="264" w:lineRule="auto"/>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color w:val="1F4D78"/>
                <w:sz w:val="22"/>
              </w:rPr>
              <w:t>Report purpose</w:t>
            </w:r>
          </w:p>
          <w:p>
            <w:pPr>
              <w:spacing w:after="0"/>
            </w:pPr>
            <w:r>
              <w:rPr>
                <w:rFonts w:ascii="Calibri" w:hAnsi="Calibri"/>
                <w:color w:val="142337"/>
                <w:sz w:val="21"/>
              </w:rPr>
              <w:t>This report summarizes the design, implementation, testing, deployment, and submission readiness of RiskRadar AI, an agentic fraud investigation assistant built with Streamlit, LangGraph, LangChain, FAISS, and AWS.</w:t>
            </w:r>
          </w:p>
        </w:tc>
      </w:tr>
    </w:tbl>
    <w:p>
      <w:pPr>
        <w:spacing w:before="0" w:after="80" w:line="264" w:lineRule="auto"/>
      </w:pPr>
    </w:p>
    <w:p>
      <w:r>
        <w:br w:type="page"/>
      </w:r>
    </w:p>
    <w:p>
      <w:pPr>
        <w:pStyle w:val="Heading1"/>
        <w:spacing w:before="320" w:after="160"/>
      </w:pPr>
      <w:r>
        <w:rPr>
          <w:rFonts w:ascii="Calibri" w:hAnsi="Calibri"/>
          <w:b/>
          <w:color w:val="2E74B5"/>
          <w:sz w:val="32"/>
        </w:rPr>
        <w:t>1. Executive Summary</w:t>
      </w:r>
    </w:p>
    <w:p>
      <w:pPr>
        <w:spacing w:before="0" w:after="120" w:line="264" w:lineRule="auto"/>
      </w:pPr>
      <w:r>
        <w:rPr>
          <w:rFonts w:ascii="Calibri" w:hAnsi="Calibri"/>
          <w:b w:val="0"/>
          <w:color w:val="142337"/>
          <w:sz w:val="22"/>
        </w:rPr>
        <w:t>RiskRadar AI is an AI-powered fraud transaction investigation assistant designed to help fraud analysts investigate suspicious bank transactions faster, more consistently, and with clearer auditability. The system generates alerts from synthetic transaction data, runs a structured multi-agent investigation workflow, retrieves policy-grounded evidence, recommends analyst actions, and records human decisions for future evaluation.</w:t>
      </w:r>
    </w:p>
    <w:p>
      <w:pPr>
        <w:spacing w:before="0" w:after="120" w:line="264" w:lineRule="auto"/>
      </w:pPr>
      <w:r>
        <w:rPr>
          <w:rFonts w:ascii="Calibri" w:hAnsi="Calibri"/>
          <w:b w:val="0"/>
          <w:color w:val="142337"/>
          <w:sz w:val="22"/>
        </w:rPr>
        <w:t>The final solution includes a Streamlit analyst dashboard, deterministic risk scoring, LangGraph orchestration, FAISS-backed retrieval over fraud policy documents, optional Gemini-assisted summaries, AWS EC2 deployment, S3-backed file storage, and optional Docker containerization.</w:t>
      </w: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color w:val="1F4D78"/>
                <w:sz w:val="22"/>
              </w:rPr>
              <w:t>Current readiness</w:t>
            </w:r>
          </w:p>
          <w:p>
            <w:pPr>
              <w:spacing w:after="0"/>
            </w:pPr>
            <w:r>
              <w:rPr>
                <w:rFonts w:ascii="Calibri" w:hAnsi="Calibri"/>
                <w:color w:val="142337"/>
                <w:sz w:val="21"/>
              </w:rPr>
              <w:t>Core implementation, dashboard, RAG, workflow, human approval, AWS deployment, S3 storage, Docker support, and screenshot evidence are complete. Remaining work is limited to final presentation, demo recording, and submission packaging.</w:t>
            </w:r>
          </w:p>
        </w:tc>
      </w:tr>
    </w:tbl>
    <w:p>
      <w:pPr>
        <w:spacing w:before="0" w:after="80" w:line="264" w:lineRule="auto"/>
      </w:pPr>
    </w:p>
    <w:p>
      <w:pPr>
        <w:pStyle w:val="Heading1"/>
        <w:spacing w:before="320" w:after="160"/>
      </w:pPr>
      <w:r>
        <w:rPr>
          <w:rFonts w:ascii="Calibri" w:hAnsi="Calibri"/>
          <w:b/>
          <w:color w:val="2E74B5"/>
          <w:sz w:val="32"/>
        </w:rPr>
        <w:t>2. Problem Statement</w:t>
      </w:r>
    </w:p>
    <w:p>
      <w:pPr>
        <w:spacing w:before="0" w:after="120" w:line="264" w:lineRule="auto"/>
      </w:pPr>
      <w:r>
        <w:rPr>
          <w:rFonts w:ascii="Calibri" w:hAnsi="Calibri"/>
          <w:b w:val="0"/>
          <w:color w:val="142337"/>
          <w:sz w:val="22"/>
        </w:rPr>
        <w:t>Fraud analysts often review high volumes of suspicious transactions under time pressure. Manual investigations can become inconsistent when analysts must separately inspect transaction attributes, triggered rules, policy documents, evidence sources, and final action recommendations.</w:t>
      </w:r>
    </w:p>
    <w:p>
      <w:pPr>
        <w:spacing w:before="0" w:after="120" w:line="264" w:lineRule="auto"/>
      </w:pPr>
      <w:r>
        <w:rPr>
          <w:rFonts w:ascii="Calibri" w:hAnsi="Calibri"/>
          <w:b w:val="0"/>
          <w:color w:val="142337"/>
          <w:sz w:val="22"/>
        </w:rPr>
        <w:t>RiskRadar AI addresses this gap by creating a repeatable investigation workflow that combines deterministic fraud scoring, policy evidence retrieval, explainable reasoning, and human-in-the-loop approval.</w:t>
      </w:r>
    </w:p>
    <w:p>
      <w:pPr>
        <w:pStyle w:val="Heading1"/>
        <w:spacing w:before="320" w:after="160"/>
      </w:pPr>
      <w:r>
        <w:rPr>
          <w:rFonts w:ascii="Calibri" w:hAnsi="Calibri"/>
          <w:b/>
          <w:color w:val="2E74B5"/>
          <w:sz w:val="32"/>
        </w:rPr>
        <w:t>3. Objectives</w:t>
      </w:r>
    </w:p>
    <w:p>
      <w:pPr>
        <w:pStyle w:val="ListBullet"/>
        <w:spacing w:after="80" w:line="280" w:lineRule="auto"/>
      </w:pPr>
      <w:r>
        <w:rPr>
          <w:rFonts w:ascii="Calibri" w:hAnsi="Calibri"/>
          <w:color w:val="142337"/>
          <w:sz w:val="22"/>
        </w:rPr>
        <w:t>Generate a prioritized alert queue from synthetic transaction data.</w:t>
      </w:r>
    </w:p>
    <w:p>
      <w:pPr>
        <w:pStyle w:val="ListBullet"/>
        <w:spacing w:after="80" w:line="280" w:lineRule="auto"/>
      </w:pPr>
      <w:r>
        <w:rPr>
          <w:rFonts w:ascii="Calibri" w:hAnsi="Calibri"/>
          <w:color w:val="142337"/>
          <w:sz w:val="22"/>
        </w:rPr>
        <w:t>Investigate selected alerts through a structured agentic workflow.</w:t>
      </w:r>
    </w:p>
    <w:p>
      <w:pPr>
        <w:pStyle w:val="ListBullet"/>
        <w:spacing w:after="80" w:line="280" w:lineRule="auto"/>
      </w:pPr>
      <w:r>
        <w:rPr>
          <w:rFonts w:ascii="Calibri" w:hAnsi="Calibri"/>
          <w:color w:val="142337"/>
          <w:sz w:val="22"/>
        </w:rPr>
        <w:t>Ground investigation reasoning in fraud policy documents.</w:t>
      </w:r>
    </w:p>
    <w:p>
      <w:pPr>
        <w:pStyle w:val="ListBullet"/>
        <w:spacing w:after="80" w:line="280" w:lineRule="auto"/>
      </w:pPr>
      <w:r>
        <w:rPr>
          <w:rFonts w:ascii="Calibri" w:hAnsi="Calibri"/>
          <w:color w:val="142337"/>
          <w:sz w:val="22"/>
        </w:rPr>
        <w:t>Produce explainable recommendations: ESCALATE, MONITOR, or APPROVE.</w:t>
      </w:r>
    </w:p>
    <w:p>
      <w:pPr>
        <w:pStyle w:val="ListBullet"/>
        <w:spacing w:after="80" w:line="280" w:lineRule="auto"/>
      </w:pPr>
      <w:r>
        <w:rPr>
          <w:rFonts w:ascii="Calibri" w:hAnsi="Calibri"/>
          <w:color w:val="142337"/>
          <w:sz w:val="22"/>
        </w:rPr>
        <w:t>Allow analysts to accept, override, or annotate system recommendations.</w:t>
      </w:r>
    </w:p>
    <w:p>
      <w:pPr>
        <w:pStyle w:val="ListBullet"/>
        <w:spacing w:after="80" w:line="280" w:lineRule="auto"/>
      </w:pPr>
      <w:r>
        <w:rPr>
          <w:rFonts w:ascii="Calibri" w:hAnsi="Calibri"/>
          <w:color w:val="142337"/>
          <w:sz w:val="22"/>
        </w:rPr>
        <w:t>Persist feedback for audit, review, and future evaluation.</w:t>
      </w:r>
    </w:p>
    <w:p>
      <w:pPr>
        <w:pStyle w:val="ListBullet"/>
        <w:spacing w:after="80" w:line="280" w:lineRule="auto"/>
      </w:pPr>
      <w:r>
        <w:rPr>
          <w:rFonts w:ascii="Calibri" w:hAnsi="Calibri"/>
          <w:color w:val="142337"/>
          <w:sz w:val="22"/>
        </w:rPr>
        <w:t>Deploy the dashboard on AWS and support optional Docker-based reproducibility.</w:t>
      </w:r>
    </w:p>
    <w:p>
      <w:pPr>
        <w:pStyle w:val="Heading1"/>
        <w:spacing w:before="320" w:after="160"/>
      </w:pPr>
      <w:r>
        <w:rPr>
          <w:rFonts w:ascii="Calibri" w:hAnsi="Calibri"/>
          <w:b/>
          <w:color w:val="2E74B5"/>
          <w:sz w:val="32"/>
        </w:rPr>
        <w:t>4. Solution Overview</w:t>
      </w:r>
    </w:p>
    <w:p>
      <w:pPr>
        <w:spacing w:before="0" w:after="120" w:line="264" w:lineRule="auto"/>
      </w:pPr>
      <w:r>
        <w:rPr>
          <w:rFonts w:ascii="Calibri" w:hAnsi="Calibri"/>
          <w:b w:val="0"/>
          <w:color w:val="142337"/>
          <w:sz w:val="22"/>
        </w:rPr>
        <w:t>The system is organized as an end-to-end analyst workflow. Alerts are generated from transaction data and shown in Streamlit. Once an analyst selects an alert, a LangGraph workflow fans out into specialist investigation branches: risk scoring, policy evidence retrieval, and behavioral pattern review. The evidence is fused into a structured investigation result and a recommendation. The analyst then records the final decision and optional note.</w:t>
      </w: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7F7"/>
          </w:tcPr>
          <w:p>
            <w:pPr>
              <w:spacing w:after="0"/>
            </w:pPr>
            <w:r>
              <w:rPr>
                <w:rFonts w:ascii="Courier New" w:hAnsi="Courier New"/>
                <w:color w:val="142337"/>
                <w:sz w:val="19"/>
              </w:rPr>
              <w:t>Synthetic transactions</w:t>
            </w:r>
            <w:r>
              <w:br/>
            </w:r>
            <w:r>
              <w:rPr>
                <w:rFonts w:ascii="Courier New" w:hAnsi="Courier New"/>
                <w:color w:val="142337"/>
                <w:sz w:val="19"/>
              </w:rPr>
              <w:t xml:space="preserve">  -&gt; generated alert queue</w:t>
            </w:r>
            <w:r>
              <w:br/>
            </w:r>
            <w:r>
              <w:rPr>
                <w:rFonts w:ascii="Courier New" w:hAnsi="Courier New"/>
                <w:color w:val="142337"/>
                <w:sz w:val="19"/>
              </w:rPr>
              <w:t xml:space="preserve">  -&gt; selected alert</w:t>
            </w:r>
            <w:r>
              <w:br/>
            </w:r>
            <w:r>
              <w:rPr>
                <w:rFonts w:ascii="Courier New" w:hAnsi="Courier New"/>
                <w:color w:val="142337"/>
                <w:sz w:val="19"/>
              </w:rPr>
              <w:t xml:space="preserve">  -&gt; parallel LangGraph investigation</w:t>
            </w:r>
            <w:r>
              <w:br/>
            </w:r>
            <w:r>
              <w:rPr>
                <w:rFonts w:ascii="Courier New" w:hAnsi="Courier New"/>
                <w:color w:val="142337"/>
                <w:sz w:val="19"/>
              </w:rPr>
              <w:t xml:space="preserve">  -&gt; risk reasoning + policy evidence + recommendation</w:t>
            </w:r>
            <w:r>
              <w:br/>
            </w:r>
            <w:r>
              <w:rPr>
                <w:rFonts w:ascii="Courier New" w:hAnsi="Courier New"/>
                <w:color w:val="142337"/>
                <w:sz w:val="19"/>
              </w:rPr>
              <w:t xml:space="preserve">  -&gt; analyst decision</w:t>
            </w:r>
            <w:r>
              <w:br/>
            </w:r>
            <w:r>
              <w:rPr>
                <w:rFonts w:ascii="Courier New" w:hAnsi="Courier New"/>
                <w:color w:val="142337"/>
                <w:sz w:val="19"/>
              </w:rPr>
              <w:t xml:space="preserve">  -&gt; feedback log and decision history</w:t>
            </w:r>
          </w:p>
        </w:tc>
      </w:tr>
    </w:tbl>
    <w:p>
      <w:pPr>
        <w:spacing w:before="0" w:after="80" w:line="264" w:lineRule="auto"/>
      </w:pPr>
    </w:p>
    <w:p>
      <w:pPr>
        <w:spacing w:before="80" w:after="40"/>
        <w:jc w:val="center"/>
      </w:pPr>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01_alert_queue_initial.jpg"/>
                    <pic:cNvPicPr/>
                  </pic:nvPicPr>
                  <pic:blipFill>
                    <a:blip r:embed="rId11"/>
                    <a:stretch>
                      <a:fillRect/>
                    </a:stretch>
                  </pic:blipFill>
                  <pic:spPr>
                    <a:xfrm>
                      <a:off x="0" y="0"/>
                      <a:ext cx="5715000" cy="3214688"/>
                    </a:xfrm>
                    <a:prstGeom prst="rect"/>
                  </pic:spPr>
                </pic:pic>
              </a:graphicData>
            </a:graphic>
          </wp:inline>
        </w:drawing>
      </w:r>
    </w:p>
    <w:p>
      <w:pPr>
        <w:spacing w:before="40" w:after="160"/>
      </w:pPr>
      <w:r>
        <w:rPr>
          <w:rFonts w:ascii="Calibri" w:hAnsi="Calibri"/>
          <w:i/>
          <w:color w:val="5A6069"/>
          <w:sz w:val="19"/>
        </w:rPr>
        <w:t>Figure 1. Streamlit alert queue with priority metrics and alert selection.</w:t>
      </w:r>
    </w:p>
    <w:p>
      <w:pPr>
        <w:pStyle w:val="Heading1"/>
        <w:spacing w:before="320" w:after="160"/>
      </w:pPr>
      <w:r>
        <w:rPr>
          <w:rFonts w:ascii="Calibri" w:hAnsi="Calibri"/>
          <w:b/>
          <w:color w:val="2E74B5"/>
          <w:sz w:val="32"/>
        </w:rPr>
        <w:t>5. System Architecture</w:t>
      </w:r>
    </w:p>
    <w:tbl>
      <w:tblPr>
        <w:tblStyle w:val="TableGrid"/>
        <w:tblW w:type="dxa" w:w="9360"/>
        <w:tblLook w:firstColumn="1" w:firstRow="1" w:lastColumn="0" w:lastRow="0" w:noHBand="0" w:noVBand="1" w:val="04A0"/>
        <w:jc w:val="left"/>
        <w:tblInd w:w="120" w:type="dxa"/>
      </w:tblPr>
      <w:tblGrid>
        <w:gridCol w:w="1900"/>
        <w:gridCol w:w="5060"/>
        <w:gridCol w:w="2400"/>
      </w:tblGrid>
      <w:tr>
        <w:trPr>
          <w:tblHeader/>
        </w:trPr>
        <w:tc>
          <w:tcPr>
            <w:tcW w:type="dxa" w:w="1900"/>
            <w:tcMar>
              <w:top w:w="80" w:type="dxa"/>
              <w:start w:w="120" w:type="dxa"/>
              <w:bottom w:w="80" w:type="dxa"/>
              <w:end w:w="120" w:type="dxa"/>
            </w:tcMar>
            <w:vAlign w:val="center"/>
            <w:shd w:fill="F2F4F7"/>
          </w:tcPr>
          <w:p>
            <w:pPr>
              <w:spacing w:after="0"/>
            </w:pPr>
            <w:r>
              <w:rPr>
                <w:rFonts w:ascii="Calibri" w:hAnsi="Calibri"/>
                <w:b/>
                <w:color w:val="142337"/>
                <w:sz w:val="20"/>
              </w:rPr>
              <w:t>Layer</w:t>
            </w:r>
          </w:p>
        </w:tc>
        <w:tc>
          <w:tcPr>
            <w:tcW w:type="dxa" w:w="5060"/>
            <w:tcMar>
              <w:top w:w="80" w:type="dxa"/>
              <w:start w:w="120" w:type="dxa"/>
              <w:bottom w:w="80" w:type="dxa"/>
              <w:end w:w="120" w:type="dxa"/>
            </w:tcMar>
            <w:vAlign w:val="center"/>
            <w:shd w:fill="F2F4F7"/>
          </w:tcPr>
          <w:p>
            <w:pPr>
              <w:spacing w:after="0"/>
            </w:pPr>
            <w:r>
              <w:rPr>
                <w:rFonts w:ascii="Calibri" w:hAnsi="Calibri"/>
                <w:b/>
                <w:color w:val="142337"/>
                <w:sz w:val="20"/>
              </w:rPr>
              <w:t>Purpose</w:t>
            </w:r>
          </w:p>
        </w:tc>
        <w:tc>
          <w:tcPr>
            <w:tcW w:type="dxa" w:w="2400"/>
            <w:tcMar>
              <w:top w:w="80" w:type="dxa"/>
              <w:start w:w="120" w:type="dxa"/>
              <w:bottom w:w="80" w:type="dxa"/>
              <w:end w:w="120" w:type="dxa"/>
            </w:tcMar>
            <w:vAlign w:val="center"/>
            <w:shd w:fill="F2F4F7"/>
          </w:tcPr>
          <w:p>
            <w:pPr>
              <w:spacing w:after="0"/>
            </w:pPr>
            <w:r>
              <w:rPr>
                <w:rFonts w:ascii="Calibri" w:hAnsi="Calibri"/>
                <w:b/>
                <w:color w:val="142337"/>
                <w:sz w:val="20"/>
              </w:rPr>
              <w:t>Key Technology</w:t>
            </w:r>
          </w:p>
        </w:tc>
      </w:tr>
      <w:tr>
        <w:tc>
          <w:tcPr>
            <w:tcW w:type="dxa" w:w="1900"/>
            <w:tcMar>
              <w:top w:w="80" w:type="dxa"/>
              <w:start w:w="120" w:type="dxa"/>
              <w:bottom w:w="80" w:type="dxa"/>
              <w:end w:w="120" w:type="dxa"/>
            </w:tcMar>
            <w:vAlign w:val="center"/>
          </w:tcPr>
          <w:p>
            <w:pPr>
              <w:spacing w:after="0"/>
            </w:pPr>
            <w:r>
              <w:rPr>
                <w:rFonts w:ascii="Calibri" w:hAnsi="Calibri"/>
                <w:color w:val="142337"/>
                <w:sz w:val="19"/>
              </w:rPr>
              <w:t>Data layer</w:t>
            </w:r>
          </w:p>
        </w:tc>
        <w:tc>
          <w:tcPr>
            <w:tcW w:type="dxa" w:w="5060"/>
            <w:tcMar>
              <w:top w:w="80" w:type="dxa"/>
              <w:start w:w="120" w:type="dxa"/>
              <w:bottom w:w="80" w:type="dxa"/>
              <w:end w:w="120" w:type="dxa"/>
            </w:tcMar>
            <w:vAlign w:val="center"/>
          </w:tcPr>
          <w:p>
            <w:pPr>
              <w:spacing w:after="0"/>
            </w:pPr>
            <w:r>
              <w:rPr>
                <w:rFonts w:ascii="Calibri" w:hAnsi="Calibri"/>
                <w:color w:val="142337"/>
                <w:sz w:val="19"/>
              </w:rPr>
              <w:t>Synthetic transactions, fraud policies, and analyst feedback.</w:t>
            </w:r>
          </w:p>
        </w:tc>
        <w:tc>
          <w:tcPr>
            <w:tcW w:type="dxa" w:w="2400"/>
            <w:tcMar>
              <w:top w:w="80" w:type="dxa"/>
              <w:start w:w="120" w:type="dxa"/>
              <w:bottom w:w="80" w:type="dxa"/>
              <w:end w:w="120" w:type="dxa"/>
            </w:tcMar>
            <w:vAlign w:val="center"/>
          </w:tcPr>
          <w:p>
            <w:pPr>
              <w:spacing w:after="0"/>
            </w:pPr>
            <w:r>
              <w:rPr>
                <w:rFonts w:ascii="Calibri" w:hAnsi="Calibri"/>
                <w:color w:val="142337"/>
                <w:sz w:val="19"/>
              </w:rPr>
              <w:t>CSV files, policy text files, S3</w:t>
            </w:r>
          </w:p>
        </w:tc>
      </w:tr>
      <w:tr>
        <w:tc>
          <w:tcPr>
            <w:tcW w:type="dxa" w:w="1900"/>
            <w:tcMar>
              <w:top w:w="80" w:type="dxa"/>
              <w:start w:w="120" w:type="dxa"/>
              <w:bottom w:w="80" w:type="dxa"/>
              <w:end w:w="120" w:type="dxa"/>
            </w:tcMar>
            <w:vAlign w:val="center"/>
          </w:tcPr>
          <w:p>
            <w:pPr>
              <w:spacing w:after="0"/>
            </w:pPr>
            <w:r>
              <w:rPr>
                <w:rFonts w:ascii="Calibri" w:hAnsi="Calibri"/>
                <w:color w:val="142337"/>
                <w:sz w:val="19"/>
              </w:rPr>
              <w:t>Alert layer</w:t>
            </w:r>
          </w:p>
        </w:tc>
        <w:tc>
          <w:tcPr>
            <w:tcW w:type="dxa" w:w="5060"/>
            <w:tcMar>
              <w:top w:w="80" w:type="dxa"/>
              <w:start w:w="120" w:type="dxa"/>
              <w:bottom w:w="80" w:type="dxa"/>
              <w:end w:w="120" w:type="dxa"/>
            </w:tcMar>
            <w:vAlign w:val="center"/>
          </w:tcPr>
          <w:p>
            <w:pPr>
              <w:spacing w:after="0"/>
            </w:pPr>
            <w:r>
              <w:rPr>
                <w:rFonts w:ascii="Calibri" w:hAnsi="Calibri"/>
                <w:color w:val="142337"/>
                <w:sz w:val="19"/>
              </w:rPr>
              <w:t>Generate alerts and queue priority from transaction risk indicators.</w:t>
            </w:r>
          </w:p>
        </w:tc>
        <w:tc>
          <w:tcPr>
            <w:tcW w:type="dxa" w:w="2400"/>
            <w:tcMar>
              <w:top w:w="80" w:type="dxa"/>
              <w:start w:w="120" w:type="dxa"/>
              <w:bottom w:w="80" w:type="dxa"/>
              <w:end w:w="120" w:type="dxa"/>
            </w:tcMar>
            <w:vAlign w:val="center"/>
          </w:tcPr>
          <w:p>
            <w:pPr>
              <w:spacing w:after="0"/>
            </w:pPr>
            <w:r>
              <w:rPr>
                <w:rFonts w:ascii="Calibri" w:hAnsi="Calibri"/>
                <w:color w:val="142337"/>
                <w:sz w:val="19"/>
              </w:rPr>
              <w:t>Pandas, Pydantic</w:t>
            </w:r>
          </w:p>
        </w:tc>
      </w:tr>
      <w:tr>
        <w:tc>
          <w:tcPr>
            <w:tcW w:type="dxa" w:w="1900"/>
            <w:tcMar>
              <w:top w:w="80" w:type="dxa"/>
              <w:start w:w="120" w:type="dxa"/>
              <w:bottom w:w="80" w:type="dxa"/>
              <w:end w:w="120" w:type="dxa"/>
            </w:tcMar>
            <w:vAlign w:val="center"/>
          </w:tcPr>
          <w:p>
            <w:pPr>
              <w:spacing w:after="0"/>
            </w:pPr>
            <w:r>
              <w:rPr>
                <w:rFonts w:ascii="Calibri" w:hAnsi="Calibri"/>
                <w:color w:val="142337"/>
                <w:sz w:val="19"/>
              </w:rPr>
              <w:t>Workflow layer</w:t>
            </w:r>
          </w:p>
        </w:tc>
        <w:tc>
          <w:tcPr>
            <w:tcW w:type="dxa" w:w="5060"/>
            <w:tcMar>
              <w:top w:w="80" w:type="dxa"/>
              <w:start w:w="120" w:type="dxa"/>
              <w:bottom w:w="80" w:type="dxa"/>
              <w:end w:w="120" w:type="dxa"/>
            </w:tcMar>
            <w:vAlign w:val="center"/>
          </w:tcPr>
          <w:p>
            <w:pPr>
              <w:spacing w:after="0"/>
            </w:pPr>
            <w:r>
              <w:rPr>
                <w:rFonts w:ascii="Calibri" w:hAnsi="Calibri"/>
                <w:color w:val="142337"/>
                <w:sz w:val="19"/>
              </w:rPr>
              <w:t>Coordinate investigation branches and merge evidence.</w:t>
            </w:r>
          </w:p>
        </w:tc>
        <w:tc>
          <w:tcPr>
            <w:tcW w:type="dxa" w:w="2400"/>
            <w:tcMar>
              <w:top w:w="80" w:type="dxa"/>
              <w:start w:w="120" w:type="dxa"/>
              <w:bottom w:w="80" w:type="dxa"/>
              <w:end w:w="120" w:type="dxa"/>
            </w:tcMar>
            <w:vAlign w:val="center"/>
          </w:tcPr>
          <w:p>
            <w:pPr>
              <w:spacing w:after="0"/>
            </w:pPr>
            <w:r>
              <w:rPr>
                <w:rFonts w:ascii="Calibri" w:hAnsi="Calibri"/>
                <w:color w:val="142337"/>
                <w:sz w:val="19"/>
              </w:rPr>
              <w:t>LangGraph</w:t>
            </w:r>
          </w:p>
        </w:tc>
      </w:tr>
      <w:tr>
        <w:tc>
          <w:tcPr>
            <w:tcW w:type="dxa" w:w="1900"/>
            <w:tcMar>
              <w:top w:w="80" w:type="dxa"/>
              <w:start w:w="120" w:type="dxa"/>
              <w:bottom w:w="80" w:type="dxa"/>
              <w:end w:w="120" w:type="dxa"/>
            </w:tcMar>
            <w:vAlign w:val="center"/>
          </w:tcPr>
          <w:p>
            <w:pPr>
              <w:spacing w:after="0"/>
            </w:pPr>
            <w:r>
              <w:rPr>
                <w:rFonts w:ascii="Calibri" w:hAnsi="Calibri"/>
                <w:color w:val="142337"/>
                <w:sz w:val="19"/>
              </w:rPr>
              <w:t>RAG layer</w:t>
            </w:r>
          </w:p>
        </w:tc>
        <w:tc>
          <w:tcPr>
            <w:tcW w:type="dxa" w:w="5060"/>
            <w:tcMar>
              <w:top w:w="80" w:type="dxa"/>
              <w:start w:w="120" w:type="dxa"/>
              <w:bottom w:w="80" w:type="dxa"/>
              <w:end w:w="120" w:type="dxa"/>
            </w:tcMar>
            <w:vAlign w:val="center"/>
          </w:tcPr>
          <w:p>
            <w:pPr>
              <w:spacing w:after="0"/>
            </w:pPr>
            <w:r>
              <w:rPr>
                <w:rFonts w:ascii="Calibri" w:hAnsi="Calibri"/>
                <w:color w:val="142337"/>
                <w:sz w:val="19"/>
              </w:rPr>
              <w:t>Retrieve supporting fraud policy context and source documents.</w:t>
            </w:r>
          </w:p>
        </w:tc>
        <w:tc>
          <w:tcPr>
            <w:tcW w:type="dxa" w:w="2400"/>
            <w:tcMar>
              <w:top w:w="80" w:type="dxa"/>
              <w:start w:w="120" w:type="dxa"/>
              <w:bottom w:w="80" w:type="dxa"/>
              <w:end w:w="120" w:type="dxa"/>
            </w:tcMar>
            <w:vAlign w:val="center"/>
          </w:tcPr>
          <w:p>
            <w:pPr>
              <w:spacing w:after="0"/>
            </w:pPr>
            <w:r>
              <w:rPr>
                <w:rFonts w:ascii="Calibri" w:hAnsi="Calibri"/>
                <w:color w:val="142337"/>
                <w:sz w:val="19"/>
              </w:rPr>
              <w:t>LangChain, FAISS, sentence-transformers</w:t>
            </w:r>
          </w:p>
        </w:tc>
      </w:tr>
      <w:tr>
        <w:tc>
          <w:tcPr>
            <w:tcW w:type="dxa" w:w="1900"/>
            <w:tcMar>
              <w:top w:w="80" w:type="dxa"/>
              <w:start w:w="120" w:type="dxa"/>
              <w:bottom w:w="80" w:type="dxa"/>
              <w:end w:w="120" w:type="dxa"/>
            </w:tcMar>
            <w:vAlign w:val="center"/>
          </w:tcPr>
          <w:p>
            <w:pPr>
              <w:spacing w:after="0"/>
            </w:pPr>
            <w:r>
              <w:rPr>
                <w:rFonts w:ascii="Calibri" w:hAnsi="Calibri"/>
                <w:color w:val="142337"/>
                <w:sz w:val="19"/>
              </w:rPr>
              <w:t>UI layer</w:t>
            </w:r>
          </w:p>
        </w:tc>
        <w:tc>
          <w:tcPr>
            <w:tcW w:type="dxa" w:w="5060"/>
            <w:tcMar>
              <w:top w:w="80" w:type="dxa"/>
              <w:start w:w="120" w:type="dxa"/>
              <w:bottom w:w="80" w:type="dxa"/>
              <w:end w:w="120" w:type="dxa"/>
            </w:tcMar>
            <w:vAlign w:val="center"/>
          </w:tcPr>
          <w:p>
            <w:pPr>
              <w:spacing w:after="0"/>
            </w:pPr>
            <w:r>
              <w:rPr>
                <w:rFonts w:ascii="Calibri" w:hAnsi="Calibri"/>
                <w:color w:val="142337"/>
                <w:sz w:val="19"/>
              </w:rPr>
              <w:t>Provide analyst queue, investigation result, and human decision capture.</w:t>
            </w:r>
          </w:p>
        </w:tc>
        <w:tc>
          <w:tcPr>
            <w:tcW w:type="dxa" w:w="2400"/>
            <w:tcMar>
              <w:top w:w="80" w:type="dxa"/>
              <w:start w:w="120" w:type="dxa"/>
              <w:bottom w:w="80" w:type="dxa"/>
              <w:end w:w="120" w:type="dxa"/>
            </w:tcMar>
            <w:vAlign w:val="center"/>
          </w:tcPr>
          <w:p>
            <w:pPr>
              <w:spacing w:after="0"/>
            </w:pPr>
            <w:r>
              <w:rPr>
                <w:rFonts w:ascii="Calibri" w:hAnsi="Calibri"/>
                <w:color w:val="142337"/>
                <w:sz w:val="19"/>
              </w:rPr>
              <w:t>Streamlit</w:t>
            </w:r>
          </w:p>
        </w:tc>
      </w:tr>
      <w:tr>
        <w:tc>
          <w:tcPr>
            <w:tcW w:type="dxa" w:w="1900"/>
            <w:tcMar>
              <w:top w:w="80" w:type="dxa"/>
              <w:start w:w="120" w:type="dxa"/>
              <w:bottom w:w="80" w:type="dxa"/>
              <w:end w:w="120" w:type="dxa"/>
            </w:tcMar>
            <w:vAlign w:val="center"/>
          </w:tcPr>
          <w:p>
            <w:pPr>
              <w:spacing w:after="0"/>
            </w:pPr>
            <w:r>
              <w:rPr>
                <w:rFonts w:ascii="Calibri" w:hAnsi="Calibri"/>
                <w:color w:val="142337"/>
                <w:sz w:val="19"/>
              </w:rPr>
              <w:t>Deployment layer</w:t>
            </w:r>
          </w:p>
        </w:tc>
        <w:tc>
          <w:tcPr>
            <w:tcW w:type="dxa" w:w="5060"/>
            <w:tcMar>
              <w:top w:w="80" w:type="dxa"/>
              <w:start w:w="120" w:type="dxa"/>
              <w:bottom w:w="80" w:type="dxa"/>
              <w:end w:w="120" w:type="dxa"/>
            </w:tcMar>
            <w:vAlign w:val="center"/>
          </w:tcPr>
          <w:p>
            <w:pPr>
              <w:spacing w:after="0"/>
            </w:pPr>
            <w:r>
              <w:rPr>
                <w:rFonts w:ascii="Calibri" w:hAnsi="Calibri"/>
                <w:color w:val="142337"/>
                <w:sz w:val="19"/>
              </w:rPr>
              <w:t>Run the app in cloud and local reproducible environments.</w:t>
            </w:r>
          </w:p>
        </w:tc>
        <w:tc>
          <w:tcPr>
            <w:tcW w:type="dxa" w:w="2400"/>
            <w:tcMar>
              <w:top w:w="80" w:type="dxa"/>
              <w:start w:w="120" w:type="dxa"/>
              <w:bottom w:w="80" w:type="dxa"/>
              <w:end w:w="120" w:type="dxa"/>
            </w:tcMar>
            <w:vAlign w:val="center"/>
          </w:tcPr>
          <w:p>
            <w:pPr>
              <w:spacing w:after="0"/>
            </w:pPr>
            <w:r>
              <w:rPr>
                <w:rFonts w:ascii="Calibri" w:hAnsi="Calibri"/>
                <w:color w:val="142337"/>
                <w:sz w:val="19"/>
              </w:rPr>
              <w:t>AWS EC2, S3, Docker</w:t>
            </w:r>
          </w:p>
        </w:tc>
      </w:tr>
    </w:tbl>
    <w:p>
      <w:pPr>
        <w:spacing w:before="0" w:after="80" w:line="264" w:lineRule="auto"/>
      </w:pPr>
    </w:p>
    <w:p>
      <w:pPr>
        <w:pStyle w:val="Heading2"/>
        <w:spacing w:before="240" w:after="120"/>
      </w:pPr>
      <w:r>
        <w:rPr>
          <w:rFonts w:ascii="Calibri" w:hAnsi="Calibri"/>
          <w:b/>
          <w:color w:val="2E74B5"/>
          <w:sz w:val="26"/>
        </w:rPr>
        <w:t>5.1 LangGraph Workflow</w:t>
      </w: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7F7"/>
          </w:tcPr>
          <w:p>
            <w:pPr>
              <w:spacing w:after="0"/>
            </w:pPr>
            <w:r>
              <w:rPr>
                <w:rFonts w:ascii="Courier New" w:hAnsi="Courier New"/>
                <w:color w:val="142337"/>
                <w:sz w:val="19"/>
              </w:rPr>
              <w:t>alert_intake</w:t>
            </w:r>
            <w:r>
              <w:br/>
            </w:r>
            <w:r>
              <w:rPr>
                <w:rFonts w:ascii="Courier New" w:hAnsi="Courier New"/>
                <w:color w:val="142337"/>
                <w:sz w:val="19"/>
              </w:rPr>
              <w:t xml:space="preserve">  -&gt; risk_scoring</w:t>
            </w:r>
            <w:r>
              <w:br/>
            </w:r>
            <w:r>
              <w:rPr>
                <w:rFonts w:ascii="Courier New" w:hAnsi="Courier New"/>
                <w:color w:val="142337"/>
                <w:sz w:val="19"/>
              </w:rPr>
              <w:t xml:space="preserve">  -&gt; policy_evidence</w:t>
            </w:r>
            <w:r>
              <w:br/>
            </w:r>
            <w:r>
              <w:rPr>
                <w:rFonts w:ascii="Courier New" w:hAnsi="Courier New"/>
                <w:color w:val="142337"/>
                <w:sz w:val="19"/>
              </w:rPr>
              <w:t xml:space="preserve">  -&gt; behavioral_pattern</w:t>
            </w:r>
            <w:r>
              <w:br/>
            </w:r>
            <w:r>
              <w:rPr>
                <w:rFonts w:ascii="Courier New" w:hAnsi="Courier New"/>
                <w:color w:val="142337"/>
                <w:sz w:val="19"/>
              </w:rPr>
              <w:t xml:space="preserve">  -&gt; evidence_fusion</w:t>
            </w:r>
            <w:r>
              <w:br/>
            </w:r>
            <w:r>
              <w:rPr>
                <w:rFonts w:ascii="Courier New" w:hAnsi="Courier New"/>
                <w:color w:val="142337"/>
                <w:sz w:val="19"/>
              </w:rPr>
              <w:t xml:space="preserve">  -&gt; recommendation</w:t>
            </w:r>
            <w:r>
              <w:br/>
            </w:r>
            <w:r>
              <w:rPr>
                <w:rFonts w:ascii="Courier New" w:hAnsi="Courier New"/>
                <w:color w:val="142337"/>
                <w:sz w:val="19"/>
              </w:rPr>
              <w:t xml:space="preserve">  -&gt; human decision pending</w:t>
            </w:r>
          </w:p>
        </w:tc>
      </w:tr>
    </w:tbl>
    <w:p>
      <w:pPr>
        <w:spacing w:before="0" w:after="80" w:line="264" w:lineRule="auto"/>
      </w:pPr>
    </w:p>
    <w:p>
      <w:pPr>
        <w:spacing w:before="0" w:after="120" w:line="264" w:lineRule="auto"/>
      </w:pPr>
      <w:r>
        <w:rPr>
          <w:rFonts w:ascii="Calibri" w:hAnsi="Calibri"/>
          <w:b w:val="0"/>
          <w:color w:val="142337"/>
          <w:sz w:val="22"/>
        </w:rPr>
        <w:t>The workflow uses a fan-out/fan-in pattern. After alert intake, risk scoring, policy evidence retrieval, and behavioral analysis run as separate specialist branches. Their outputs merge at evidence fusion before the final recommendation is generated.</w:t>
      </w:r>
    </w:p>
    <w:p>
      <w:pPr>
        <w:pStyle w:val="Heading1"/>
        <w:spacing w:before="320" w:after="160"/>
      </w:pPr>
      <w:r>
        <w:rPr>
          <w:rFonts w:ascii="Calibri" w:hAnsi="Calibri"/>
          <w:b/>
          <w:color w:val="2E74B5"/>
          <w:sz w:val="32"/>
        </w:rPr>
        <w:t>6. Fraud Risk and Recommendation Logic</w:t>
      </w:r>
    </w:p>
    <w:tbl>
      <w:tblPr>
        <w:tblStyle w:val="TableGrid"/>
        <w:tblW w:type="dxa" w:w="9360"/>
        <w:tblLook w:firstColumn="1" w:firstRow="1" w:lastColumn="0" w:lastRow="0" w:noHBand="0" w:noVBand="1" w:val="04A0"/>
        <w:jc w:val="left"/>
        <w:tblInd w:w="120" w:type="dxa"/>
      </w:tblPr>
      <w:tblGrid>
        <w:gridCol w:w="3000"/>
        <w:gridCol w:w="4960"/>
        <w:gridCol w:w="1400"/>
      </w:tblGrid>
      <w:tr>
        <w:trPr>
          <w:tblHeader/>
        </w:trPr>
        <w:tc>
          <w:tcPr>
            <w:tcW w:type="dxa" w:w="3000"/>
            <w:tcMar>
              <w:top w:w="80" w:type="dxa"/>
              <w:start w:w="120" w:type="dxa"/>
              <w:bottom w:w="80" w:type="dxa"/>
              <w:end w:w="120" w:type="dxa"/>
            </w:tcMar>
            <w:vAlign w:val="center"/>
            <w:shd w:fill="F2F4F7"/>
          </w:tcPr>
          <w:p>
            <w:pPr>
              <w:spacing w:after="0"/>
            </w:pPr>
            <w:r>
              <w:rPr>
                <w:rFonts w:ascii="Calibri" w:hAnsi="Calibri"/>
                <w:b/>
                <w:color w:val="142337"/>
                <w:sz w:val="20"/>
              </w:rPr>
              <w:t>Policy</w:t>
            </w:r>
          </w:p>
        </w:tc>
        <w:tc>
          <w:tcPr>
            <w:tcW w:type="dxa" w:w="4960"/>
            <w:tcMar>
              <w:top w:w="80" w:type="dxa"/>
              <w:start w:w="120" w:type="dxa"/>
              <w:bottom w:w="80" w:type="dxa"/>
              <w:end w:w="120" w:type="dxa"/>
            </w:tcMar>
            <w:vAlign w:val="center"/>
            <w:shd w:fill="F2F4F7"/>
          </w:tcPr>
          <w:p>
            <w:pPr>
              <w:spacing w:after="0"/>
            </w:pPr>
            <w:r>
              <w:rPr>
                <w:rFonts w:ascii="Calibri" w:hAnsi="Calibri"/>
                <w:b/>
                <w:color w:val="142337"/>
                <w:sz w:val="20"/>
              </w:rPr>
              <w:t>Trigger</w:t>
            </w:r>
          </w:p>
        </w:tc>
        <w:tc>
          <w:tcPr>
            <w:tcW w:type="dxa" w:w="1400"/>
            <w:tcMar>
              <w:top w:w="80" w:type="dxa"/>
              <w:start w:w="120" w:type="dxa"/>
              <w:bottom w:w="80" w:type="dxa"/>
              <w:end w:w="120" w:type="dxa"/>
            </w:tcMar>
            <w:vAlign w:val="center"/>
            <w:shd w:fill="F2F4F7"/>
          </w:tcPr>
          <w:p>
            <w:pPr>
              <w:spacing w:after="0"/>
            </w:pPr>
            <w:r>
              <w:rPr>
                <w:rFonts w:ascii="Calibri" w:hAnsi="Calibri"/>
                <w:b/>
                <w:color w:val="142337"/>
                <w:sz w:val="20"/>
              </w:rPr>
              <w:t>Weight</w:t>
            </w:r>
          </w:p>
        </w:tc>
      </w:tr>
      <w:tr>
        <w:tc>
          <w:tcPr>
            <w:tcW w:type="dxa" w:w="3000"/>
            <w:tcMar>
              <w:top w:w="80" w:type="dxa"/>
              <w:start w:w="120" w:type="dxa"/>
              <w:bottom w:w="80" w:type="dxa"/>
              <w:end w:w="120" w:type="dxa"/>
            </w:tcMar>
            <w:vAlign w:val="center"/>
          </w:tcPr>
          <w:p>
            <w:pPr>
              <w:spacing w:after="0"/>
            </w:pPr>
            <w:r>
              <w:rPr>
                <w:rFonts w:ascii="Calibri" w:hAnsi="Calibri"/>
                <w:color w:val="142337"/>
                <w:sz w:val="19"/>
              </w:rPr>
              <w:t>High Value Transaction</w:t>
            </w:r>
          </w:p>
        </w:tc>
        <w:tc>
          <w:tcPr>
            <w:tcW w:type="dxa" w:w="4960"/>
            <w:tcMar>
              <w:top w:w="80" w:type="dxa"/>
              <w:start w:w="120" w:type="dxa"/>
              <w:bottom w:w="80" w:type="dxa"/>
              <w:end w:w="120" w:type="dxa"/>
            </w:tcMar>
            <w:vAlign w:val="center"/>
          </w:tcPr>
          <w:p>
            <w:pPr>
              <w:spacing w:after="0"/>
            </w:pPr>
            <w:r>
              <w:rPr>
                <w:rFonts w:ascii="Calibri" w:hAnsi="Calibri"/>
                <w:color w:val="142337"/>
                <w:sz w:val="19"/>
              </w:rPr>
              <w:t>Transaction amount greater than INR 100,000</w:t>
            </w:r>
          </w:p>
        </w:tc>
        <w:tc>
          <w:tcPr>
            <w:tcW w:type="dxa" w:w="1400"/>
            <w:tcMar>
              <w:top w:w="80" w:type="dxa"/>
              <w:start w:w="120" w:type="dxa"/>
              <w:bottom w:w="80" w:type="dxa"/>
              <w:end w:w="120" w:type="dxa"/>
            </w:tcMar>
            <w:vAlign w:val="center"/>
          </w:tcPr>
          <w:p>
            <w:pPr>
              <w:spacing w:after="0"/>
            </w:pPr>
            <w:r>
              <w:rPr>
                <w:rFonts w:ascii="Calibri" w:hAnsi="Calibri"/>
                <w:color w:val="142337"/>
                <w:sz w:val="19"/>
              </w:rPr>
              <w:t>30</w:t>
            </w:r>
          </w:p>
        </w:tc>
      </w:tr>
      <w:tr>
        <w:tc>
          <w:tcPr>
            <w:tcW w:type="dxa" w:w="3000"/>
            <w:tcMar>
              <w:top w:w="80" w:type="dxa"/>
              <w:start w:w="120" w:type="dxa"/>
              <w:bottom w:w="80" w:type="dxa"/>
              <w:end w:w="120" w:type="dxa"/>
            </w:tcMar>
            <w:vAlign w:val="center"/>
          </w:tcPr>
          <w:p>
            <w:pPr>
              <w:spacing w:after="0"/>
            </w:pPr>
            <w:r>
              <w:rPr>
                <w:rFonts w:ascii="Calibri" w:hAnsi="Calibri"/>
                <w:color w:val="142337"/>
                <w:sz w:val="19"/>
              </w:rPr>
              <w:t>Geographic Anomaly</w:t>
            </w:r>
          </w:p>
        </w:tc>
        <w:tc>
          <w:tcPr>
            <w:tcW w:type="dxa" w:w="4960"/>
            <w:tcMar>
              <w:top w:w="80" w:type="dxa"/>
              <w:start w:w="120" w:type="dxa"/>
              <w:bottom w:w="80" w:type="dxa"/>
              <w:end w:w="120" w:type="dxa"/>
            </w:tcMar>
            <w:vAlign w:val="center"/>
          </w:tcPr>
          <w:p>
            <w:pPr>
              <w:spacing w:after="0"/>
            </w:pPr>
            <w:r>
              <w:rPr>
                <w:rFonts w:ascii="Calibri" w:hAnsi="Calibri"/>
                <w:color w:val="142337"/>
                <w:sz w:val="19"/>
              </w:rPr>
              <w:t>High-risk country or unusual location signal</w:t>
            </w:r>
          </w:p>
        </w:tc>
        <w:tc>
          <w:tcPr>
            <w:tcW w:type="dxa" w:w="1400"/>
            <w:tcMar>
              <w:top w:w="80" w:type="dxa"/>
              <w:start w:w="120" w:type="dxa"/>
              <w:bottom w:w="80" w:type="dxa"/>
              <w:end w:w="120" w:type="dxa"/>
            </w:tcMar>
            <w:vAlign w:val="center"/>
          </w:tcPr>
          <w:p>
            <w:pPr>
              <w:spacing w:after="0"/>
            </w:pPr>
            <w:r>
              <w:rPr>
                <w:rFonts w:ascii="Calibri" w:hAnsi="Calibri"/>
                <w:color w:val="142337"/>
                <w:sz w:val="19"/>
              </w:rPr>
              <w:t>25</w:t>
            </w:r>
          </w:p>
        </w:tc>
      </w:tr>
      <w:tr>
        <w:tc>
          <w:tcPr>
            <w:tcW w:type="dxa" w:w="3000"/>
            <w:tcMar>
              <w:top w:w="80" w:type="dxa"/>
              <w:start w:w="120" w:type="dxa"/>
              <w:bottom w:w="80" w:type="dxa"/>
              <w:end w:w="120" w:type="dxa"/>
            </w:tcMar>
            <w:vAlign w:val="center"/>
          </w:tcPr>
          <w:p>
            <w:pPr>
              <w:spacing w:after="0"/>
            </w:pPr>
            <w:r>
              <w:rPr>
                <w:rFonts w:ascii="Calibri" w:hAnsi="Calibri"/>
                <w:color w:val="142337"/>
                <w:sz w:val="19"/>
              </w:rPr>
              <w:t>Velocity and Burst Detection</w:t>
            </w:r>
          </w:p>
        </w:tc>
        <w:tc>
          <w:tcPr>
            <w:tcW w:type="dxa" w:w="4960"/>
            <w:tcMar>
              <w:top w:w="80" w:type="dxa"/>
              <w:start w:w="120" w:type="dxa"/>
              <w:bottom w:w="80" w:type="dxa"/>
              <w:end w:w="120" w:type="dxa"/>
            </w:tcMar>
            <w:vAlign w:val="center"/>
          </w:tcPr>
          <w:p>
            <w:pPr>
              <w:spacing w:after="0"/>
            </w:pPr>
            <w:r>
              <w:rPr>
                <w:rFonts w:ascii="Calibri" w:hAnsi="Calibri"/>
                <w:color w:val="142337"/>
                <w:sz w:val="19"/>
              </w:rPr>
              <w:t>More than 10 transactions in 10 minutes</w:t>
            </w:r>
          </w:p>
        </w:tc>
        <w:tc>
          <w:tcPr>
            <w:tcW w:type="dxa" w:w="1400"/>
            <w:tcMar>
              <w:top w:w="80" w:type="dxa"/>
              <w:start w:w="120" w:type="dxa"/>
              <w:bottom w:w="80" w:type="dxa"/>
              <w:end w:w="120" w:type="dxa"/>
            </w:tcMar>
            <w:vAlign w:val="center"/>
          </w:tcPr>
          <w:p>
            <w:pPr>
              <w:spacing w:after="0"/>
            </w:pPr>
            <w:r>
              <w:rPr>
                <w:rFonts w:ascii="Calibri" w:hAnsi="Calibri"/>
                <w:color w:val="142337"/>
                <w:sz w:val="19"/>
              </w:rPr>
              <w:t>25</w:t>
            </w:r>
          </w:p>
        </w:tc>
      </w:tr>
      <w:tr>
        <w:tc>
          <w:tcPr>
            <w:tcW w:type="dxa" w:w="3000"/>
            <w:tcMar>
              <w:top w:w="80" w:type="dxa"/>
              <w:start w:w="120" w:type="dxa"/>
              <w:bottom w:w="80" w:type="dxa"/>
              <w:end w:w="120" w:type="dxa"/>
            </w:tcMar>
            <w:vAlign w:val="center"/>
          </w:tcPr>
          <w:p>
            <w:pPr>
              <w:spacing w:after="0"/>
            </w:pPr>
            <w:r>
              <w:rPr>
                <w:rFonts w:ascii="Calibri" w:hAnsi="Calibri"/>
                <w:color w:val="142337"/>
                <w:sz w:val="19"/>
              </w:rPr>
              <w:t>Device and Payment Instrument</w:t>
            </w:r>
          </w:p>
        </w:tc>
        <w:tc>
          <w:tcPr>
            <w:tcW w:type="dxa" w:w="4960"/>
            <w:tcMar>
              <w:top w:w="80" w:type="dxa"/>
              <w:start w:w="120" w:type="dxa"/>
              <w:bottom w:w="80" w:type="dxa"/>
              <w:end w:w="120" w:type="dxa"/>
            </w:tcMar>
            <w:vAlign w:val="center"/>
          </w:tcPr>
          <w:p>
            <w:pPr>
              <w:spacing w:after="0"/>
            </w:pPr>
            <w:r>
              <w:rPr>
                <w:rFonts w:ascii="Calibri" w:hAnsi="Calibri"/>
                <w:color w:val="142337"/>
                <w:sz w:val="19"/>
              </w:rPr>
              <w:t>New device or payment instrument indicator</w:t>
            </w:r>
          </w:p>
        </w:tc>
        <w:tc>
          <w:tcPr>
            <w:tcW w:type="dxa" w:w="1400"/>
            <w:tcMar>
              <w:top w:w="80" w:type="dxa"/>
              <w:start w:w="120" w:type="dxa"/>
              <w:bottom w:w="80" w:type="dxa"/>
              <w:end w:w="120" w:type="dxa"/>
            </w:tcMar>
            <w:vAlign w:val="center"/>
          </w:tcPr>
          <w:p>
            <w:pPr>
              <w:spacing w:after="0"/>
            </w:pPr>
            <w:r>
              <w:rPr>
                <w:rFonts w:ascii="Calibri" w:hAnsi="Calibri"/>
                <w:color w:val="142337"/>
                <w:sz w:val="19"/>
              </w:rPr>
              <w:t>20</w:t>
            </w:r>
          </w:p>
        </w:tc>
      </w:tr>
    </w:tbl>
    <w:p>
      <w:pPr>
        <w:spacing w:before="0" w:after="80" w:line="264" w:lineRule="auto"/>
      </w:pPr>
    </w:p>
    <w:tbl>
      <w:tblPr>
        <w:tblStyle w:val="TableGrid"/>
        <w:tblW w:type="dxa" w:w="9360"/>
        <w:tblLook w:firstColumn="1" w:firstRow="1" w:lastColumn="0" w:lastRow="0" w:noHBand="0" w:noVBand="1" w:val="04A0"/>
        <w:jc w:val="left"/>
        <w:tblInd w:w="120" w:type="dxa"/>
      </w:tblPr>
      <w:tblGrid>
        <w:gridCol w:w="1800"/>
        <w:gridCol w:w="5260"/>
        <w:gridCol w:w="2300"/>
      </w:tblGrid>
      <w:tr>
        <w:trPr>
          <w:tblHeader/>
        </w:trPr>
        <w:tc>
          <w:tcPr>
            <w:tcW w:type="dxa" w:w="1800"/>
            <w:tcMar>
              <w:top w:w="80" w:type="dxa"/>
              <w:start w:w="120" w:type="dxa"/>
              <w:bottom w:w="80" w:type="dxa"/>
              <w:end w:w="120" w:type="dxa"/>
            </w:tcMar>
            <w:vAlign w:val="center"/>
            <w:shd w:fill="F2F4F7"/>
          </w:tcPr>
          <w:p>
            <w:pPr>
              <w:spacing w:after="0"/>
            </w:pPr>
            <w:r>
              <w:rPr>
                <w:rFonts w:ascii="Calibri" w:hAnsi="Calibri"/>
                <w:b/>
                <w:color w:val="142337"/>
                <w:sz w:val="20"/>
              </w:rPr>
              <w:t>Risk Level</w:t>
            </w:r>
          </w:p>
        </w:tc>
        <w:tc>
          <w:tcPr>
            <w:tcW w:type="dxa" w:w="5260"/>
            <w:tcMar>
              <w:top w:w="80" w:type="dxa"/>
              <w:start w:w="120" w:type="dxa"/>
              <w:bottom w:w="80" w:type="dxa"/>
              <w:end w:w="120" w:type="dxa"/>
            </w:tcMar>
            <w:vAlign w:val="center"/>
            <w:shd w:fill="F2F4F7"/>
          </w:tcPr>
          <w:p>
            <w:pPr>
              <w:spacing w:after="0"/>
            </w:pPr>
            <w:r>
              <w:rPr>
                <w:rFonts w:ascii="Calibri" w:hAnsi="Calibri"/>
                <w:b/>
                <w:color w:val="142337"/>
                <w:sz w:val="20"/>
              </w:rPr>
              <w:t>Condition</w:t>
            </w:r>
          </w:p>
        </w:tc>
        <w:tc>
          <w:tcPr>
            <w:tcW w:type="dxa" w:w="2300"/>
            <w:tcMar>
              <w:top w:w="80" w:type="dxa"/>
              <w:start w:w="120" w:type="dxa"/>
              <w:bottom w:w="80" w:type="dxa"/>
              <w:end w:w="120" w:type="dxa"/>
            </w:tcMar>
            <w:vAlign w:val="center"/>
            <w:shd w:fill="F2F4F7"/>
          </w:tcPr>
          <w:p>
            <w:pPr>
              <w:spacing w:after="0"/>
            </w:pPr>
            <w:r>
              <w:rPr>
                <w:rFonts w:ascii="Calibri" w:hAnsi="Calibri"/>
                <w:b/>
                <w:color w:val="142337"/>
                <w:sz w:val="20"/>
              </w:rPr>
              <w:t>System Recommendation</w:t>
            </w:r>
          </w:p>
        </w:tc>
      </w:tr>
      <w:tr>
        <w:tc>
          <w:tcPr>
            <w:tcW w:type="dxa" w:w="1800"/>
            <w:tcMar>
              <w:top w:w="80" w:type="dxa"/>
              <w:start w:w="120" w:type="dxa"/>
              <w:bottom w:w="80" w:type="dxa"/>
              <w:end w:w="120" w:type="dxa"/>
            </w:tcMar>
            <w:vAlign w:val="center"/>
          </w:tcPr>
          <w:p>
            <w:pPr>
              <w:spacing w:after="0"/>
            </w:pPr>
            <w:r>
              <w:rPr>
                <w:rFonts w:ascii="Calibri" w:hAnsi="Calibri"/>
                <w:color w:val="142337"/>
                <w:sz w:val="19"/>
              </w:rPr>
              <w:t>HIGH</w:t>
            </w:r>
          </w:p>
        </w:tc>
        <w:tc>
          <w:tcPr>
            <w:tcW w:type="dxa" w:w="5260"/>
            <w:tcMar>
              <w:top w:w="80" w:type="dxa"/>
              <w:start w:w="120" w:type="dxa"/>
              <w:bottom w:w="80" w:type="dxa"/>
              <w:end w:w="120" w:type="dxa"/>
            </w:tcMar>
            <w:vAlign w:val="center"/>
          </w:tcPr>
          <w:p>
            <w:pPr>
              <w:spacing w:after="0"/>
            </w:pPr>
            <w:r>
              <w:rPr>
                <w:rFonts w:ascii="Calibri" w:hAnsi="Calibri"/>
                <w:color w:val="142337"/>
                <w:sz w:val="19"/>
              </w:rPr>
              <w:t>Score &gt;= 70 or multiple strong fraud indicators</w:t>
            </w:r>
          </w:p>
        </w:tc>
        <w:tc>
          <w:tcPr>
            <w:tcW w:type="dxa" w:w="2300"/>
            <w:tcMar>
              <w:top w:w="80" w:type="dxa"/>
              <w:start w:w="120" w:type="dxa"/>
              <w:bottom w:w="80" w:type="dxa"/>
              <w:end w:w="120" w:type="dxa"/>
            </w:tcMar>
            <w:vAlign w:val="center"/>
          </w:tcPr>
          <w:p>
            <w:pPr>
              <w:spacing w:after="0"/>
            </w:pPr>
            <w:r>
              <w:rPr>
                <w:rFonts w:ascii="Calibri" w:hAnsi="Calibri"/>
                <w:color w:val="142337"/>
                <w:sz w:val="19"/>
              </w:rPr>
              <w:t>ESCALATE</w:t>
            </w:r>
          </w:p>
        </w:tc>
      </w:tr>
      <w:tr>
        <w:tc>
          <w:tcPr>
            <w:tcW w:type="dxa" w:w="1800"/>
            <w:tcMar>
              <w:top w:w="80" w:type="dxa"/>
              <w:start w:w="120" w:type="dxa"/>
              <w:bottom w:w="80" w:type="dxa"/>
              <w:end w:w="120" w:type="dxa"/>
            </w:tcMar>
            <w:vAlign w:val="center"/>
          </w:tcPr>
          <w:p>
            <w:pPr>
              <w:spacing w:after="0"/>
            </w:pPr>
            <w:r>
              <w:rPr>
                <w:rFonts w:ascii="Calibri" w:hAnsi="Calibri"/>
                <w:color w:val="142337"/>
                <w:sz w:val="19"/>
              </w:rPr>
              <w:t>MEDIUM</w:t>
            </w:r>
          </w:p>
        </w:tc>
        <w:tc>
          <w:tcPr>
            <w:tcW w:type="dxa" w:w="5260"/>
            <w:tcMar>
              <w:top w:w="80" w:type="dxa"/>
              <w:start w:w="120" w:type="dxa"/>
              <w:bottom w:w="80" w:type="dxa"/>
              <w:end w:w="120" w:type="dxa"/>
            </w:tcMar>
            <w:vAlign w:val="center"/>
          </w:tcPr>
          <w:p>
            <w:pPr>
              <w:spacing w:after="0"/>
            </w:pPr>
            <w:r>
              <w:rPr>
                <w:rFonts w:ascii="Calibri" w:hAnsi="Calibri"/>
                <w:color w:val="142337"/>
                <w:sz w:val="19"/>
              </w:rPr>
              <w:t>Score &gt;= 20 with at least one meaningful indicator</w:t>
            </w:r>
          </w:p>
        </w:tc>
        <w:tc>
          <w:tcPr>
            <w:tcW w:type="dxa" w:w="2300"/>
            <w:tcMar>
              <w:top w:w="80" w:type="dxa"/>
              <w:start w:w="120" w:type="dxa"/>
              <w:bottom w:w="80" w:type="dxa"/>
              <w:end w:w="120" w:type="dxa"/>
            </w:tcMar>
            <w:vAlign w:val="center"/>
          </w:tcPr>
          <w:p>
            <w:pPr>
              <w:spacing w:after="0"/>
            </w:pPr>
            <w:r>
              <w:rPr>
                <w:rFonts w:ascii="Calibri" w:hAnsi="Calibri"/>
                <w:color w:val="142337"/>
                <w:sz w:val="19"/>
              </w:rPr>
              <w:t>MONITOR</w:t>
            </w:r>
          </w:p>
        </w:tc>
      </w:tr>
      <w:tr>
        <w:tc>
          <w:tcPr>
            <w:tcW w:type="dxa" w:w="1800"/>
            <w:tcMar>
              <w:top w:w="80" w:type="dxa"/>
              <w:start w:w="120" w:type="dxa"/>
              <w:bottom w:w="80" w:type="dxa"/>
              <w:end w:w="120" w:type="dxa"/>
            </w:tcMar>
            <w:vAlign w:val="center"/>
          </w:tcPr>
          <w:p>
            <w:pPr>
              <w:spacing w:after="0"/>
            </w:pPr>
            <w:r>
              <w:rPr>
                <w:rFonts w:ascii="Calibri" w:hAnsi="Calibri"/>
                <w:color w:val="142337"/>
                <w:sz w:val="19"/>
              </w:rPr>
              <w:t>LOW</w:t>
            </w:r>
          </w:p>
        </w:tc>
        <w:tc>
          <w:tcPr>
            <w:tcW w:type="dxa" w:w="5260"/>
            <w:tcMar>
              <w:top w:w="80" w:type="dxa"/>
              <w:start w:w="120" w:type="dxa"/>
              <w:bottom w:w="80" w:type="dxa"/>
              <w:end w:w="120" w:type="dxa"/>
            </w:tcMar>
            <w:vAlign w:val="center"/>
          </w:tcPr>
          <w:p>
            <w:pPr>
              <w:spacing w:after="0"/>
            </w:pPr>
            <w:r>
              <w:rPr>
                <w:rFonts w:ascii="Calibri" w:hAnsi="Calibri"/>
                <w:color w:val="142337"/>
                <w:sz w:val="19"/>
              </w:rPr>
              <w:t>No significant triggered policy risk</w:t>
            </w:r>
          </w:p>
        </w:tc>
        <w:tc>
          <w:tcPr>
            <w:tcW w:type="dxa" w:w="2300"/>
            <w:tcMar>
              <w:top w:w="80" w:type="dxa"/>
              <w:start w:w="120" w:type="dxa"/>
              <w:bottom w:w="80" w:type="dxa"/>
              <w:end w:w="120" w:type="dxa"/>
            </w:tcMar>
            <w:vAlign w:val="center"/>
          </w:tcPr>
          <w:p>
            <w:pPr>
              <w:spacing w:after="0"/>
            </w:pPr>
            <w:r>
              <w:rPr>
                <w:rFonts w:ascii="Calibri" w:hAnsi="Calibri"/>
                <w:color w:val="142337"/>
                <w:sz w:val="19"/>
              </w:rPr>
              <w:t>APPROVE</w:t>
            </w:r>
          </w:p>
        </w:tc>
      </w:tr>
    </w:tbl>
    <w:p>
      <w:pPr>
        <w:spacing w:before="0" w:after="80" w:line="264" w:lineRule="auto"/>
      </w:pPr>
    </w:p>
    <w:p>
      <w:pPr>
        <w:spacing w:before="80" w:after="40"/>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05_risk_reasoning_and_policies.jpg"/>
                    <pic:cNvPicPr/>
                  </pic:nvPicPr>
                  <pic:blipFill>
                    <a:blip r:embed="rId12"/>
                    <a:stretch>
                      <a:fillRect/>
                    </a:stretch>
                  </pic:blipFill>
                  <pic:spPr>
                    <a:xfrm>
                      <a:off x="0" y="0"/>
                      <a:ext cx="5715000" cy="3214688"/>
                    </a:xfrm>
                    <a:prstGeom prst="rect"/>
                  </pic:spPr>
                </pic:pic>
              </a:graphicData>
            </a:graphic>
          </wp:inline>
        </w:drawing>
      </w:r>
    </w:p>
    <w:p>
      <w:pPr>
        <w:spacing w:before="40" w:after="160"/>
      </w:pPr>
      <w:r>
        <w:rPr>
          <w:rFonts w:ascii="Calibri" w:hAnsi="Calibri"/>
          <w:i/>
          <w:color w:val="5A6069"/>
          <w:sz w:val="19"/>
        </w:rPr>
        <w:t>Figure 2. Investigation result showing risk reasoning and triggered policies.</w:t>
      </w:r>
    </w:p>
    <w:p>
      <w:pPr>
        <w:pStyle w:val="Heading1"/>
        <w:spacing w:before="320" w:after="160"/>
      </w:pPr>
      <w:r>
        <w:rPr>
          <w:rFonts w:ascii="Calibri" w:hAnsi="Calibri"/>
          <w:b/>
          <w:color w:val="2E74B5"/>
          <w:sz w:val="32"/>
        </w:rPr>
        <w:t>7. Policy-Grounded RAG Pipeline</w:t>
      </w:r>
    </w:p>
    <w:p>
      <w:pPr>
        <w:spacing w:before="0" w:after="120" w:line="264" w:lineRule="auto"/>
      </w:pPr>
      <w:r>
        <w:rPr>
          <w:rFonts w:ascii="Calibri" w:hAnsi="Calibri"/>
          <w:b w:val="0"/>
          <w:color w:val="142337"/>
          <w:sz w:val="22"/>
        </w:rPr>
        <w:t>RiskRadar AI uses local sentence-transformer embeddings and a FAISS vector index to retrieve relevant policy context from four fraud policy documents. This keeps the investigation grounded in explicit policy evidence rather than relying only on model-generated reasoning.</w:t>
      </w:r>
    </w:p>
    <w:tbl>
      <w:tblPr>
        <w:tblStyle w:val="TableGrid"/>
        <w:tblW w:type="dxa" w:w="9360"/>
        <w:tblLook w:firstColumn="1" w:firstRow="1" w:lastColumn="0" w:lastRow="0" w:noHBand="0" w:noVBand="1" w:val="04A0"/>
        <w:jc w:val="left"/>
        <w:tblInd w:w="120" w:type="dxa"/>
      </w:tblPr>
      <w:tblGrid>
        <w:gridCol w:w="3900"/>
        <w:gridCol w:w="5460"/>
      </w:tblGrid>
      <w:tr>
        <w:trPr>
          <w:tblHeader/>
        </w:trPr>
        <w:tc>
          <w:tcPr>
            <w:tcW w:type="dxa" w:w="3900"/>
            <w:tcMar>
              <w:top w:w="80" w:type="dxa"/>
              <w:start w:w="120" w:type="dxa"/>
              <w:bottom w:w="80" w:type="dxa"/>
              <w:end w:w="120" w:type="dxa"/>
            </w:tcMar>
            <w:vAlign w:val="center"/>
            <w:shd w:fill="F2F4F7"/>
          </w:tcPr>
          <w:p>
            <w:pPr>
              <w:spacing w:after="0"/>
            </w:pPr>
            <w:r>
              <w:rPr>
                <w:rFonts w:ascii="Calibri" w:hAnsi="Calibri"/>
                <w:b/>
                <w:color w:val="142337"/>
                <w:sz w:val="20"/>
              </w:rPr>
              <w:t>Policy Document</w:t>
            </w:r>
          </w:p>
        </w:tc>
        <w:tc>
          <w:tcPr>
            <w:tcW w:type="dxa" w:w="5460"/>
            <w:tcMar>
              <w:top w:w="80" w:type="dxa"/>
              <w:start w:w="120" w:type="dxa"/>
              <w:bottom w:w="80" w:type="dxa"/>
              <w:end w:w="120" w:type="dxa"/>
            </w:tcMar>
            <w:vAlign w:val="center"/>
            <w:shd w:fill="F2F4F7"/>
          </w:tcPr>
          <w:p>
            <w:pPr>
              <w:spacing w:after="0"/>
            </w:pPr>
            <w:r>
              <w:rPr>
                <w:rFonts w:ascii="Calibri" w:hAnsi="Calibri"/>
                <w:b/>
                <w:color w:val="142337"/>
                <w:sz w:val="20"/>
              </w:rPr>
              <w:t>Role in Investigation</w:t>
            </w:r>
          </w:p>
        </w:tc>
      </w:tr>
      <w:tr>
        <w:tc>
          <w:tcPr>
            <w:tcW w:type="dxa" w:w="3900"/>
            <w:tcMar>
              <w:top w:w="80" w:type="dxa"/>
              <w:start w:w="120" w:type="dxa"/>
              <w:bottom w:w="80" w:type="dxa"/>
              <w:end w:w="120" w:type="dxa"/>
            </w:tcMar>
            <w:vAlign w:val="center"/>
          </w:tcPr>
          <w:p>
            <w:pPr>
              <w:spacing w:after="0"/>
            </w:pPr>
            <w:r>
              <w:rPr>
                <w:rFonts w:ascii="Calibri" w:hAnsi="Calibri"/>
                <w:color w:val="142337"/>
                <w:sz w:val="19"/>
              </w:rPr>
              <w:t>High_Value_Transaction_Policy.txt</w:t>
            </w:r>
          </w:p>
        </w:tc>
        <w:tc>
          <w:tcPr>
            <w:tcW w:type="dxa" w:w="5460"/>
            <w:tcMar>
              <w:top w:w="80" w:type="dxa"/>
              <w:start w:w="120" w:type="dxa"/>
              <w:bottom w:w="80" w:type="dxa"/>
              <w:end w:w="120" w:type="dxa"/>
            </w:tcMar>
            <w:vAlign w:val="center"/>
          </w:tcPr>
          <w:p>
            <w:pPr>
              <w:spacing w:after="0"/>
            </w:pPr>
            <w:r>
              <w:rPr>
                <w:rFonts w:ascii="Calibri" w:hAnsi="Calibri"/>
                <w:color w:val="142337"/>
                <w:sz w:val="19"/>
              </w:rPr>
              <w:t>Guidance for large or unusual transaction amounts.</w:t>
            </w:r>
          </w:p>
        </w:tc>
      </w:tr>
      <w:tr>
        <w:tc>
          <w:tcPr>
            <w:tcW w:type="dxa" w:w="3900"/>
            <w:tcMar>
              <w:top w:w="80" w:type="dxa"/>
              <w:start w:w="120" w:type="dxa"/>
              <w:bottom w:w="80" w:type="dxa"/>
              <w:end w:w="120" w:type="dxa"/>
            </w:tcMar>
            <w:vAlign w:val="center"/>
          </w:tcPr>
          <w:p>
            <w:pPr>
              <w:spacing w:after="0"/>
            </w:pPr>
            <w:r>
              <w:rPr>
                <w:rFonts w:ascii="Calibri" w:hAnsi="Calibri"/>
                <w:color w:val="142337"/>
                <w:sz w:val="19"/>
              </w:rPr>
              <w:t>Velocity_and_Burst_Detection_Policy.txt</w:t>
            </w:r>
          </w:p>
        </w:tc>
        <w:tc>
          <w:tcPr>
            <w:tcW w:type="dxa" w:w="5460"/>
            <w:tcMar>
              <w:top w:w="80" w:type="dxa"/>
              <w:start w:w="120" w:type="dxa"/>
              <w:bottom w:w="80" w:type="dxa"/>
              <w:end w:w="120" w:type="dxa"/>
            </w:tcMar>
            <w:vAlign w:val="center"/>
          </w:tcPr>
          <w:p>
            <w:pPr>
              <w:spacing w:after="0"/>
            </w:pPr>
            <w:r>
              <w:rPr>
                <w:rFonts w:ascii="Calibri" w:hAnsi="Calibri"/>
                <w:color w:val="142337"/>
                <w:sz w:val="19"/>
              </w:rPr>
              <w:t>Guidance for burst transaction patterns and rapid transaction frequency.</w:t>
            </w:r>
          </w:p>
        </w:tc>
      </w:tr>
      <w:tr>
        <w:tc>
          <w:tcPr>
            <w:tcW w:type="dxa" w:w="3900"/>
            <w:tcMar>
              <w:top w:w="80" w:type="dxa"/>
              <w:start w:w="120" w:type="dxa"/>
              <w:bottom w:w="80" w:type="dxa"/>
              <w:end w:w="120" w:type="dxa"/>
            </w:tcMar>
            <w:vAlign w:val="center"/>
          </w:tcPr>
          <w:p>
            <w:pPr>
              <w:spacing w:after="0"/>
            </w:pPr>
            <w:r>
              <w:rPr>
                <w:rFonts w:ascii="Calibri" w:hAnsi="Calibri"/>
                <w:color w:val="142337"/>
                <w:sz w:val="19"/>
              </w:rPr>
              <w:t>Geographic_Anomaly_Policy.txt</w:t>
            </w:r>
          </w:p>
        </w:tc>
        <w:tc>
          <w:tcPr>
            <w:tcW w:type="dxa" w:w="5460"/>
            <w:tcMar>
              <w:top w:w="80" w:type="dxa"/>
              <w:start w:w="120" w:type="dxa"/>
              <w:bottom w:w="80" w:type="dxa"/>
              <w:end w:w="120" w:type="dxa"/>
            </w:tcMar>
            <w:vAlign w:val="center"/>
          </w:tcPr>
          <w:p>
            <w:pPr>
              <w:spacing w:after="0"/>
            </w:pPr>
            <w:r>
              <w:rPr>
                <w:rFonts w:ascii="Calibri" w:hAnsi="Calibri"/>
                <w:color w:val="142337"/>
                <w:sz w:val="19"/>
              </w:rPr>
              <w:t>Guidance for high-risk or unusual geographic signals.</w:t>
            </w:r>
          </w:p>
        </w:tc>
      </w:tr>
      <w:tr>
        <w:tc>
          <w:tcPr>
            <w:tcW w:type="dxa" w:w="3900"/>
            <w:tcMar>
              <w:top w:w="80" w:type="dxa"/>
              <w:start w:w="120" w:type="dxa"/>
              <w:bottom w:w="80" w:type="dxa"/>
              <w:end w:w="120" w:type="dxa"/>
            </w:tcMar>
            <w:vAlign w:val="center"/>
          </w:tcPr>
          <w:p>
            <w:pPr>
              <w:spacing w:after="0"/>
            </w:pPr>
            <w:r>
              <w:rPr>
                <w:rFonts w:ascii="Calibri" w:hAnsi="Calibri"/>
                <w:color w:val="142337"/>
                <w:sz w:val="19"/>
              </w:rPr>
              <w:t>Device_and_Payment_Instrument_Policy.txt</w:t>
            </w:r>
          </w:p>
        </w:tc>
        <w:tc>
          <w:tcPr>
            <w:tcW w:type="dxa" w:w="5460"/>
            <w:tcMar>
              <w:top w:w="80" w:type="dxa"/>
              <w:start w:w="120" w:type="dxa"/>
              <w:bottom w:w="80" w:type="dxa"/>
              <w:end w:w="120" w:type="dxa"/>
            </w:tcMar>
            <w:vAlign w:val="center"/>
          </w:tcPr>
          <w:p>
            <w:pPr>
              <w:spacing w:after="0"/>
            </w:pPr>
            <w:r>
              <w:rPr>
                <w:rFonts w:ascii="Calibri" w:hAnsi="Calibri"/>
                <w:color w:val="142337"/>
                <w:sz w:val="19"/>
              </w:rPr>
              <w:t>Guidance for new device and instrument anomalies.</w:t>
            </w:r>
          </w:p>
        </w:tc>
      </w:tr>
    </w:tbl>
    <w:p>
      <w:pPr>
        <w:spacing w:before="0" w:after="80" w:line="264" w:lineRule="auto"/>
      </w:pPr>
    </w:p>
    <w:p>
      <w:pPr>
        <w:spacing w:before="80" w:after="40"/>
        <w:jc w:val="center"/>
      </w:pPr>
      <w:r>
        <w:drawing>
          <wp:inline xmlns:a="http://schemas.openxmlformats.org/drawingml/2006/main" xmlns:pic="http://schemas.openxmlformats.org/drawingml/2006/picture">
            <wp:extent cx="5715000" cy="3214688"/>
            <wp:docPr id="3" name="Picture 3"/>
            <wp:cNvGraphicFramePr>
              <a:graphicFrameLocks noChangeAspect="1"/>
            </wp:cNvGraphicFramePr>
            <a:graphic>
              <a:graphicData uri="http://schemas.openxmlformats.org/drawingml/2006/picture">
                <pic:pic>
                  <pic:nvPicPr>
                    <pic:cNvPr id="0" name="07_sources_and_analyst_decision.jpg"/>
                    <pic:cNvPicPr/>
                  </pic:nvPicPr>
                  <pic:blipFill>
                    <a:blip r:embed="rId13"/>
                    <a:stretch>
                      <a:fillRect/>
                    </a:stretch>
                  </pic:blipFill>
                  <pic:spPr>
                    <a:xfrm>
                      <a:off x="0" y="0"/>
                      <a:ext cx="5715000" cy="3214688"/>
                    </a:xfrm>
                    <a:prstGeom prst="rect"/>
                  </pic:spPr>
                </pic:pic>
              </a:graphicData>
            </a:graphic>
          </wp:inline>
        </w:drawing>
      </w:r>
    </w:p>
    <w:p>
      <w:pPr>
        <w:spacing w:before="40" w:after="160"/>
      </w:pPr>
      <w:r>
        <w:rPr>
          <w:rFonts w:ascii="Calibri" w:hAnsi="Calibri"/>
          <w:i/>
          <w:color w:val="5A6069"/>
          <w:sz w:val="19"/>
        </w:rPr>
        <w:t>Figure 3. Policy sources and analyst decision controls.</w:t>
      </w:r>
    </w:p>
    <w:p>
      <w:pPr>
        <w:pStyle w:val="Heading1"/>
        <w:spacing w:before="320" w:after="160"/>
      </w:pPr>
      <w:r>
        <w:rPr>
          <w:rFonts w:ascii="Calibri" w:hAnsi="Calibri"/>
          <w:b/>
          <w:color w:val="2E74B5"/>
          <w:sz w:val="32"/>
        </w:rPr>
        <w:t>8. Analyst Dashboard and Human Approval</w:t>
      </w:r>
    </w:p>
    <w:p>
      <w:pPr>
        <w:spacing w:before="0" w:after="120" w:line="264" w:lineRule="auto"/>
      </w:pPr>
      <w:r>
        <w:rPr>
          <w:rFonts w:ascii="Calibri" w:hAnsi="Calibri"/>
          <w:b w:val="0"/>
          <w:color w:val="142337"/>
          <w:sz w:val="22"/>
        </w:rPr>
        <w:t>The Streamlit dashboard is the primary analyst interface. It shows alert queue metrics, selected alert details, investigation results, risk reasoning, policy sources, agent trace, analyst decision controls, analyst note entry, and Decision History.</w:t>
      </w:r>
    </w:p>
    <w:p>
      <w:pPr>
        <w:pStyle w:val="ListBullet"/>
        <w:spacing w:after="80" w:line="280" w:lineRule="auto"/>
      </w:pPr>
      <w:r>
        <w:rPr>
          <w:rFonts w:ascii="Calibri" w:hAnsi="Calibri"/>
          <w:color w:val="142337"/>
          <w:sz w:val="22"/>
        </w:rPr>
        <w:t>Alert queue removes handled transactions after decision save.</w:t>
      </w:r>
    </w:p>
    <w:p>
      <w:pPr>
        <w:pStyle w:val="ListBullet"/>
        <w:spacing w:after="80" w:line="280" w:lineRule="auto"/>
      </w:pPr>
      <w:r>
        <w:rPr>
          <w:rFonts w:ascii="Calibri" w:hAnsi="Calibri"/>
          <w:color w:val="142337"/>
          <w:sz w:val="22"/>
        </w:rPr>
        <w:t>Decision History shows recently handled alerts for audit and review.</w:t>
      </w:r>
    </w:p>
    <w:p>
      <w:pPr>
        <w:pStyle w:val="ListBullet"/>
        <w:spacing w:after="80" w:line="280" w:lineRule="auto"/>
      </w:pPr>
      <w:r>
        <w:rPr>
          <w:rFonts w:ascii="Calibri" w:hAnsi="Calibri"/>
          <w:color w:val="142337"/>
          <w:sz w:val="22"/>
        </w:rPr>
        <w:t>Analyst choices include Approve, Monitor, and Escalate.</w:t>
      </w:r>
    </w:p>
    <w:p>
      <w:pPr>
        <w:pStyle w:val="ListBullet"/>
        <w:spacing w:after="80" w:line="280" w:lineRule="auto"/>
      </w:pPr>
      <w:r>
        <w:rPr>
          <w:rFonts w:ascii="Calibri" w:hAnsi="Calibri"/>
          <w:color w:val="142337"/>
          <w:sz w:val="22"/>
        </w:rPr>
        <w:t>Analyst notes capture override reasoning or investigation context.</w:t>
      </w:r>
    </w:p>
    <w:p>
      <w:pPr>
        <w:spacing w:before="80" w:after="40"/>
        <w:jc w:val="center"/>
      </w:pPr>
      <w:r>
        <w:drawing>
          <wp:inline xmlns:a="http://schemas.openxmlformats.org/drawingml/2006/main" xmlns:pic="http://schemas.openxmlformats.org/drawingml/2006/picture">
            <wp:extent cx="5715000" cy="3214688"/>
            <wp:docPr id="4" name="Picture 4"/>
            <wp:cNvGraphicFramePr>
              <a:graphicFrameLocks noChangeAspect="1"/>
            </wp:cNvGraphicFramePr>
            <a:graphic>
              <a:graphicData uri="http://schemas.openxmlformats.org/drawingml/2006/picture">
                <pic:pic>
                  <pic:nvPicPr>
                    <pic:cNvPr id="0" name="10_decision_history.jpg"/>
                    <pic:cNvPicPr/>
                  </pic:nvPicPr>
                  <pic:blipFill>
                    <a:blip r:embed="rId14"/>
                    <a:stretch>
                      <a:fillRect/>
                    </a:stretch>
                  </pic:blipFill>
                  <pic:spPr>
                    <a:xfrm>
                      <a:off x="0" y="0"/>
                      <a:ext cx="5715000" cy="3214688"/>
                    </a:xfrm>
                    <a:prstGeom prst="rect"/>
                  </pic:spPr>
                </pic:pic>
              </a:graphicData>
            </a:graphic>
          </wp:inline>
        </w:drawing>
      </w:r>
    </w:p>
    <w:p>
      <w:pPr>
        <w:spacing w:before="40" w:after="160"/>
      </w:pPr>
      <w:r>
        <w:rPr>
          <w:rFonts w:ascii="Calibri" w:hAnsi="Calibri"/>
          <w:i/>
          <w:color w:val="5A6069"/>
          <w:sz w:val="19"/>
        </w:rPr>
        <w:t>Figure 4. Decision History after analyst feedback is saved.</w:t>
      </w:r>
    </w:p>
    <w:p>
      <w:pPr>
        <w:pStyle w:val="Heading1"/>
        <w:spacing w:before="320" w:after="160"/>
      </w:pPr>
      <w:r>
        <w:rPr>
          <w:rFonts w:ascii="Calibri" w:hAnsi="Calibri"/>
          <w:b/>
          <w:color w:val="2E74B5"/>
          <w:sz w:val="32"/>
        </w:rPr>
        <w:t>9. AWS Deployment and S3 Storage</w:t>
      </w:r>
    </w:p>
    <w:p>
      <w:pPr>
        <w:spacing w:before="0" w:after="120" w:line="264" w:lineRule="auto"/>
      </w:pPr>
      <w:r>
        <w:rPr>
          <w:rFonts w:ascii="Calibri" w:hAnsi="Calibri"/>
          <w:b w:val="0"/>
          <w:color w:val="142337"/>
          <w:sz w:val="22"/>
        </w:rPr>
        <w:t>The dashboard was deployed on AWS EC2 and exposed through Streamlit port 8501. S3-backed storage was added for the synthetic dataset, policy documents, and analyst feedback log. The EC2 instance uses an IAM role to access S3 without storing AWS access keys on the server.</w:t>
      </w:r>
    </w:p>
    <w:tbl>
      <w:tblPr>
        <w:tblStyle w:val="TableGrid"/>
        <w:tblW w:type="dxa" w:w="9360"/>
        <w:jc w:val="left"/>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F2F4F7"/>
          </w:tcPr>
          <w:p>
            <w:pPr>
              <w:spacing w:after="0"/>
            </w:pPr>
            <w:r>
              <w:rPr>
                <w:rFonts w:ascii="Calibri" w:hAnsi="Calibri"/>
                <w:b/>
                <w:color w:val="142337"/>
                <w:sz w:val="21"/>
              </w:rPr>
              <w:t>Compute</w:t>
            </w:r>
          </w:p>
        </w:tc>
        <w:tc>
          <w:tcPr>
            <w:tcW w:type="dxa" w:w="6860"/>
            <w:tcMar>
              <w:top w:w="80" w:type="dxa"/>
              <w:start w:w="120" w:type="dxa"/>
              <w:bottom w:w="80" w:type="dxa"/>
              <w:end w:w="120" w:type="dxa"/>
            </w:tcMar>
            <w:vAlign w:val="center"/>
          </w:tcPr>
          <w:p>
            <w:pPr>
              <w:spacing w:after="0"/>
            </w:pPr>
            <w:r>
              <w:rPr>
                <w:rFonts w:ascii="Calibri" w:hAnsi="Calibri"/>
                <w:b w:val="0"/>
                <w:color w:val="142337"/>
                <w:sz w:val="21"/>
              </w:rPr>
              <w:t>AWS EC2, Ubuntu 24.04 LTS, t3.micro</w:t>
            </w:r>
          </w:p>
        </w:tc>
      </w:tr>
      <w:tr>
        <w:tc>
          <w:tcPr>
            <w:tcW w:type="dxa" w:w="2500"/>
            <w:tcMar>
              <w:top w:w="80" w:type="dxa"/>
              <w:start w:w="120" w:type="dxa"/>
              <w:bottom w:w="80" w:type="dxa"/>
              <w:end w:w="120" w:type="dxa"/>
            </w:tcMar>
            <w:vAlign w:val="center"/>
            <w:shd w:fill="F2F4F7"/>
          </w:tcPr>
          <w:p>
            <w:pPr>
              <w:spacing w:after="0"/>
            </w:pPr>
            <w:r>
              <w:rPr>
                <w:rFonts w:ascii="Calibri" w:hAnsi="Calibri"/>
                <w:b/>
                <w:color w:val="142337"/>
                <w:sz w:val="21"/>
              </w:rPr>
              <w:t>Application port</w:t>
            </w:r>
          </w:p>
        </w:tc>
        <w:tc>
          <w:tcPr>
            <w:tcW w:type="dxa" w:w="6860"/>
            <w:tcMar>
              <w:top w:w="80" w:type="dxa"/>
              <w:start w:w="120" w:type="dxa"/>
              <w:bottom w:w="80" w:type="dxa"/>
              <w:end w:w="120" w:type="dxa"/>
            </w:tcMar>
            <w:vAlign w:val="center"/>
          </w:tcPr>
          <w:p>
            <w:pPr>
              <w:spacing w:after="0"/>
            </w:pPr>
            <w:r>
              <w:rPr>
                <w:rFonts w:ascii="Calibri" w:hAnsi="Calibri"/>
                <w:b w:val="0"/>
                <w:color w:val="142337"/>
                <w:sz w:val="21"/>
              </w:rPr>
              <w:t>8501</w:t>
            </w:r>
          </w:p>
        </w:tc>
      </w:tr>
      <w:tr>
        <w:tc>
          <w:tcPr>
            <w:tcW w:type="dxa" w:w="2500"/>
            <w:tcMar>
              <w:top w:w="80" w:type="dxa"/>
              <w:start w:w="120" w:type="dxa"/>
              <w:bottom w:w="80" w:type="dxa"/>
              <w:end w:w="120" w:type="dxa"/>
            </w:tcMar>
            <w:vAlign w:val="center"/>
            <w:shd w:fill="F2F4F7"/>
          </w:tcPr>
          <w:p>
            <w:pPr>
              <w:spacing w:after="0"/>
            </w:pPr>
            <w:r>
              <w:rPr>
                <w:rFonts w:ascii="Calibri" w:hAnsi="Calibri"/>
                <w:b/>
                <w:color w:val="142337"/>
                <w:sz w:val="21"/>
              </w:rPr>
              <w:t>Storage</w:t>
            </w:r>
          </w:p>
        </w:tc>
        <w:tc>
          <w:tcPr>
            <w:tcW w:type="dxa" w:w="6860"/>
            <w:tcMar>
              <w:top w:w="80" w:type="dxa"/>
              <w:start w:w="120" w:type="dxa"/>
              <w:bottom w:w="80" w:type="dxa"/>
              <w:end w:w="120" w:type="dxa"/>
            </w:tcMar>
            <w:vAlign w:val="center"/>
          </w:tcPr>
          <w:p>
            <w:pPr>
              <w:spacing w:after="0"/>
            </w:pPr>
            <w:r>
              <w:rPr>
                <w:rFonts w:ascii="Calibri" w:hAnsi="Calibri"/>
                <w:b w:val="0"/>
                <w:color w:val="142337"/>
                <w:sz w:val="21"/>
              </w:rPr>
              <w:t>Amazon S3 bucket riskradar-ai-storage-alkarth with prefix riskradar/</w:t>
            </w:r>
          </w:p>
        </w:tc>
      </w:tr>
      <w:tr>
        <w:tc>
          <w:tcPr>
            <w:tcW w:type="dxa" w:w="2500"/>
            <w:tcMar>
              <w:top w:w="80" w:type="dxa"/>
              <w:start w:w="120" w:type="dxa"/>
              <w:bottom w:w="80" w:type="dxa"/>
              <w:end w:w="120" w:type="dxa"/>
            </w:tcMar>
            <w:vAlign w:val="center"/>
            <w:shd w:fill="F2F4F7"/>
          </w:tcPr>
          <w:p>
            <w:pPr>
              <w:spacing w:after="0"/>
            </w:pPr>
            <w:r>
              <w:rPr>
                <w:rFonts w:ascii="Calibri" w:hAnsi="Calibri"/>
                <w:b/>
                <w:color w:val="142337"/>
                <w:sz w:val="21"/>
              </w:rPr>
              <w:t>Security</w:t>
            </w:r>
          </w:p>
        </w:tc>
        <w:tc>
          <w:tcPr>
            <w:tcW w:type="dxa" w:w="6860"/>
            <w:tcMar>
              <w:top w:w="80" w:type="dxa"/>
              <w:start w:w="120" w:type="dxa"/>
              <w:bottom w:w="80" w:type="dxa"/>
              <w:end w:w="120" w:type="dxa"/>
            </w:tcMar>
            <w:vAlign w:val="center"/>
          </w:tcPr>
          <w:p>
            <w:pPr>
              <w:spacing w:after="0"/>
            </w:pPr>
            <w:r>
              <w:rPr>
                <w:rFonts w:ascii="Calibri" w:hAnsi="Calibri"/>
                <w:b w:val="0"/>
                <w:color w:val="142337"/>
                <w:sz w:val="21"/>
              </w:rPr>
              <w:t>IAM role for S3 access; .env and .pem files ignored by git</w:t>
            </w:r>
          </w:p>
        </w:tc>
      </w:tr>
      <w:tr>
        <w:tc>
          <w:tcPr>
            <w:tcW w:type="dxa" w:w="2500"/>
            <w:tcMar>
              <w:top w:w="80" w:type="dxa"/>
              <w:start w:w="120" w:type="dxa"/>
              <w:bottom w:w="80" w:type="dxa"/>
              <w:end w:w="120" w:type="dxa"/>
            </w:tcMar>
            <w:vAlign w:val="center"/>
            <w:shd w:fill="F2F4F7"/>
          </w:tcPr>
          <w:p>
            <w:pPr>
              <w:spacing w:after="0"/>
            </w:pPr>
            <w:r>
              <w:rPr>
                <w:rFonts w:ascii="Calibri" w:hAnsi="Calibri"/>
                <w:b/>
                <w:color w:val="142337"/>
                <w:sz w:val="21"/>
              </w:rPr>
              <w:t>Runtime mode</w:t>
            </w:r>
          </w:p>
        </w:tc>
        <w:tc>
          <w:tcPr>
            <w:tcW w:type="dxa" w:w="6860"/>
            <w:tcMar>
              <w:top w:w="80" w:type="dxa"/>
              <w:start w:w="120" w:type="dxa"/>
              <w:bottom w:w="80" w:type="dxa"/>
              <w:end w:w="120" w:type="dxa"/>
            </w:tcMar>
            <w:vAlign w:val="center"/>
          </w:tcPr>
          <w:p>
            <w:pPr>
              <w:spacing w:after="0"/>
            </w:pPr>
            <w:r>
              <w:rPr>
                <w:rFonts w:ascii="Calibri" w:hAnsi="Calibri"/>
                <w:b w:val="0"/>
                <w:color w:val="142337"/>
                <w:sz w:val="21"/>
              </w:rPr>
              <w:t>USE_S3_STORAGE=true and USE_LLM_SUMMARY=false for deterministic demos</w:t>
            </w:r>
          </w:p>
        </w:tc>
      </w:tr>
    </w:tbl>
    <w:p>
      <w:pPr>
        <w:spacing w:before="0" w:after="80" w:line="264" w:lineRule="auto"/>
      </w:pPr>
    </w:p>
    <w:p>
      <w:pPr>
        <w:spacing w:before="80" w:after="40"/>
        <w:jc w:val="center"/>
      </w:pPr>
      <w:r>
        <w:drawing>
          <wp:inline xmlns:a="http://schemas.openxmlformats.org/drawingml/2006/main" xmlns:pic="http://schemas.openxmlformats.org/drawingml/2006/picture">
            <wp:extent cx="5120640" cy="5080288"/>
            <wp:docPr id="5" name="Picture 5"/>
            <wp:cNvGraphicFramePr>
              <a:graphicFrameLocks noChangeAspect="1"/>
            </wp:cNvGraphicFramePr>
            <a:graphic>
              <a:graphicData uri="http://schemas.openxmlformats.org/drawingml/2006/picture">
                <pic:pic>
                  <pic:nvPicPr>
                    <pic:cNvPr id="0" name="aws_03_live_app_home.png"/>
                    <pic:cNvPicPr/>
                  </pic:nvPicPr>
                  <pic:blipFill>
                    <a:blip r:embed="rId15"/>
                    <a:stretch>
                      <a:fillRect/>
                    </a:stretch>
                  </pic:blipFill>
                  <pic:spPr>
                    <a:xfrm>
                      <a:off x="0" y="0"/>
                      <a:ext cx="5120640" cy="5080288"/>
                    </a:xfrm>
                    <a:prstGeom prst="rect"/>
                  </pic:spPr>
                </pic:pic>
              </a:graphicData>
            </a:graphic>
          </wp:inline>
        </w:drawing>
      </w:r>
    </w:p>
    <w:p>
      <w:pPr>
        <w:spacing w:before="40" w:after="160"/>
      </w:pPr>
      <w:r>
        <w:rPr>
          <w:rFonts w:ascii="Calibri" w:hAnsi="Calibri"/>
          <w:i/>
          <w:color w:val="5A6069"/>
          <w:sz w:val="19"/>
        </w:rPr>
        <w:t>Figure 5. Live deployed RiskRadar AI dashboard on AWS.</w:t>
      </w:r>
    </w:p>
    <w:p>
      <w:pPr>
        <w:spacing w:before="80" w:after="40"/>
        <w:jc w:val="center"/>
      </w:pPr>
      <w:r>
        <w:drawing>
          <wp:inline xmlns:a="http://schemas.openxmlformats.org/drawingml/2006/main" xmlns:pic="http://schemas.openxmlformats.org/drawingml/2006/picture">
            <wp:extent cx="5120640" cy="5080288"/>
            <wp:docPr id="6" name="Picture 6"/>
            <wp:cNvGraphicFramePr>
              <a:graphicFrameLocks noChangeAspect="1"/>
            </wp:cNvGraphicFramePr>
            <a:graphic>
              <a:graphicData uri="http://schemas.openxmlformats.org/drawingml/2006/picture">
                <pic:pic>
                  <pic:nvPicPr>
                    <pic:cNvPr id="0" name="aws_04_live_investigation_sources.png"/>
                    <pic:cNvPicPr/>
                  </pic:nvPicPr>
                  <pic:blipFill>
                    <a:blip r:embed="rId16"/>
                    <a:stretch>
                      <a:fillRect/>
                    </a:stretch>
                  </pic:blipFill>
                  <pic:spPr>
                    <a:xfrm>
                      <a:off x="0" y="0"/>
                      <a:ext cx="5120640" cy="5080288"/>
                    </a:xfrm>
                    <a:prstGeom prst="rect"/>
                  </pic:spPr>
                </pic:pic>
              </a:graphicData>
            </a:graphic>
          </wp:inline>
        </w:drawing>
      </w:r>
    </w:p>
    <w:p>
      <w:pPr>
        <w:spacing w:before="40" w:after="160"/>
      </w:pPr>
      <w:r>
        <w:rPr>
          <w:rFonts w:ascii="Calibri" w:hAnsi="Calibri"/>
          <w:i/>
          <w:color w:val="5A6069"/>
          <w:sz w:val="19"/>
        </w:rPr>
        <w:t>Figure 6. Live AWS investigation result with policy sources.</w:t>
      </w:r>
    </w:p>
    <w:p>
      <w:pPr>
        <w:pStyle w:val="Heading1"/>
        <w:spacing w:before="320" w:after="160"/>
      </w:pPr>
      <w:r>
        <w:rPr>
          <w:rFonts w:ascii="Calibri" w:hAnsi="Calibri"/>
          <w:b/>
          <w:color w:val="2E74B5"/>
          <w:sz w:val="32"/>
        </w:rPr>
        <w:t>10. Optional Docker Containerization</w:t>
      </w:r>
    </w:p>
    <w:p>
      <w:pPr>
        <w:spacing w:before="0" w:after="120" w:line="264" w:lineRule="auto"/>
      </w:pPr>
      <w:r>
        <w:rPr>
          <w:rFonts w:ascii="Calibri" w:hAnsi="Calibri"/>
          <w:b w:val="0"/>
          <w:color w:val="142337"/>
          <w:sz w:val="22"/>
        </w:rPr>
        <w:t>Docker support was added as an optional reproducibility path. The project intentionally uses direct Docker CLI commands rather than Docker Compose, keeping the RFP containerization story simple while still allowing another user to build and run the app without a local Python setup.</w:t>
      </w: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7F7"/>
          </w:tcPr>
          <w:p>
            <w:pPr>
              <w:spacing w:after="0"/>
            </w:pPr>
            <w:r>
              <w:rPr>
                <w:rFonts w:ascii="Courier New" w:hAnsi="Courier New"/>
                <w:color w:val="142337"/>
                <w:sz w:val="19"/>
              </w:rPr>
              <w:t>docker build -t riskradar-ai .</w:t>
            </w:r>
            <w:r>
              <w:br/>
            </w:r>
            <w:r>
              <w:rPr>
                <w:rFonts w:ascii="Courier New" w:hAnsi="Courier New"/>
                <w:color w:val="142337"/>
                <w:sz w:val="19"/>
              </w:rPr>
              <w:t>docker run --rm -p 8501:8501 --env-file .env -v "$PWD/data:/app/data" riskradar-ai</w:t>
            </w:r>
          </w:p>
        </w:tc>
      </w:tr>
    </w:tbl>
    <w:p>
      <w:pPr>
        <w:spacing w:before="0" w:after="80" w:line="264" w:lineRule="auto"/>
      </w:pPr>
    </w:p>
    <w:p>
      <w:pPr>
        <w:spacing w:before="0" w:after="120" w:line="264" w:lineRule="auto"/>
      </w:pPr>
      <w:r>
        <w:rPr>
          <w:rFonts w:ascii="Calibri" w:hAnsi="Calibri"/>
          <w:b w:val="0"/>
          <w:color w:val="142337"/>
          <w:sz w:val="22"/>
        </w:rPr>
        <w:t>The data folder is mounted into the container so analyst feedback logs persist on the host machine. The .dockerignore file excludes secrets, keys, git metadata, caches, and local virtual environments from the image.</w:t>
      </w:r>
    </w:p>
    <w:p>
      <w:pPr>
        <w:pStyle w:val="Heading1"/>
        <w:spacing w:before="320" w:after="160"/>
      </w:pPr>
      <w:r>
        <w:rPr>
          <w:rFonts w:ascii="Calibri" w:hAnsi="Calibri"/>
          <w:b/>
          <w:color w:val="2E74B5"/>
          <w:sz w:val="32"/>
        </w:rPr>
        <w:t>11. Testing and Verification</w:t>
      </w:r>
    </w:p>
    <w:tbl>
      <w:tblPr>
        <w:tblStyle w:val="TableGrid"/>
        <w:tblW w:type="dxa" w:w="9360"/>
        <w:tblLook w:firstColumn="1" w:firstRow="1" w:lastColumn="0" w:lastRow="0" w:noHBand="0" w:noVBand="1" w:val="04A0"/>
        <w:jc w:val="left"/>
        <w:tblInd w:w="120" w:type="dxa"/>
      </w:tblPr>
      <w:tblGrid>
        <w:gridCol w:w="3000"/>
        <w:gridCol w:w="6360"/>
      </w:tblGrid>
      <w:tr>
        <w:trPr>
          <w:tblHeader/>
        </w:trPr>
        <w:tc>
          <w:tcPr>
            <w:tcW w:type="dxa" w:w="3000"/>
            <w:tcMar>
              <w:top w:w="80" w:type="dxa"/>
              <w:start w:w="120" w:type="dxa"/>
              <w:bottom w:w="80" w:type="dxa"/>
              <w:end w:w="120" w:type="dxa"/>
            </w:tcMar>
            <w:vAlign w:val="center"/>
            <w:shd w:fill="F2F4F7"/>
          </w:tcPr>
          <w:p>
            <w:pPr>
              <w:spacing w:after="0"/>
            </w:pPr>
            <w:r>
              <w:rPr>
                <w:rFonts w:ascii="Calibri" w:hAnsi="Calibri"/>
                <w:b/>
                <w:color w:val="142337"/>
                <w:sz w:val="20"/>
              </w:rPr>
              <w:t>Verification Area</w:t>
            </w:r>
          </w:p>
        </w:tc>
        <w:tc>
          <w:tcPr>
            <w:tcW w:type="dxa" w:w="6360"/>
            <w:tcMar>
              <w:top w:w="80" w:type="dxa"/>
              <w:start w:w="120" w:type="dxa"/>
              <w:bottom w:w="80" w:type="dxa"/>
              <w:end w:w="120" w:type="dxa"/>
            </w:tcMar>
            <w:vAlign w:val="center"/>
            <w:shd w:fill="F2F4F7"/>
          </w:tcPr>
          <w:p>
            <w:pPr>
              <w:spacing w:after="0"/>
            </w:pPr>
            <w:r>
              <w:rPr>
                <w:rFonts w:ascii="Calibri" w:hAnsi="Calibri"/>
                <w:b/>
                <w:color w:val="142337"/>
                <w:sz w:val="20"/>
              </w:rPr>
              <w:t>Result</w:t>
            </w:r>
          </w:p>
        </w:tc>
      </w:tr>
      <w:tr>
        <w:tc>
          <w:tcPr>
            <w:tcW w:type="dxa" w:w="3000"/>
            <w:tcMar>
              <w:top w:w="80" w:type="dxa"/>
              <w:start w:w="120" w:type="dxa"/>
              <w:bottom w:w="80" w:type="dxa"/>
              <w:end w:w="120" w:type="dxa"/>
            </w:tcMar>
            <w:vAlign w:val="center"/>
          </w:tcPr>
          <w:p>
            <w:pPr>
              <w:spacing w:after="0"/>
            </w:pPr>
            <w:r>
              <w:rPr>
                <w:rFonts w:ascii="Calibri" w:hAnsi="Calibri"/>
                <w:color w:val="142337"/>
                <w:sz w:val="19"/>
              </w:rPr>
              <w:t>Static compile check</w:t>
            </w:r>
          </w:p>
        </w:tc>
        <w:tc>
          <w:tcPr>
            <w:tcW w:type="dxa" w:w="6360"/>
            <w:tcMar>
              <w:top w:w="80" w:type="dxa"/>
              <w:start w:w="120" w:type="dxa"/>
              <w:bottom w:w="80" w:type="dxa"/>
              <w:end w:w="120" w:type="dxa"/>
            </w:tcMar>
            <w:vAlign w:val="center"/>
          </w:tcPr>
          <w:p>
            <w:pPr>
              <w:spacing w:after="0"/>
            </w:pPr>
            <w:r>
              <w:rPr>
                <w:rFonts w:ascii="Calibri" w:hAnsi="Calibri"/>
                <w:color w:val="142337"/>
                <w:sz w:val="19"/>
              </w:rPr>
              <w:t>Passed for app, graph, fraud, RAG, utils, tests, and root helper scripts.</w:t>
            </w:r>
          </w:p>
        </w:tc>
      </w:tr>
      <w:tr>
        <w:tc>
          <w:tcPr>
            <w:tcW w:type="dxa" w:w="3000"/>
            <w:tcMar>
              <w:top w:w="80" w:type="dxa"/>
              <w:start w:w="120" w:type="dxa"/>
              <w:bottom w:w="80" w:type="dxa"/>
              <w:end w:w="120" w:type="dxa"/>
            </w:tcMar>
            <w:vAlign w:val="center"/>
          </w:tcPr>
          <w:p>
            <w:pPr>
              <w:spacing w:after="0"/>
            </w:pPr>
            <w:r>
              <w:rPr>
                <w:rFonts w:ascii="Calibri" w:hAnsi="Calibri"/>
                <w:color w:val="142337"/>
                <w:sz w:val="19"/>
              </w:rPr>
              <w:t>Alert generation</w:t>
            </w:r>
          </w:p>
        </w:tc>
        <w:tc>
          <w:tcPr>
            <w:tcW w:type="dxa" w:w="6360"/>
            <w:tcMar>
              <w:top w:w="80" w:type="dxa"/>
              <w:start w:w="120" w:type="dxa"/>
              <w:bottom w:w="80" w:type="dxa"/>
              <w:end w:w="120" w:type="dxa"/>
            </w:tcMar>
            <w:vAlign w:val="center"/>
          </w:tcPr>
          <w:p>
            <w:pPr>
              <w:spacing w:after="0"/>
            </w:pPr>
            <w:r>
              <w:rPr>
                <w:rFonts w:ascii="Calibri" w:hAnsi="Calibri"/>
                <w:color w:val="142337"/>
                <w:sz w:val="19"/>
              </w:rPr>
              <w:t>Passed and generated a working alert queue from synthetic transactions.</w:t>
            </w:r>
          </w:p>
        </w:tc>
      </w:tr>
      <w:tr>
        <w:tc>
          <w:tcPr>
            <w:tcW w:type="dxa" w:w="3000"/>
            <w:tcMar>
              <w:top w:w="80" w:type="dxa"/>
              <w:start w:w="120" w:type="dxa"/>
              <w:bottom w:w="80" w:type="dxa"/>
              <w:end w:w="120" w:type="dxa"/>
            </w:tcMar>
            <w:vAlign w:val="center"/>
          </w:tcPr>
          <w:p>
            <w:pPr>
              <w:spacing w:after="0"/>
            </w:pPr>
            <w:r>
              <w:rPr>
                <w:rFonts w:ascii="Calibri" w:hAnsi="Calibri"/>
                <w:color w:val="142337"/>
                <w:sz w:val="19"/>
              </w:rPr>
              <w:t>Risk engine</w:t>
            </w:r>
          </w:p>
        </w:tc>
        <w:tc>
          <w:tcPr>
            <w:tcW w:type="dxa" w:w="6360"/>
            <w:tcMar>
              <w:top w:w="80" w:type="dxa"/>
              <w:start w:w="120" w:type="dxa"/>
              <w:bottom w:w="80" w:type="dxa"/>
              <w:end w:w="120" w:type="dxa"/>
            </w:tcMar>
            <w:vAlign w:val="center"/>
          </w:tcPr>
          <w:p>
            <w:pPr>
              <w:spacing w:after="0"/>
            </w:pPr>
            <w:r>
              <w:rPr>
                <w:rFonts w:ascii="Calibri" w:hAnsi="Calibri"/>
                <w:color w:val="142337"/>
                <w:sz w:val="19"/>
              </w:rPr>
              <w:t>Passed high, medium, and low risk scenario checks.</w:t>
            </w:r>
          </w:p>
        </w:tc>
      </w:tr>
      <w:tr>
        <w:tc>
          <w:tcPr>
            <w:tcW w:type="dxa" w:w="3000"/>
            <w:tcMar>
              <w:top w:w="80" w:type="dxa"/>
              <w:start w:w="120" w:type="dxa"/>
              <w:bottom w:w="80" w:type="dxa"/>
              <w:end w:w="120" w:type="dxa"/>
            </w:tcMar>
            <w:vAlign w:val="center"/>
          </w:tcPr>
          <w:p>
            <w:pPr>
              <w:spacing w:after="0"/>
            </w:pPr>
            <w:r>
              <w:rPr>
                <w:rFonts w:ascii="Calibri" w:hAnsi="Calibri"/>
                <w:color w:val="142337"/>
                <w:sz w:val="19"/>
              </w:rPr>
              <w:t>LangGraph workflow</w:t>
            </w:r>
          </w:p>
        </w:tc>
        <w:tc>
          <w:tcPr>
            <w:tcW w:type="dxa" w:w="6360"/>
            <w:tcMar>
              <w:top w:w="80" w:type="dxa"/>
              <w:start w:w="120" w:type="dxa"/>
              <w:bottom w:w="80" w:type="dxa"/>
              <w:end w:w="120" w:type="dxa"/>
            </w:tcMar>
            <w:vAlign w:val="center"/>
          </w:tcPr>
          <w:p>
            <w:pPr>
              <w:spacing w:after="0"/>
            </w:pPr>
            <w:r>
              <w:rPr>
                <w:rFonts w:ascii="Calibri" w:hAnsi="Calibri"/>
                <w:color w:val="142337"/>
                <w:sz w:val="19"/>
              </w:rPr>
              <w:t>Passed script-style workflow validation.</w:t>
            </w:r>
          </w:p>
        </w:tc>
      </w:tr>
      <w:tr>
        <w:tc>
          <w:tcPr>
            <w:tcW w:type="dxa" w:w="3000"/>
            <w:tcMar>
              <w:top w:w="80" w:type="dxa"/>
              <w:start w:w="120" w:type="dxa"/>
              <w:bottom w:w="80" w:type="dxa"/>
              <w:end w:w="120" w:type="dxa"/>
            </w:tcMar>
            <w:vAlign w:val="center"/>
          </w:tcPr>
          <w:p>
            <w:pPr>
              <w:spacing w:after="0"/>
            </w:pPr>
            <w:r>
              <w:rPr>
                <w:rFonts w:ascii="Calibri" w:hAnsi="Calibri"/>
                <w:color w:val="142337"/>
                <w:sz w:val="19"/>
              </w:rPr>
              <w:t>End-to-end app flow</w:t>
            </w:r>
          </w:p>
        </w:tc>
        <w:tc>
          <w:tcPr>
            <w:tcW w:type="dxa" w:w="6360"/>
            <w:tcMar>
              <w:top w:w="80" w:type="dxa"/>
              <w:start w:w="120" w:type="dxa"/>
              <w:bottom w:w="80" w:type="dxa"/>
              <w:end w:w="120" w:type="dxa"/>
            </w:tcMar>
            <w:vAlign w:val="center"/>
          </w:tcPr>
          <w:p>
            <w:pPr>
              <w:spacing w:after="0"/>
            </w:pPr>
            <w:r>
              <w:rPr>
                <w:rFonts w:ascii="Calibri" w:hAnsi="Calibri"/>
                <w:color w:val="142337"/>
                <w:sz w:val="19"/>
              </w:rPr>
              <w:t>Passed selected alert investigation and feedback logging checks.</w:t>
            </w:r>
          </w:p>
        </w:tc>
      </w:tr>
      <w:tr>
        <w:tc>
          <w:tcPr>
            <w:tcW w:type="dxa" w:w="3000"/>
            <w:tcMar>
              <w:top w:w="80" w:type="dxa"/>
              <w:start w:w="120" w:type="dxa"/>
              <w:bottom w:w="80" w:type="dxa"/>
              <w:end w:w="120" w:type="dxa"/>
            </w:tcMar>
            <w:vAlign w:val="center"/>
          </w:tcPr>
          <w:p>
            <w:pPr>
              <w:spacing w:after="0"/>
            </w:pPr>
            <w:r>
              <w:rPr>
                <w:rFonts w:ascii="Calibri" w:hAnsi="Calibri"/>
                <w:color w:val="142337"/>
                <w:sz w:val="19"/>
              </w:rPr>
              <w:t>AWS deployment</w:t>
            </w:r>
          </w:p>
        </w:tc>
        <w:tc>
          <w:tcPr>
            <w:tcW w:type="dxa" w:w="6360"/>
            <w:tcMar>
              <w:top w:w="80" w:type="dxa"/>
              <w:start w:w="120" w:type="dxa"/>
              <w:bottom w:w="80" w:type="dxa"/>
              <w:end w:w="120" w:type="dxa"/>
            </w:tcMar>
            <w:vAlign w:val="center"/>
          </w:tcPr>
          <w:p>
            <w:pPr>
              <w:spacing w:after="0"/>
            </w:pPr>
            <w:r>
              <w:rPr>
                <w:rFonts w:ascii="Calibri" w:hAnsi="Calibri"/>
                <w:color w:val="142337"/>
                <w:sz w:val="19"/>
              </w:rPr>
              <w:t>Public app responded and live investigation displayed policy sources.</w:t>
            </w:r>
          </w:p>
        </w:tc>
      </w:tr>
      <w:tr>
        <w:tc>
          <w:tcPr>
            <w:tcW w:type="dxa" w:w="3000"/>
            <w:tcMar>
              <w:top w:w="80" w:type="dxa"/>
              <w:start w:w="120" w:type="dxa"/>
              <w:bottom w:w="80" w:type="dxa"/>
              <w:end w:w="120" w:type="dxa"/>
            </w:tcMar>
            <w:vAlign w:val="center"/>
          </w:tcPr>
          <w:p>
            <w:pPr>
              <w:spacing w:after="0"/>
            </w:pPr>
            <w:r>
              <w:rPr>
                <w:rFonts w:ascii="Calibri" w:hAnsi="Calibri"/>
                <w:color w:val="142337"/>
                <w:sz w:val="19"/>
              </w:rPr>
              <w:t>Docker</w:t>
            </w:r>
          </w:p>
        </w:tc>
        <w:tc>
          <w:tcPr>
            <w:tcW w:type="dxa" w:w="6360"/>
            <w:tcMar>
              <w:top w:w="80" w:type="dxa"/>
              <w:start w:w="120" w:type="dxa"/>
              <w:bottom w:w="80" w:type="dxa"/>
              <w:end w:w="120" w:type="dxa"/>
            </w:tcMar>
            <w:vAlign w:val="center"/>
          </w:tcPr>
          <w:p>
            <w:pPr>
              <w:spacing w:after="0"/>
            </w:pPr>
            <w:r>
              <w:rPr>
                <w:rFonts w:ascii="Calibri" w:hAnsi="Calibri"/>
                <w:color w:val="142337"/>
                <w:sz w:val="19"/>
              </w:rPr>
              <w:t>Image build, container startup, and localhost Streamlit load were verified.</w:t>
            </w:r>
          </w:p>
        </w:tc>
      </w:tr>
    </w:tbl>
    <w:p>
      <w:pPr>
        <w:spacing w:before="0" w:after="80" w:line="264" w:lineRule="auto"/>
      </w:pPr>
    </w:p>
    <w:p>
      <w:pPr>
        <w:spacing w:before="0" w:after="120" w:line="264" w:lineRule="auto"/>
      </w:pPr>
      <w:r>
        <w:rPr>
          <w:rFonts w:ascii="Calibri" w:hAnsi="Calibri"/>
          <w:b w:val="0"/>
          <w:color w:val="142337"/>
          <w:sz w:val="22"/>
        </w:rPr>
        <w:t>Current tests are script-style health checks rather than full pytest-collected test functions. This is documented as a known limitation and does not block the demo workflow.</w:t>
      </w:r>
    </w:p>
    <w:p>
      <w:pPr>
        <w:pStyle w:val="Heading1"/>
        <w:spacing w:before="320" w:after="160"/>
      </w:pPr>
      <w:r>
        <w:rPr>
          <w:rFonts w:ascii="Calibri" w:hAnsi="Calibri"/>
          <w:b/>
          <w:color w:val="2E74B5"/>
          <w:sz w:val="32"/>
        </w:rPr>
        <w:t>12. RFP Alignment</w:t>
      </w:r>
    </w:p>
    <w:tbl>
      <w:tblPr>
        <w:tblStyle w:val="TableGrid"/>
        <w:tblW w:type="dxa" w:w="9360"/>
        <w:tblLook w:firstColumn="1" w:firstRow="1" w:lastColumn="0" w:lastRow="0" w:noHBand="0" w:noVBand="1" w:val="04A0"/>
        <w:jc w:val="left"/>
        <w:tblInd w:w="120" w:type="dxa"/>
      </w:tblPr>
      <w:tblGrid>
        <w:gridCol w:w="2500"/>
        <w:gridCol w:w="1500"/>
        <w:gridCol w:w="5360"/>
      </w:tblGrid>
      <w:tr>
        <w:trPr>
          <w:tblHeader/>
        </w:trPr>
        <w:tc>
          <w:tcPr>
            <w:tcW w:type="dxa" w:w="2500"/>
            <w:tcMar>
              <w:top w:w="80" w:type="dxa"/>
              <w:start w:w="120" w:type="dxa"/>
              <w:bottom w:w="80" w:type="dxa"/>
              <w:end w:w="120" w:type="dxa"/>
            </w:tcMar>
            <w:vAlign w:val="center"/>
            <w:shd w:fill="F2F4F7"/>
          </w:tcPr>
          <w:p>
            <w:pPr>
              <w:spacing w:after="0"/>
            </w:pPr>
            <w:r>
              <w:rPr>
                <w:rFonts w:ascii="Calibri" w:hAnsi="Calibri"/>
                <w:b/>
                <w:color w:val="142337"/>
                <w:sz w:val="20"/>
              </w:rPr>
              <w:t>Requirement Area</w:t>
            </w:r>
          </w:p>
        </w:tc>
        <w:tc>
          <w:tcPr>
            <w:tcW w:type="dxa" w:w="1500"/>
            <w:tcMar>
              <w:top w:w="80" w:type="dxa"/>
              <w:start w:w="120" w:type="dxa"/>
              <w:bottom w:w="80" w:type="dxa"/>
              <w:end w:w="120" w:type="dxa"/>
            </w:tcMar>
            <w:vAlign w:val="center"/>
            <w:shd w:fill="F2F4F7"/>
          </w:tcPr>
          <w:p>
            <w:pPr>
              <w:spacing w:after="0"/>
            </w:pPr>
            <w:r>
              <w:rPr>
                <w:rFonts w:ascii="Calibri" w:hAnsi="Calibri"/>
                <w:b/>
                <w:color w:val="142337"/>
                <w:sz w:val="20"/>
              </w:rPr>
              <w:t>Status</w:t>
            </w:r>
          </w:p>
        </w:tc>
        <w:tc>
          <w:tcPr>
            <w:tcW w:type="dxa" w:w="5360"/>
            <w:tcMar>
              <w:top w:w="80" w:type="dxa"/>
              <w:start w:w="120" w:type="dxa"/>
              <w:bottom w:w="80" w:type="dxa"/>
              <w:end w:w="120" w:type="dxa"/>
            </w:tcMar>
            <w:vAlign w:val="center"/>
            <w:shd w:fill="F2F4F7"/>
          </w:tcPr>
          <w:p>
            <w:pPr>
              <w:spacing w:after="0"/>
            </w:pPr>
            <w:r>
              <w:rPr>
                <w:rFonts w:ascii="Calibri" w:hAnsi="Calibri"/>
                <w:b/>
                <w:color w:val="142337"/>
                <w:sz w:val="20"/>
              </w:rPr>
              <w:t>Evidence</w:t>
            </w:r>
          </w:p>
        </w:tc>
      </w:tr>
      <w:tr>
        <w:tc>
          <w:tcPr>
            <w:tcW w:type="dxa" w:w="2500"/>
            <w:tcMar>
              <w:top w:w="80" w:type="dxa"/>
              <w:start w:w="120" w:type="dxa"/>
              <w:bottom w:w="80" w:type="dxa"/>
              <w:end w:w="120" w:type="dxa"/>
            </w:tcMar>
            <w:vAlign w:val="center"/>
          </w:tcPr>
          <w:p>
            <w:pPr>
              <w:spacing w:after="0"/>
            </w:pPr>
            <w:r>
              <w:rPr>
                <w:rFonts w:ascii="Calibri" w:hAnsi="Calibri"/>
                <w:color w:val="142337"/>
                <w:sz w:val="19"/>
              </w:rPr>
              <w:t>Fraud investigation assistant</w:t>
            </w:r>
          </w:p>
        </w:tc>
        <w:tc>
          <w:tcPr>
            <w:tcW w:type="dxa" w:w="1500"/>
            <w:tcMar>
              <w:top w:w="80" w:type="dxa"/>
              <w:start w:w="120" w:type="dxa"/>
              <w:bottom w:w="80" w:type="dxa"/>
              <w:end w:w="120" w:type="dxa"/>
            </w:tcMar>
            <w:vAlign w:val="center"/>
          </w:tcPr>
          <w:p>
            <w:pPr>
              <w:spacing w:after="0"/>
            </w:pPr>
            <w:r>
              <w:rPr>
                <w:rFonts w:ascii="Calibri" w:hAnsi="Calibri"/>
                <w:color w:val="142337"/>
                <w:sz w:val="19"/>
              </w:rPr>
              <w:t>Complete</w:t>
            </w:r>
          </w:p>
        </w:tc>
        <w:tc>
          <w:tcPr>
            <w:tcW w:type="dxa" w:w="5360"/>
            <w:tcMar>
              <w:top w:w="80" w:type="dxa"/>
              <w:start w:w="120" w:type="dxa"/>
              <w:bottom w:w="80" w:type="dxa"/>
              <w:end w:w="120" w:type="dxa"/>
            </w:tcMar>
            <w:vAlign w:val="center"/>
          </w:tcPr>
          <w:p>
            <w:pPr>
              <w:spacing w:after="0"/>
            </w:pPr>
            <w:r>
              <w:rPr>
                <w:rFonts w:ascii="Calibri" w:hAnsi="Calibri"/>
                <w:color w:val="142337"/>
                <w:sz w:val="19"/>
              </w:rPr>
              <w:t>Streamlit dashboard and workflow-driven investigation.</w:t>
            </w:r>
          </w:p>
        </w:tc>
      </w:tr>
      <w:tr>
        <w:tc>
          <w:tcPr>
            <w:tcW w:type="dxa" w:w="2500"/>
            <w:tcMar>
              <w:top w:w="80" w:type="dxa"/>
              <w:start w:w="120" w:type="dxa"/>
              <w:bottom w:w="80" w:type="dxa"/>
              <w:end w:w="120" w:type="dxa"/>
            </w:tcMar>
            <w:vAlign w:val="center"/>
          </w:tcPr>
          <w:p>
            <w:pPr>
              <w:spacing w:after="0"/>
            </w:pPr>
            <w:r>
              <w:rPr>
                <w:rFonts w:ascii="Calibri" w:hAnsi="Calibri"/>
                <w:color w:val="142337"/>
                <w:sz w:val="19"/>
              </w:rPr>
              <w:t>Agentic workflow</w:t>
            </w:r>
          </w:p>
        </w:tc>
        <w:tc>
          <w:tcPr>
            <w:tcW w:type="dxa" w:w="1500"/>
            <w:tcMar>
              <w:top w:w="80" w:type="dxa"/>
              <w:start w:w="120" w:type="dxa"/>
              <w:bottom w:w="80" w:type="dxa"/>
              <w:end w:w="120" w:type="dxa"/>
            </w:tcMar>
            <w:vAlign w:val="center"/>
          </w:tcPr>
          <w:p>
            <w:pPr>
              <w:spacing w:after="0"/>
            </w:pPr>
            <w:r>
              <w:rPr>
                <w:rFonts w:ascii="Calibri" w:hAnsi="Calibri"/>
                <w:color w:val="142337"/>
                <w:sz w:val="19"/>
              </w:rPr>
              <w:t>Complete</w:t>
            </w:r>
          </w:p>
        </w:tc>
        <w:tc>
          <w:tcPr>
            <w:tcW w:type="dxa" w:w="5360"/>
            <w:tcMar>
              <w:top w:w="80" w:type="dxa"/>
              <w:start w:w="120" w:type="dxa"/>
              <w:bottom w:w="80" w:type="dxa"/>
              <w:end w:w="120" w:type="dxa"/>
            </w:tcMar>
            <w:vAlign w:val="center"/>
          </w:tcPr>
          <w:p>
            <w:pPr>
              <w:spacing w:after="0"/>
            </w:pPr>
            <w:r>
              <w:rPr>
                <w:rFonts w:ascii="Calibri" w:hAnsi="Calibri"/>
                <w:color w:val="142337"/>
                <w:sz w:val="19"/>
              </w:rPr>
              <w:t>LangGraph specialist nodes and agent trace.</w:t>
            </w:r>
          </w:p>
        </w:tc>
      </w:tr>
      <w:tr>
        <w:tc>
          <w:tcPr>
            <w:tcW w:type="dxa" w:w="2500"/>
            <w:tcMar>
              <w:top w:w="80" w:type="dxa"/>
              <w:start w:w="120" w:type="dxa"/>
              <w:bottom w:w="80" w:type="dxa"/>
              <w:end w:w="120" w:type="dxa"/>
            </w:tcMar>
            <w:vAlign w:val="center"/>
          </w:tcPr>
          <w:p>
            <w:pPr>
              <w:spacing w:after="0"/>
            </w:pPr>
            <w:r>
              <w:rPr>
                <w:rFonts w:ascii="Calibri" w:hAnsi="Calibri"/>
                <w:color w:val="142337"/>
                <w:sz w:val="19"/>
              </w:rPr>
              <w:t>Policy-grounded evidence</w:t>
            </w:r>
          </w:p>
        </w:tc>
        <w:tc>
          <w:tcPr>
            <w:tcW w:type="dxa" w:w="1500"/>
            <w:tcMar>
              <w:top w:w="80" w:type="dxa"/>
              <w:start w:w="120" w:type="dxa"/>
              <w:bottom w:w="80" w:type="dxa"/>
              <w:end w:w="120" w:type="dxa"/>
            </w:tcMar>
            <w:vAlign w:val="center"/>
          </w:tcPr>
          <w:p>
            <w:pPr>
              <w:spacing w:after="0"/>
            </w:pPr>
            <w:r>
              <w:rPr>
                <w:rFonts w:ascii="Calibri" w:hAnsi="Calibri"/>
                <w:color w:val="142337"/>
                <w:sz w:val="19"/>
              </w:rPr>
              <w:t>Complete</w:t>
            </w:r>
          </w:p>
        </w:tc>
        <w:tc>
          <w:tcPr>
            <w:tcW w:type="dxa" w:w="5360"/>
            <w:tcMar>
              <w:top w:w="80" w:type="dxa"/>
              <w:start w:w="120" w:type="dxa"/>
              <w:bottom w:w="80" w:type="dxa"/>
              <w:end w:w="120" w:type="dxa"/>
            </w:tcMar>
            <w:vAlign w:val="center"/>
          </w:tcPr>
          <w:p>
            <w:pPr>
              <w:spacing w:after="0"/>
            </w:pPr>
            <w:r>
              <w:rPr>
                <w:rFonts w:ascii="Calibri" w:hAnsi="Calibri"/>
                <w:color w:val="142337"/>
                <w:sz w:val="19"/>
              </w:rPr>
              <w:t>FAISS retrieval from policy documents with source display.</w:t>
            </w:r>
          </w:p>
        </w:tc>
      </w:tr>
      <w:tr>
        <w:tc>
          <w:tcPr>
            <w:tcW w:type="dxa" w:w="2500"/>
            <w:tcMar>
              <w:top w:w="80" w:type="dxa"/>
              <w:start w:w="120" w:type="dxa"/>
              <w:bottom w:w="80" w:type="dxa"/>
              <w:end w:w="120" w:type="dxa"/>
            </w:tcMar>
            <w:vAlign w:val="center"/>
          </w:tcPr>
          <w:p>
            <w:pPr>
              <w:spacing w:after="0"/>
            </w:pPr>
            <w:r>
              <w:rPr>
                <w:rFonts w:ascii="Calibri" w:hAnsi="Calibri"/>
                <w:color w:val="142337"/>
                <w:sz w:val="19"/>
              </w:rPr>
              <w:t>Risk scoring</w:t>
            </w:r>
          </w:p>
        </w:tc>
        <w:tc>
          <w:tcPr>
            <w:tcW w:type="dxa" w:w="1500"/>
            <w:tcMar>
              <w:top w:w="80" w:type="dxa"/>
              <w:start w:w="120" w:type="dxa"/>
              <w:bottom w:w="80" w:type="dxa"/>
              <w:end w:w="120" w:type="dxa"/>
            </w:tcMar>
            <w:vAlign w:val="center"/>
          </w:tcPr>
          <w:p>
            <w:pPr>
              <w:spacing w:after="0"/>
            </w:pPr>
            <w:r>
              <w:rPr>
                <w:rFonts w:ascii="Calibri" w:hAnsi="Calibri"/>
                <w:color w:val="142337"/>
                <w:sz w:val="19"/>
              </w:rPr>
              <w:t>Complete</w:t>
            </w:r>
          </w:p>
        </w:tc>
        <w:tc>
          <w:tcPr>
            <w:tcW w:type="dxa" w:w="5360"/>
            <w:tcMar>
              <w:top w:w="80" w:type="dxa"/>
              <w:start w:w="120" w:type="dxa"/>
              <w:bottom w:w="80" w:type="dxa"/>
              <w:end w:w="120" w:type="dxa"/>
            </w:tcMar>
            <w:vAlign w:val="center"/>
          </w:tcPr>
          <w:p>
            <w:pPr>
              <w:spacing w:after="0"/>
            </w:pPr>
            <w:r>
              <w:rPr>
                <w:rFonts w:ascii="Calibri" w:hAnsi="Calibri"/>
                <w:color w:val="142337"/>
                <w:sz w:val="19"/>
              </w:rPr>
              <w:t>Weighted rule and policy scoring with risk classification.</w:t>
            </w:r>
          </w:p>
        </w:tc>
      </w:tr>
      <w:tr>
        <w:tc>
          <w:tcPr>
            <w:tcW w:type="dxa" w:w="2500"/>
            <w:tcMar>
              <w:top w:w="80" w:type="dxa"/>
              <w:start w:w="120" w:type="dxa"/>
              <w:bottom w:w="80" w:type="dxa"/>
              <w:end w:w="120" w:type="dxa"/>
            </w:tcMar>
            <w:vAlign w:val="center"/>
          </w:tcPr>
          <w:p>
            <w:pPr>
              <w:spacing w:after="0"/>
            </w:pPr>
            <w:r>
              <w:rPr>
                <w:rFonts w:ascii="Calibri" w:hAnsi="Calibri"/>
                <w:color w:val="142337"/>
                <w:sz w:val="19"/>
              </w:rPr>
              <w:t>Human approval</w:t>
            </w:r>
          </w:p>
        </w:tc>
        <w:tc>
          <w:tcPr>
            <w:tcW w:type="dxa" w:w="1500"/>
            <w:tcMar>
              <w:top w:w="80" w:type="dxa"/>
              <w:start w:w="120" w:type="dxa"/>
              <w:bottom w:w="80" w:type="dxa"/>
              <w:end w:w="120" w:type="dxa"/>
            </w:tcMar>
            <w:vAlign w:val="center"/>
          </w:tcPr>
          <w:p>
            <w:pPr>
              <w:spacing w:after="0"/>
            </w:pPr>
            <w:r>
              <w:rPr>
                <w:rFonts w:ascii="Calibri" w:hAnsi="Calibri"/>
                <w:color w:val="142337"/>
                <w:sz w:val="19"/>
              </w:rPr>
              <w:t>Complete</w:t>
            </w:r>
          </w:p>
        </w:tc>
        <w:tc>
          <w:tcPr>
            <w:tcW w:type="dxa" w:w="5360"/>
            <w:tcMar>
              <w:top w:w="80" w:type="dxa"/>
              <w:start w:w="120" w:type="dxa"/>
              <w:bottom w:w="80" w:type="dxa"/>
              <w:end w:w="120" w:type="dxa"/>
            </w:tcMar>
            <w:vAlign w:val="center"/>
          </w:tcPr>
          <w:p>
            <w:pPr>
              <w:spacing w:after="0"/>
            </w:pPr>
            <w:r>
              <w:rPr>
                <w:rFonts w:ascii="Calibri" w:hAnsi="Calibri"/>
                <w:color w:val="142337"/>
                <w:sz w:val="19"/>
              </w:rPr>
              <w:t>Analyst decision buttons, notes, feedback log, and Decision History.</w:t>
            </w:r>
          </w:p>
        </w:tc>
      </w:tr>
      <w:tr>
        <w:tc>
          <w:tcPr>
            <w:tcW w:type="dxa" w:w="2500"/>
            <w:tcMar>
              <w:top w:w="80" w:type="dxa"/>
              <w:start w:w="120" w:type="dxa"/>
              <w:bottom w:w="80" w:type="dxa"/>
              <w:end w:w="120" w:type="dxa"/>
            </w:tcMar>
            <w:vAlign w:val="center"/>
          </w:tcPr>
          <w:p>
            <w:pPr>
              <w:spacing w:after="0"/>
            </w:pPr>
            <w:r>
              <w:rPr>
                <w:rFonts w:ascii="Calibri" w:hAnsi="Calibri"/>
                <w:color w:val="142337"/>
                <w:sz w:val="19"/>
              </w:rPr>
              <w:t>Frontend/dashboard</w:t>
            </w:r>
          </w:p>
        </w:tc>
        <w:tc>
          <w:tcPr>
            <w:tcW w:type="dxa" w:w="1500"/>
            <w:tcMar>
              <w:top w:w="80" w:type="dxa"/>
              <w:start w:w="120" w:type="dxa"/>
              <w:bottom w:w="80" w:type="dxa"/>
              <w:end w:w="120" w:type="dxa"/>
            </w:tcMar>
            <w:vAlign w:val="center"/>
          </w:tcPr>
          <w:p>
            <w:pPr>
              <w:spacing w:after="0"/>
            </w:pPr>
            <w:r>
              <w:rPr>
                <w:rFonts w:ascii="Calibri" w:hAnsi="Calibri"/>
                <w:color w:val="142337"/>
                <w:sz w:val="19"/>
              </w:rPr>
              <w:t>Complete</w:t>
            </w:r>
          </w:p>
        </w:tc>
        <w:tc>
          <w:tcPr>
            <w:tcW w:type="dxa" w:w="5360"/>
            <w:tcMar>
              <w:top w:w="80" w:type="dxa"/>
              <w:start w:w="120" w:type="dxa"/>
              <w:bottom w:w="80" w:type="dxa"/>
              <w:end w:w="120" w:type="dxa"/>
            </w:tcMar>
            <w:vAlign w:val="center"/>
          </w:tcPr>
          <w:p>
            <w:pPr>
              <w:spacing w:after="0"/>
            </w:pPr>
            <w:r>
              <w:rPr>
                <w:rFonts w:ascii="Calibri" w:hAnsi="Calibri"/>
                <w:color w:val="142337"/>
                <w:sz w:val="19"/>
              </w:rPr>
              <w:t>Streamlit alert queue, investigation output, and decision workflow.</w:t>
            </w:r>
          </w:p>
        </w:tc>
      </w:tr>
      <w:tr>
        <w:tc>
          <w:tcPr>
            <w:tcW w:type="dxa" w:w="2500"/>
            <w:tcMar>
              <w:top w:w="80" w:type="dxa"/>
              <w:start w:w="120" w:type="dxa"/>
              <w:bottom w:w="80" w:type="dxa"/>
              <w:end w:w="120" w:type="dxa"/>
            </w:tcMar>
            <w:vAlign w:val="center"/>
          </w:tcPr>
          <w:p>
            <w:pPr>
              <w:spacing w:after="0"/>
            </w:pPr>
            <w:r>
              <w:rPr>
                <w:rFonts w:ascii="Calibri" w:hAnsi="Calibri"/>
                <w:color w:val="142337"/>
                <w:sz w:val="19"/>
              </w:rPr>
              <w:t>AWS deployment</w:t>
            </w:r>
          </w:p>
        </w:tc>
        <w:tc>
          <w:tcPr>
            <w:tcW w:type="dxa" w:w="1500"/>
            <w:tcMar>
              <w:top w:w="80" w:type="dxa"/>
              <w:start w:w="120" w:type="dxa"/>
              <w:bottom w:w="80" w:type="dxa"/>
              <w:end w:w="120" w:type="dxa"/>
            </w:tcMar>
            <w:vAlign w:val="center"/>
          </w:tcPr>
          <w:p>
            <w:pPr>
              <w:spacing w:after="0"/>
            </w:pPr>
            <w:r>
              <w:rPr>
                <w:rFonts w:ascii="Calibri" w:hAnsi="Calibri"/>
                <w:color w:val="142337"/>
                <w:sz w:val="19"/>
              </w:rPr>
              <w:t>Complete</w:t>
            </w:r>
          </w:p>
        </w:tc>
        <w:tc>
          <w:tcPr>
            <w:tcW w:type="dxa" w:w="5360"/>
            <w:tcMar>
              <w:top w:w="80" w:type="dxa"/>
              <w:start w:w="120" w:type="dxa"/>
              <w:bottom w:w="80" w:type="dxa"/>
              <w:end w:w="120" w:type="dxa"/>
            </w:tcMar>
            <w:vAlign w:val="center"/>
          </w:tcPr>
          <w:p>
            <w:pPr>
              <w:spacing w:after="0"/>
            </w:pPr>
            <w:r>
              <w:rPr>
                <w:rFonts w:ascii="Calibri" w:hAnsi="Calibri"/>
                <w:color w:val="142337"/>
                <w:sz w:val="19"/>
              </w:rPr>
              <w:t>EC2 public app, S3-backed data, policy, and feedback storage.</w:t>
            </w:r>
          </w:p>
        </w:tc>
      </w:tr>
      <w:tr>
        <w:tc>
          <w:tcPr>
            <w:tcW w:type="dxa" w:w="2500"/>
            <w:tcMar>
              <w:top w:w="80" w:type="dxa"/>
              <w:start w:w="120" w:type="dxa"/>
              <w:bottom w:w="80" w:type="dxa"/>
              <w:end w:w="120" w:type="dxa"/>
            </w:tcMar>
            <w:vAlign w:val="center"/>
          </w:tcPr>
          <w:p>
            <w:pPr>
              <w:spacing w:after="0"/>
            </w:pPr>
            <w:r>
              <w:rPr>
                <w:rFonts w:ascii="Calibri" w:hAnsi="Calibri"/>
                <w:color w:val="142337"/>
                <w:sz w:val="19"/>
              </w:rPr>
              <w:t>Optional containerization</w:t>
            </w:r>
          </w:p>
        </w:tc>
        <w:tc>
          <w:tcPr>
            <w:tcW w:type="dxa" w:w="1500"/>
            <w:tcMar>
              <w:top w:w="80" w:type="dxa"/>
              <w:start w:w="120" w:type="dxa"/>
              <w:bottom w:w="80" w:type="dxa"/>
              <w:end w:w="120" w:type="dxa"/>
            </w:tcMar>
            <w:vAlign w:val="center"/>
          </w:tcPr>
          <w:p>
            <w:pPr>
              <w:spacing w:after="0"/>
            </w:pPr>
            <w:r>
              <w:rPr>
                <w:rFonts w:ascii="Calibri" w:hAnsi="Calibri"/>
                <w:color w:val="142337"/>
                <w:sz w:val="19"/>
              </w:rPr>
              <w:t>Complete</w:t>
            </w:r>
          </w:p>
        </w:tc>
        <w:tc>
          <w:tcPr>
            <w:tcW w:type="dxa" w:w="5360"/>
            <w:tcMar>
              <w:top w:w="80" w:type="dxa"/>
              <w:start w:w="120" w:type="dxa"/>
              <w:bottom w:w="80" w:type="dxa"/>
              <w:end w:w="120" w:type="dxa"/>
            </w:tcMar>
            <w:vAlign w:val="center"/>
          </w:tcPr>
          <w:p>
            <w:pPr>
              <w:spacing w:after="0"/>
            </w:pPr>
            <w:r>
              <w:rPr>
                <w:rFonts w:ascii="Calibri" w:hAnsi="Calibri"/>
                <w:color w:val="142337"/>
                <w:sz w:val="19"/>
              </w:rPr>
              <w:t>Dockerfile, .dockerignore, README instructions, verified local run.</w:t>
            </w:r>
          </w:p>
        </w:tc>
      </w:tr>
      <w:tr>
        <w:tc>
          <w:tcPr>
            <w:tcW w:type="dxa" w:w="2500"/>
            <w:tcMar>
              <w:top w:w="80" w:type="dxa"/>
              <w:start w:w="120" w:type="dxa"/>
              <w:bottom w:w="80" w:type="dxa"/>
              <w:end w:w="120" w:type="dxa"/>
            </w:tcMar>
            <w:vAlign w:val="center"/>
          </w:tcPr>
          <w:p>
            <w:pPr>
              <w:spacing w:after="0"/>
            </w:pPr>
            <w:r>
              <w:rPr>
                <w:rFonts w:ascii="Calibri" w:hAnsi="Calibri"/>
                <w:color w:val="142337"/>
                <w:sz w:val="19"/>
              </w:rPr>
              <w:t>Final submission assets</w:t>
            </w:r>
          </w:p>
        </w:tc>
        <w:tc>
          <w:tcPr>
            <w:tcW w:type="dxa" w:w="1500"/>
            <w:tcMar>
              <w:top w:w="80" w:type="dxa"/>
              <w:start w:w="120" w:type="dxa"/>
              <w:bottom w:w="80" w:type="dxa"/>
              <w:end w:w="120" w:type="dxa"/>
            </w:tcMar>
            <w:vAlign w:val="center"/>
          </w:tcPr>
          <w:p>
            <w:pPr>
              <w:spacing w:after="0"/>
            </w:pPr>
            <w:r>
              <w:rPr>
                <w:rFonts w:ascii="Calibri" w:hAnsi="Calibri"/>
                <w:color w:val="142337"/>
                <w:sz w:val="19"/>
              </w:rPr>
              <w:t>In progress</w:t>
            </w:r>
          </w:p>
        </w:tc>
        <w:tc>
          <w:tcPr>
            <w:tcW w:type="dxa" w:w="5360"/>
            <w:tcMar>
              <w:top w:w="80" w:type="dxa"/>
              <w:start w:w="120" w:type="dxa"/>
              <w:bottom w:w="80" w:type="dxa"/>
              <w:end w:w="120" w:type="dxa"/>
            </w:tcMar>
            <w:vAlign w:val="center"/>
          </w:tcPr>
          <w:p>
            <w:pPr>
              <w:spacing w:after="0"/>
            </w:pPr>
            <w:r>
              <w:rPr>
                <w:rFonts w:ascii="Calibri" w:hAnsi="Calibri"/>
                <w:color w:val="142337"/>
                <w:sz w:val="19"/>
              </w:rPr>
              <w:t>Report, PPT, demo recording, and packaging remain.</w:t>
            </w:r>
          </w:p>
        </w:tc>
      </w:tr>
    </w:tbl>
    <w:p>
      <w:pPr>
        <w:spacing w:before="0" w:after="80" w:line="264" w:lineRule="auto"/>
      </w:pPr>
    </w:p>
    <w:p>
      <w:pPr>
        <w:pStyle w:val="Heading1"/>
        <w:spacing w:before="320" w:after="160"/>
      </w:pPr>
      <w:r>
        <w:rPr>
          <w:rFonts w:ascii="Calibri" w:hAnsi="Calibri"/>
          <w:b/>
          <w:color w:val="2E74B5"/>
          <w:sz w:val="32"/>
        </w:rPr>
        <w:t>13. Limitations and Future Scope</w:t>
      </w:r>
    </w:p>
    <w:p>
      <w:pPr>
        <w:pStyle w:val="ListBullet"/>
        <w:spacing w:after="80" w:line="280" w:lineRule="auto"/>
      </w:pPr>
      <w:r>
        <w:rPr>
          <w:rFonts w:ascii="Calibri" w:hAnsi="Calibri"/>
          <w:color w:val="142337"/>
          <w:sz w:val="22"/>
        </w:rPr>
        <w:t>Feedback is currently stored as CSV/S3 file storage rather than a production database.</w:t>
      </w:r>
    </w:p>
    <w:p>
      <w:pPr>
        <w:pStyle w:val="ListBullet"/>
        <w:spacing w:after="80" w:line="280" w:lineRule="auto"/>
      </w:pPr>
      <w:r>
        <w:rPr>
          <w:rFonts w:ascii="Calibri" w:hAnsi="Calibri"/>
          <w:color w:val="142337"/>
          <w:sz w:val="22"/>
        </w:rPr>
        <w:t>Tests are script-style checks and can be converted into a fuller pytest suite.</w:t>
      </w:r>
    </w:p>
    <w:p>
      <w:pPr>
        <w:pStyle w:val="ListBullet"/>
        <w:spacing w:after="80" w:line="280" w:lineRule="auto"/>
      </w:pPr>
      <w:r>
        <w:rPr>
          <w:rFonts w:ascii="Calibri" w:hAnsi="Calibri"/>
          <w:color w:val="142337"/>
          <w:sz w:val="22"/>
        </w:rPr>
        <w:t>Historical case retrieval is not yet implemented.</w:t>
      </w:r>
    </w:p>
    <w:p>
      <w:pPr>
        <w:pStyle w:val="ListBullet"/>
        <w:spacing w:after="80" w:line="280" w:lineRule="auto"/>
      </w:pPr>
      <w:r>
        <w:rPr>
          <w:rFonts w:ascii="Calibri" w:hAnsi="Calibri"/>
          <w:color w:val="142337"/>
          <w:sz w:val="22"/>
        </w:rPr>
        <w:t>Investigation report export from the UI is not yet implemented.</w:t>
      </w:r>
    </w:p>
    <w:p>
      <w:pPr>
        <w:pStyle w:val="ListBullet"/>
        <w:spacing w:after="80" w:line="280" w:lineRule="auto"/>
      </w:pPr>
      <w:r>
        <w:rPr>
          <w:rFonts w:ascii="Calibri" w:hAnsi="Calibri"/>
          <w:color w:val="142337"/>
          <w:sz w:val="22"/>
        </w:rPr>
        <w:t>Workflow visualization is documented but not rendered interactively inside the dashboard.</w:t>
      </w:r>
    </w:p>
    <w:p>
      <w:pPr>
        <w:pStyle w:val="ListBullet"/>
        <w:spacing w:after="80" w:line="280" w:lineRule="auto"/>
      </w:pPr>
      <w:r>
        <w:rPr>
          <w:rFonts w:ascii="Calibri" w:hAnsi="Calibri"/>
          <w:color w:val="142337"/>
          <w:sz w:val="22"/>
        </w:rPr>
        <w:t>Security Group access should be tightened after demo use if the public app is no longer needed.</w:t>
      </w:r>
    </w:p>
    <w:p>
      <w:pPr>
        <w:pStyle w:val="Heading1"/>
        <w:spacing w:before="320" w:after="160"/>
      </w:pPr>
      <w:r>
        <w:rPr>
          <w:rFonts w:ascii="Calibri" w:hAnsi="Calibri"/>
          <w:b/>
          <w:color w:val="2E74B5"/>
          <w:sz w:val="32"/>
        </w:rPr>
        <w:t>14. Conclusion</w:t>
      </w:r>
    </w:p>
    <w:p>
      <w:pPr>
        <w:spacing w:before="0" w:after="120" w:line="264" w:lineRule="auto"/>
      </w:pPr>
      <w:r>
        <w:rPr>
          <w:rFonts w:ascii="Calibri" w:hAnsi="Calibri"/>
          <w:b w:val="0"/>
          <w:color w:val="142337"/>
          <w:sz w:val="22"/>
        </w:rPr>
        <w:t>RiskRadar AI demonstrates a complete AI-assisted fraud investigation workflow: alert triage, policy-grounded investigation, explainable recommendations, human approval, feedback capture, cloud deployment, and optional Docker reproducibility. The implementation is ready for final presentation packaging and demo recording, with the internal readiness target set for 25 June 2026 ahead of the updated 30 June 2026 deadline.</w:t>
      </w:r>
    </w:p>
    <w:p>
      <w:pPr>
        <w:pStyle w:val="Heading1"/>
        <w:spacing w:before="320" w:after="160"/>
      </w:pPr>
      <w:r>
        <w:rPr>
          <w:rFonts w:ascii="Calibri" w:hAnsi="Calibri"/>
          <w:b/>
          <w:color w:val="2E74B5"/>
          <w:sz w:val="32"/>
        </w:rPr>
        <w:t>Appendix A. Key Repository Files</w:t>
      </w:r>
    </w:p>
    <w:tbl>
      <w:tblPr>
        <w:tblStyle w:val="TableGrid"/>
        <w:tblW w:type="dxa" w:w="9360"/>
        <w:tblLook w:firstColumn="1" w:firstRow="1" w:lastColumn="0" w:lastRow="0" w:noHBand="0" w:noVBand="1" w:val="04A0"/>
        <w:jc w:val="left"/>
        <w:tblInd w:w="120" w:type="dxa"/>
      </w:tblPr>
      <w:tblGrid>
        <w:gridCol w:w="3300"/>
        <w:gridCol w:w="6060"/>
      </w:tblGrid>
      <w:tr>
        <w:trPr>
          <w:tblHeader/>
        </w:trPr>
        <w:tc>
          <w:tcPr>
            <w:tcW w:type="dxa" w:w="3300"/>
            <w:tcMar>
              <w:top w:w="80" w:type="dxa"/>
              <w:start w:w="120" w:type="dxa"/>
              <w:bottom w:w="80" w:type="dxa"/>
              <w:end w:w="120" w:type="dxa"/>
            </w:tcMar>
            <w:vAlign w:val="center"/>
            <w:shd w:fill="F2F4F7"/>
          </w:tcPr>
          <w:p>
            <w:pPr>
              <w:spacing w:after="0"/>
            </w:pPr>
            <w:r>
              <w:rPr>
                <w:rFonts w:ascii="Calibri" w:hAnsi="Calibri"/>
                <w:b/>
                <w:color w:val="142337"/>
                <w:sz w:val="20"/>
              </w:rPr>
              <w:t>Path</w:t>
            </w:r>
          </w:p>
        </w:tc>
        <w:tc>
          <w:tcPr>
            <w:tcW w:type="dxa" w:w="6060"/>
            <w:tcMar>
              <w:top w:w="80" w:type="dxa"/>
              <w:start w:w="120" w:type="dxa"/>
              <w:bottom w:w="80" w:type="dxa"/>
              <w:end w:w="120" w:type="dxa"/>
            </w:tcMar>
            <w:vAlign w:val="center"/>
            <w:shd w:fill="F2F4F7"/>
          </w:tcPr>
          <w:p>
            <w:pPr>
              <w:spacing w:after="0"/>
            </w:pPr>
            <w:r>
              <w:rPr>
                <w:rFonts w:ascii="Calibri" w:hAnsi="Calibri"/>
                <w:b/>
                <w:color w:val="142337"/>
                <w:sz w:val="20"/>
              </w:rPr>
              <w:t>Purpose</w:t>
            </w:r>
          </w:p>
        </w:tc>
      </w:tr>
      <w:tr>
        <w:tc>
          <w:tcPr>
            <w:tcW w:type="dxa" w:w="3300"/>
            <w:tcMar>
              <w:top w:w="80" w:type="dxa"/>
              <w:start w:w="120" w:type="dxa"/>
              <w:bottom w:w="80" w:type="dxa"/>
              <w:end w:w="120" w:type="dxa"/>
            </w:tcMar>
            <w:vAlign w:val="center"/>
          </w:tcPr>
          <w:p>
            <w:pPr>
              <w:spacing w:after="0"/>
            </w:pPr>
            <w:r>
              <w:rPr>
                <w:rFonts w:ascii="Calibri" w:hAnsi="Calibri"/>
                <w:color w:val="142337"/>
                <w:sz w:val="19"/>
              </w:rPr>
              <w:t>streamlit_app/app.py</w:t>
            </w:r>
          </w:p>
        </w:tc>
        <w:tc>
          <w:tcPr>
            <w:tcW w:type="dxa" w:w="6060"/>
            <w:tcMar>
              <w:top w:w="80" w:type="dxa"/>
              <w:start w:w="120" w:type="dxa"/>
              <w:bottom w:w="80" w:type="dxa"/>
              <w:end w:w="120" w:type="dxa"/>
            </w:tcMar>
            <w:vAlign w:val="center"/>
          </w:tcPr>
          <w:p>
            <w:pPr>
              <w:spacing w:after="0"/>
            </w:pPr>
            <w:r>
              <w:rPr>
                <w:rFonts w:ascii="Calibri" w:hAnsi="Calibri"/>
                <w:color w:val="142337"/>
                <w:sz w:val="19"/>
              </w:rPr>
              <w:t>Analyst dashboard and human decision workflow.</w:t>
            </w:r>
          </w:p>
        </w:tc>
      </w:tr>
      <w:tr>
        <w:tc>
          <w:tcPr>
            <w:tcW w:type="dxa" w:w="3300"/>
            <w:tcMar>
              <w:top w:w="80" w:type="dxa"/>
              <w:start w:w="120" w:type="dxa"/>
              <w:bottom w:w="80" w:type="dxa"/>
              <w:end w:w="120" w:type="dxa"/>
            </w:tcMar>
            <w:vAlign w:val="center"/>
          </w:tcPr>
          <w:p>
            <w:pPr>
              <w:spacing w:after="0"/>
            </w:pPr>
            <w:r>
              <w:rPr>
                <w:rFonts w:ascii="Calibri" w:hAnsi="Calibri"/>
                <w:color w:val="142337"/>
                <w:sz w:val="19"/>
              </w:rPr>
              <w:t>src/graph/workflow.py</w:t>
            </w:r>
          </w:p>
        </w:tc>
        <w:tc>
          <w:tcPr>
            <w:tcW w:type="dxa" w:w="6060"/>
            <w:tcMar>
              <w:top w:w="80" w:type="dxa"/>
              <w:start w:w="120" w:type="dxa"/>
              <w:bottom w:w="80" w:type="dxa"/>
              <w:end w:w="120" w:type="dxa"/>
            </w:tcMar>
            <w:vAlign w:val="center"/>
          </w:tcPr>
          <w:p>
            <w:pPr>
              <w:spacing w:after="0"/>
            </w:pPr>
            <w:r>
              <w:rPr>
                <w:rFonts w:ascii="Calibri" w:hAnsi="Calibri"/>
                <w:color w:val="142337"/>
                <w:sz w:val="19"/>
              </w:rPr>
              <w:t>LangGraph workflow assembly.</w:t>
            </w:r>
          </w:p>
        </w:tc>
      </w:tr>
      <w:tr>
        <w:tc>
          <w:tcPr>
            <w:tcW w:type="dxa" w:w="3300"/>
            <w:tcMar>
              <w:top w:w="80" w:type="dxa"/>
              <w:start w:w="120" w:type="dxa"/>
              <w:bottom w:w="80" w:type="dxa"/>
              <w:end w:w="120" w:type="dxa"/>
            </w:tcMar>
            <w:vAlign w:val="center"/>
          </w:tcPr>
          <w:p>
            <w:pPr>
              <w:spacing w:after="0"/>
            </w:pPr>
            <w:r>
              <w:rPr>
                <w:rFonts w:ascii="Calibri" w:hAnsi="Calibri"/>
                <w:color w:val="142337"/>
                <w:sz w:val="19"/>
              </w:rPr>
              <w:t>src/graph/nodes.py</w:t>
            </w:r>
          </w:p>
        </w:tc>
        <w:tc>
          <w:tcPr>
            <w:tcW w:type="dxa" w:w="6060"/>
            <w:tcMar>
              <w:top w:w="80" w:type="dxa"/>
              <w:start w:w="120" w:type="dxa"/>
              <w:bottom w:w="80" w:type="dxa"/>
              <w:end w:w="120" w:type="dxa"/>
            </w:tcMar>
            <w:vAlign w:val="center"/>
          </w:tcPr>
          <w:p>
            <w:pPr>
              <w:spacing w:after="0"/>
            </w:pPr>
            <w:r>
              <w:rPr>
                <w:rFonts w:ascii="Calibri" w:hAnsi="Calibri"/>
                <w:color w:val="142337"/>
                <w:sz w:val="19"/>
              </w:rPr>
              <w:t>Investigation node logic.</w:t>
            </w:r>
          </w:p>
        </w:tc>
      </w:tr>
      <w:tr>
        <w:tc>
          <w:tcPr>
            <w:tcW w:type="dxa" w:w="3300"/>
            <w:tcMar>
              <w:top w:w="80" w:type="dxa"/>
              <w:start w:w="120" w:type="dxa"/>
              <w:bottom w:w="80" w:type="dxa"/>
              <w:end w:w="120" w:type="dxa"/>
            </w:tcMar>
            <w:vAlign w:val="center"/>
          </w:tcPr>
          <w:p>
            <w:pPr>
              <w:spacing w:after="0"/>
            </w:pPr>
            <w:r>
              <w:rPr>
                <w:rFonts w:ascii="Calibri" w:hAnsi="Calibri"/>
                <w:color w:val="142337"/>
                <w:sz w:val="19"/>
              </w:rPr>
              <w:t>src/fraud/risk_engine.py</w:t>
            </w:r>
          </w:p>
        </w:tc>
        <w:tc>
          <w:tcPr>
            <w:tcW w:type="dxa" w:w="6060"/>
            <w:tcMar>
              <w:top w:w="80" w:type="dxa"/>
              <w:start w:w="120" w:type="dxa"/>
              <w:bottom w:w="80" w:type="dxa"/>
              <w:end w:w="120" w:type="dxa"/>
            </w:tcMar>
            <w:vAlign w:val="center"/>
          </w:tcPr>
          <w:p>
            <w:pPr>
              <w:spacing w:after="0"/>
            </w:pPr>
            <w:r>
              <w:rPr>
                <w:rFonts w:ascii="Calibri" w:hAnsi="Calibri"/>
                <w:color w:val="142337"/>
                <w:sz w:val="19"/>
              </w:rPr>
              <w:t>Policy trigger and risk scoring logic.</w:t>
            </w:r>
          </w:p>
        </w:tc>
      </w:tr>
      <w:tr>
        <w:tc>
          <w:tcPr>
            <w:tcW w:type="dxa" w:w="3300"/>
            <w:tcMar>
              <w:top w:w="80" w:type="dxa"/>
              <w:start w:w="120" w:type="dxa"/>
              <w:bottom w:w="80" w:type="dxa"/>
              <w:end w:w="120" w:type="dxa"/>
            </w:tcMar>
            <w:vAlign w:val="center"/>
          </w:tcPr>
          <w:p>
            <w:pPr>
              <w:spacing w:after="0"/>
            </w:pPr>
            <w:r>
              <w:rPr>
                <w:rFonts w:ascii="Calibri" w:hAnsi="Calibri"/>
                <w:color w:val="142337"/>
                <w:sz w:val="19"/>
              </w:rPr>
              <w:t>src/rag/rag_pipeline.py</w:t>
            </w:r>
          </w:p>
        </w:tc>
        <w:tc>
          <w:tcPr>
            <w:tcW w:type="dxa" w:w="6060"/>
            <w:tcMar>
              <w:top w:w="80" w:type="dxa"/>
              <w:start w:w="120" w:type="dxa"/>
              <w:bottom w:w="80" w:type="dxa"/>
              <w:end w:w="120" w:type="dxa"/>
            </w:tcMar>
            <w:vAlign w:val="center"/>
          </w:tcPr>
          <w:p>
            <w:pPr>
              <w:spacing w:after="0"/>
            </w:pPr>
            <w:r>
              <w:rPr>
                <w:rFonts w:ascii="Calibri" w:hAnsi="Calibri"/>
                <w:color w:val="142337"/>
                <w:sz w:val="19"/>
              </w:rPr>
              <w:t>FAISS policy retrieval pipeline.</w:t>
            </w:r>
          </w:p>
        </w:tc>
      </w:tr>
      <w:tr>
        <w:tc>
          <w:tcPr>
            <w:tcW w:type="dxa" w:w="3300"/>
            <w:tcMar>
              <w:top w:w="80" w:type="dxa"/>
              <w:start w:w="120" w:type="dxa"/>
              <w:bottom w:w="80" w:type="dxa"/>
              <w:end w:w="120" w:type="dxa"/>
            </w:tcMar>
            <w:vAlign w:val="center"/>
          </w:tcPr>
          <w:p>
            <w:pPr>
              <w:spacing w:after="0"/>
            </w:pPr>
            <w:r>
              <w:rPr>
                <w:rFonts w:ascii="Calibri" w:hAnsi="Calibri"/>
                <w:color w:val="142337"/>
                <w:sz w:val="19"/>
              </w:rPr>
              <w:t>src/utils/s3_storage.py</w:t>
            </w:r>
          </w:p>
        </w:tc>
        <w:tc>
          <w:tcPr>
            <w:tcW w:type="dxa" w:w="6060"/>
            <w:tcMar>
              <w:top w:w="80" w:type="dxa"/>
              <w:start w:w="120" w:type="dxa"/>
              <w:bottom w:w="80" w:type="dxa"/>
              <w:end w:w="120" w:type="dxa"/>
            </w:tcMar>
            <w:vAlign w:val="center"/>
          </w:tcPr>
          <w:p>
            <w:pPr>
              <w:spacing w:after="0"/>
            </w:pPr>
            <w:r>
              <w:rPr>
                <w:rFonts w:ascii="Calibri" w:hAnsi="Calibri"/>
                <w:color w:val="142337"/>
                <w:sz w:val="19"/>
              </w:rPr>
              <w:t>S3 storage helper functions.</w:t>
            </w:r>
          </w:p>
        </w:tc>
      </w:tr>
      <w:tr>
        <w:tc>
          <w:tcPr>
            <w:tcW w:type="dxa" w:w="3300"/>
            <w:tcMar>
              <w:top w:w="80" w:type="dxa"/>
              <w:start w:w="120" w:type="dxa"/>
              <w:bottom w:w="80" w:type="dxa"/>
              <w:end w:w="120" w:type="dxa"/>
            </w:tcMar>
            <w:vAlign w:val="center"/>
          </w:tcPr>
          <w:p>
            <w:pPr>
              <w:spacing w:after="0"/>
            </w:pPr>
            <w:r>
              <w:rPr>
                <w:rFonts w:ascii="Calibri" w:hAnsi="Calibri"/>
                <w:color w:val="142337"/>
                <w:sz w:val="19"/>
              </w:rPr>
              <w:t>Dockerfile</w:t>
            </w:r>
          </w:p>
        </w:tc>
        <w:tc>
          <w:tcPr>
            <w:tcW w:type="dxa" w:w="6060"/>
            <w:tcMar>
              <w:top w:w="80" w:type="dxa"/>
              <w:start w:w="120" w:type="dxa"/>
              <w:bottom w:w="80" w:type="dxa"/>
              <w:end w:w="120" w:type="dxa"/>
            </w:tcMar>
            <w:vAlign w:val="center"/>
          </w:tcPr>
          <w:p>
            <w:pPr>
              <w:spacing w:after="0"/>
            </w:pPr>
            <w:r>
              <w:rPr>
                <w:rFonts w:ascii="Calibri" w:hAnsi="Calibri"/>
                <w:color w:val="142337"/>
                <w:sz w:val="19"/>
              </w:rPr>
              <w:t>Optional Docker image definition.</w:t>
            </w:r>
          </w:p>
        </w:tc>
      </w:tr>
      <w:tr>
        <w:tc>
          <w:tcPr>
            <w:tcW w:type="dxa" w:w="3300"/>
            <w:tcMar>
              <w:top w:w="80" w:type="dxa"/>
              <w:start w:w="120" w:type="dxa"/>
              <w:bottom w:w="80" w:type="dxa"/>
              <w:end w:w="120" w:type="dxa"/>
            </w:tcMar>
            <w:vAlign w:val="center"/>
          </w:tcPr>
          <w:p>
            <w:pPr>
              <w:spacing w:after="0"/>
            </w:pPr>
            <w:r>
              <w:rPr>
                <w:rFonts w:ascii="Calibri" w:hAnsi="Calibri"/>
                <w:color w:val="142337"/>
                <w:sz w:val="19"/>
              </w:rPr>
              <w:t>README.md</w:t>
            </w:r>
          </w:p>
        </w:tc>
        <w:tc>
          <w:tcPr>
            <w:tcW w:type="dxa" w:w="6060"/>
            <w:tcMar>
              <w:top w:w="80" w:type="dxa"/>
              <w:start w:w="120" w:type="dxa"/>
              <w:bottom w:w="80" w:type="dxa"/>
              <w:end w:w="120" w:type="dxa"/>
            </w:tcMar>
            <w:vAlign w:val="center"/>
          </w:tcPr>
          <w:p>
            <w:pPr>
              <w:spacing w:after="0"/>
            </w:pPr>
            <w:r>
              <w:rPr>
                <w:rFonts w:ascii="Calibri" w:hAnsi="Calibri"/>
                <w:color w:val="142337"/>
                <w:sz w:val="19"/>
              </w:rPr>
              <w:t>Setup, Streamlit, and Docker run instructions.</w:t>
            </w:r>
          </w:p>
        </w:tc>
      </w:tr>
    </w:tbl>
    <w:p>
      <w:pPr>
        <w:spacing w:before="0" w:after="80" w:line="264" w:lineRule="auto"/>
      </w:pPr>
    </w:p>
    <w:p>
      <w:pPr>
        <w:pStyle w:val="Heading1"/>
        <w:spacing w:before="320" w:after="160"/>
      </w:pPr>
      <w:r>
        <w:rPr>
          <w:rFonts w:ascii="Calibri" w:hAnsi="Calibri"/>
          <w:b/>
          <w:color w:val="2E74B5"/>
          <w:sz w:val="32"/>
        </w:rPr>
        <w:t>Appendix B. Submission Checklist</w:t>
      </w:r>
    </w:p>
    <w:p>
      <w:pPr>
        <w:pStyle w:val="ListBullet"/>
        <w:spacing w:after="80" w:line="280" w:lineRule="auto"/>
      </w:pPr>
      <w:r>
        <w:rPr>
          <w:rFonts w:ascii="Calibri" w:hAnsi="Calibri"/>
          <w:color w:val="142337"/>
          <w:sz w:val="22"/>
        </w:rPr>
        <w:t>Source code repository.</w:t>
      </w:r>
    </w:p>
    <w:p>
      <w:pPr>
        <w:pStyle w:val="ListBullet"/>
        <w:spacing w:after="80" w:line="280" w:lineRule="auto"/>
      </w:pPr>
      <w:r>
        <w:rPr>
          <w:rFonts w:ascii="Calibri" w:hAnsi="Calibri"/>
          <w:color w:val="142337"/>
          <w:sz w:val="22"/>
        </w:rPr>
        <w:t>Synthetic transaction dataset.</w:t>
      </w:r>
    </w:p>
    <w:p>
      <w:pPr>
        <w:pStyle w:val="ListBullet"/>
        <w:spacing w:after="80" w:line="280" w:lineRule="auto"/>
      </w:pPr>
      <w:r>
        <w:rPr>
          <w:rFonts w:ascii="Calibri" w:hAnsi="Calibri"/>
          <w:color w:val="142337"/>
          <w:sz w:val="22"/>
        </w:rPr>
        <w:t>Fraud policy documents.</w:t>
      </w:r>
    </w:p>
    <w:p>
      <w:pPr>
        <w:pStyle w:val="ListBullet"/>
        <w:spacing w:after="80" w:line="280" w:lineRule="auto"/>
      </w:pPr>
      <w:r>
        <w:rPr>
          <w:rFonts w:ascii="Calibri" w:hAnsi="Calibri"/>
          <w:color w:val="142337"/>
          <w:sz w:val="22"/>
        </w:rPr>
        <w:t>Final report.</w:t>
      </w:r>
    </w:p>
    <w:p>
      <w:pPr>
        <w:pStyle w:val="ListBullet"/>
        <w:spacing w:after="80" w:line="280" w:lineRule="auto"/>
      </w:pPr>
      <w:r>
        <w:rPr>
          <w:rFonts w:ascii="Calibri" w:hAnsi="Calibri"/>
          <w:color w:val="142337"/>
          <w:sz w:val="22"/>
        </w:rPr>
        <w:t>Final PPT.</w:t>
      </w:r>
    </w:p>
    <w:p>
      <w:pPr>
        <w:pStyle w:val="ListBullet"/>
        <w:spacing w:after="80" w:line="280" w:lineRule="auto"/>
      </w:pPr>
      <w:r>
        <w:rPr>
          <w:rFonts w:ascii="Calibri" w:hAnsi="Calibri"/>
          <w:color w:val="142337"/>
          <w:sz w:val="22"/>
        </w:rPr>
        <w:t>Demo recording.</w:t>
      </w:r>
    </w:p>
    <w:p>
      <w:pPr>
        <w:pStyle w:val="ListBullet"/>
        <w:spacing w:after="80" w:line="280" w:lineRule="auto"/>
      </w:pPr>
      <w:r>
        <w:rPr>
          <w:rFonts w:ascii="Calibri" w:hAnsi="Calibri"/>
          <w:color w:val="142337"/>
          <w:sz w:val="22"/>
        </w:rPr>
        <w:t>AWS deployment proof screenshots.</w:t>
      </w:r>
    </w:p>
    <w:p>
      <w:pPr>
        <w:pStyle w:val="ListBullet"/>
        <w:spacing w:after="80" w:line="280" w:lineRule="auto"/>
      </w:pPr>
      <w:r>
        <w:rPr>
          <w:rFonts w:ascii="Calibri" w:hAnsi="Calibri"/>
          <w:color w:val="142337"/>
          <w:sz w:val="22"/>
        </w:rPr>
        <w:t>Dockerfile and Docker run instructions.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A6069"/>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color w:val="5A6069"/>
        <w:sz w:val="18"/>
      </w:rPr>
      <w:t>RiskRadar AI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23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