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GUIDE OpenCTI</w:t>
      </w:r>
    </w:p>
    <w:p>
      <w:pPr>
        <w:spacing w:before="120" w:after="120"/>
        <w:jc w:val="center"/>
      </w:pPr>
      <w:r>
        <w:rPr>
          <w:b/>
          <w:bCs/>
          <w:sz w:val="28"/>
          <w:szCs w:val="28"/>
        </w:rPr>
        <w:t xml:space="preserve">Open Cyber Threat Intelligence Platform</w:t>
      </w:r>
    </w:p>
    <w:p>
      <w:pPr>
        <w:spacing w:before="480"/>
        <w:jc w:val="center"/>
      </w:pPr>
      <w:r>
        <w:rPr>
          <w:b/>
          <w:bCs/>
          <w:color w:val="2E75B6"/>
          <w:sz w:val="32"/>
          <w:szCs w:val="32"/>
        </w:rPr>
        <w:t xml:space="preserve">Installation &amp; Configuration Complète</w:t>
      </w:r>
    </w:p>
    <w:p>
      <w:pPr>
        <w:spacing w:before="120"/>
        <w:jc w:val="center"/>
      </w:pPr>
      <w:r>
        <w:rPr>
          <w:sz w:val="24"/>
          <w:szCs w:val="24"/>
        </w:rPr>
        <w:t xml:space="preserve">Pour l'intégration au SOAR</w:t>
      </w:r>
    </w:p>
    <w:p>
      <w:r>
        <w:br w:type="page"/>
      </w:r>
    </w:p>
    <w:p>
      <w:pPr>
        <w:pStyle w:val="Heading1"/>
      </w:pPr>
      <w:r>
        <w:t xml:space="preserve">Introduction</w:t>
      </w:r>
    </w:p>
    <w:p>
      <w:pPr>
        <w:spacing w:after="120"/>
      </w:pPr>
      <w:r>
        <w:t xml:space="preserve">OpenCTI (Open Cyber Threat Intelligence) est une plateforme moderne de gestion de la threat intelligence. Elle permet de structurer, stocker, organiser et visualiser les informations de cybersécurité.</w:t>
      </w:r>
    </w:p>
    <w:p>
      <w:pPr>
        <w:pStyle w:val="Heading2"/>
      </w:pPr>
      <w:r>
        <w:t xml:space="preserve">Qu'est-ce qu'OpenCTI ?</w:t>
      </w:r>
    </w:p>
    <w:p>
      <w:pPr>
        <w:spacing w:after="120"/>
      </w:pPr>
      <w:r>
        <w:t xml:space="preserve">OpenCTI est une plateforme open source développée par Filigran qui centralise et corrèle les informations de threat intelligence. Elle permet de créer une base de connaissances des menaces et de les visualiser sous forme de graphes.</w:t>
      </w:r>
    </w:p>
    <w:p>
      <w:pPr>
        <w:pStyle w:val="Heading2"/>
      </w:pPr>
      <w:r>
        <w:t xml:space="preserve">OpenCTI vs MISP : Différences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Pr>
          <w:p>
            <w:pPr>
              <w:jc w:val="center"/>
            </w:pPr>
            <w:r>
              <w:rPr>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2E75B6" w:val="clear"/>
          </w:tcPr>
          <w:p>
            <w:pPr>
              <w:jc w:val="center"/>
            </w:pPr>
            <w:r>
              <w:rPr>
                <w:b/>
                <w:bCs/>
                <w:color w:val="FFFFFF"/>
                <w:sz w:val="20"/>
                <w:szCs w:val="20"/>
              </w:rPr>
              <w:t xml:space="preserve">MISP</w:t>
            </w:r>
          </w:p>
        </w:tc>
        <w:tc>
          <w:tcPr>
            <w:tcW w:type="dxa" w:w="3120"/>
            <w:tcBorders>
              <w:top w:val="single" w:color="CCCCCC" w:sz="1"/>
              <w:left w:val="single" w:color="CCCCCC" w:sz="1"/>
              <w:bottom w:val="single" w:color="CCCCCC" w:sz="1"/>
              <w:right w:val="single" w:color="CCCCCC" w:sz="1"/>
            </w:tcBorders>
            <w:shd w:fill="2E75B6" w:val="clear"/>
          </w:tcPr>
          <w:p>
            <w:pPr>
              <w:jc w:val="center"/>
            </w:pPr>
            <w:r>
              <w:rPr>
                <w:b/>
                <w:bCs/>
                <w:color w:val="FFFFFF"/>
                <w:sz w:val="20"/>
                <w:szCs w:val="20"/>
              </w:rPr>
              <w:t xml:space="preserve">OpenCTI</w:t>
            </w:r>
          </w:p>
        </w:tc>
      </w:tr>
      <w:tr>
        <w:tc>
          <w:tcPr>
            <w:tcW w:type="dxa" w:w="3120"/>
            <w:tcBorders>
              <w:top w:val="single" w:color="CCCCCC" w:sz="1"/>
              <w:left w:val="single" w:color="CCCCCC" w:sz="1"/>
              <w:bottom w:val="single" w:color="CCCCCC" w:sz="1"/>
              <w:right w:val="single" w:color="CCCCCC" w:sz="1"/>
            </w:tcBorders>
          </w:tcPr>
          <w:p>
            <w:r>
              <w:rPr>
                <w:b/>
                <w:bCs/>
              </w:rPr>
              <w:t xml:space="preserve">Interface</w:t>
            </w:r>
          </w:p>
        </w:tc>
        <w:tc>
          <w:tcPr>
            <w:tcW w:type="dxa" w:w="3120"/>
            <w:tcBorders>
              <w:top w:val="single" w:color="CCCCCC" w:sz="1"/>
              <w:left w:val="single" w:color="CCCCCC" w:sz="1"/>
              <w:bottom w:val="single" w:color="CCCCCC" w:sz="1"/>
              <w:right w:val="single" w:color="CCCCCC" w:sz="1"/>
            </w:tcBorders>
          </w:tcPr>
          <w:p>
            <w:r>
              <w:t xml:space="preserve">Classique, orientée événements</w:t>
            </w:r>
          </w:p>
        </w:tc>
        <w:tc>
          <w:tcPr>
            <w:tcW w:type="dxa" w:w="3120"/>
            <w:tcBorders>
              <w:top w:val="single" w:color="CCCCCC" w:sz="1"/>
              <w:left w:val="single" w:color="CCCCCC" w:sz="1"/>
              <w:bottom w:val="single" w:color="CCCCCC" w:sz="1"/>
              <w:right w:val="single" w:color="CCCCCC" w:sz="1"/>
            </w:tcBorders>
          </w:tcPr>
          <w:p>
            <w:r>
              <w:t xml:space="preserve">Moderne, graphes de relations</w:t>
            </w:r>
          </w:p>
        </w:tc>
      </w:tr>
      <w:tr>
        <w:tc>
          <w:tcPr>
            <w:tcW w:type="dxa" w:w="3120"/>
            <w:tcBorders>
              <w:top w:val="single" w:color="CCCCCC" w:sz="1"/>
              <w:left w:val="single" w:color="CCCCCC" w:sz="1"/>
              <w:bottom w:val="single" w:color="CCCCCC" w:sz="1"/>
              <w:right w:val="single" w:color="CCCCCC" w:sz="1"/>
            </w:tcBorders>
          </w:tcPr>
          <w:p>
            <w:r>
              <w:rPr>
                <w:b/>
                <w:bCs/>
              </w:rPr>
              <w:t xml:space="preserve">Focus</w:t>
            </w:r>
          </w:p>
        </w:tc>
        <w:tc>
          <w:tcPr>
            <w:tcW w:type="dxa" w:w="3120"/>
            <w:tcBorders>
              <w:top w:val="single" w:color="CCCCCC" w:sz="1"/>
              <w:left w:val="single" w:color="CCCCCC" w:sz="1"/>
              <w:bottom w:val="single" w:color="CCCCCC" w:sz="1"/>
              <w:right w:val="single" w:color="CCCCCC" w:sz="1"/>
            </w:tcBorders>
          </w:tcPr>
          <w:p>
            <w:r>
              <w:t xml:space="preserve">Partage d'IoC</w:t>
            </w:r>
          </w:p>
        </w:tc>
        <w:tc>
          <w:tcPr>
            <w:tcW w:type="dxa" w:w="3120"/>
            <w:tcBorders>
              <w:top w:val="single" w:color="CCCCCC" w:sz="1"/>
              <w:left w:val="single" w:color="CCCCCC" w:sz="1"/>
              <w:bottom w:val="single" w:color="CCCCCC" w:sz="1"/>
              <w:right w:val="single" w:color="CCCCCC" w:sz="1"/>
            </w:tcBorders>
          </w:tcPr>
          <w:p>
            <w:r>
              <w:t xml:space="preserve">Knowledge base structurée</w:t>
            </w:r>
          </w:p>
        </w:tc>
      </w:tr>
      <w:tr>
        <w:tc>
          <w:tcPr>
            <w:tcW w:type="dxa" w:w="3120"/>
            <w:tcBorders>
              <w:top w:val="single" w:color="CCCCCC" w:sz="1"/>
              <w:left w:val="single" w:color="CCCCCC" w:sz="1"/>
              <w:bottom w:val="single" w:color="CCCCCC" w:sz="1"/>
              <w:right w:val="single" w:color="CCCCCC" w:sz="1"/>
            </w:tcBorders>
          </w:tcPr>
          <w:p>
            <w:r>
              <w:rPr>
                <w:b/>
                <w:bCs/>
              </w:rPr>
              <w:t xml:space="preserve">Visualisation</w:t>
            </w:r>
          </w:p>
        </w:tc>
        <w:tc>
          <w:tcPr>
            <w:tcW w:type="dxa" w:w="3120"/>
            <w:tcBorders>
              <w:top w:val="single" w:color="CCCCCC" w:sz="1"/>
              <w:left w:val="single" w:color="CCCCCC" w:sz="1"/>
              <w:bottom w:val="single" w:color="CCCCCC" w:sz="1"/>
              <w:right w:val="single" w:color="CCCCCC" w:sz="1"/>
            </w:tcBorders>
          </w:tcPr>
          <w:p>
            <w:r>
              <w:t xml:space="preserve">Listes, tableaux</w:t>
            </w:r>
          </w:p>
        </w:tc>
        <w:tc>
          <w:tcPr>
            <w:tcW w:type="dxa" w:w="3120"/>
            <w:tcBorders>
              <w:top w:val="single" w:color="CCCCCC" w:sz="1"/>
              <w:left w:val="single" w:color="CCCCCC" w:sz="1"/>
              <w:bottom w:val="single" w:color="CCCCCC" w:sz="1"/>
              <w:right w:val="single" w:color="CCCCCC" w:sz="1"/>
            </w:tcBorders>
          </w:tcPr>
          <w:p>
            <w:r>
              <w:t xml:space="preserve">Graphes interactifs</w:t>
            </w:r>
          </w:p>
        </w:tc>
      </w:tr>
      <w:tr>
        <w:tc>
          <w:tcPr>
            <w:tcW w:type="dxa" w:w="3120"/>
            <w:tcBorders>
              <w:top w:val="single" w:color="CCCCCC" w:sz="1"/>
              <w:left w:val="single" w:color="CCCCCC" w:sz="1"/>
              <w:bottom w:val="single" w:color="CCCCCC" w:sz="1"/>
              <w:right w:val="single" w:color="CCCCCC" w:sz="1"/>
            </w:tcBorders>
          </w:tcPr>
          <w:p>
            <w:r>
              <w:rPr>
                <w:b/>
                <w:bCs/>
              </w:rPr>
              <w:t xml:space="preserve">MITRE ATT&amp;CK</w:t>
            </w:r>
          </w:p>
        </w:tc>
        <w:tc>
          <w:tcPr>
            <w:tcW w:type="dxa" w:w="3120"/>
            <w:tcBorders>
              <w:top w:val="single" w:color="CCCCCC" w:sz="1"/>
              <w:left w:val="single" w:color="CCCCCC" w:sz="1"/>
              <w:bottom w:val="single" w:color="CCCCCC" w:sz="1"/>
              <w:right w:val="single" w:color="CCCCCC" w:sz="1"/>
            </w:tcBorders>
          </w:tcPr>
          <w:p>
            <w:r>
              <w:t xml:space="preserve">Extension possible</w:t>
            </w:r>
          </w:p>
        </w:tc>
        <w:tc>
          <w:tcPr>
            <w:tcW w:type="dxa" w:w="3120"/>
            <w:tcBorders>
              <w:top w:val="single" w:color="CCCCCC" w:sz="1"/>
              <w:left w:val="single" w:color="CCCCCC" w:sz="1"/>
              <w:bottom w:val="single" w:color="CCCCCC" w:sz="1"/>
              <w:right w:val="single" w:color="CCCCCC" w:sz="1"/>
            </w:tcBorders>
          </w:tcPr>
          <w:p>
            <w:r>
              <w:t xml:space="preserve">Intégré nativement</w:t>
            </w:r>
          </w:p>
        </w:tc>
      </w:tr>
      <w:tr>
        <w:tc>
          <w:tcPr>
            <w:tcW w:type="dxa" w:w="3120"/>
            <w:tcBorders>
              <w:top w:val="single" w:color="CCCCCC" w:sz="1"/>
              <w:left w:val="single" w:color="CCCCCC" w:sz="1"/>
              <w:bottom w:val="single" w:color="CCCCCC" w:sz="1"/>
              <w:right w:val="single" w:color="CCCCCC" w:sz="1"/>
            </w:tcBorders>
          </w:tcPr>
          <w:p>
            <w:r>
              <w:rPr>
                <w:b/>
                <w:bCs/>
              </w:rPr>
              <w:t xml:space="preserve">Usage</w:t>
            </w:r>
          </w:p>
        </w:tc>
        <w:tc>
          <w:tcPr>
            <w:tcW w:type="dxa" w:w="3120"/>
            <w:tcBorders>
              <w:top w:val="single" w:color="CCCCCC" w:sz="1"/>
              <w:left w:val="single" w:color="CCCCCC" w:sz="1"/>
              <w:bottom w:val="single" w:color="CCCCCC" w:sz="1"/>
              <w:right w:val="single" w:color="CCCCCC" w:sz="1"/>
            </w:tcBorders>
          </w:tcPr>
          <w:p>
            <w:r>
              <w:t xml:space="preserve">Partage rapide d'IoC</w:t>
            </w:r>
          </w:p>
        </w:tc>
        <w:tc>
          <w:tcPr>
            <w:tcW w:type="dxa" w:w="3120"/>
            <w:tcBorders>
              <w:top w:val="single" w:color="CCCCCC" w:sz="1"/>
              <w:left w:val="single" w:color="CCCCCC" w:sz="1"/>
              <w:bottom w:val="single" w:color="CCCCCC" w:sz="1"/>
              <w:right w:val="single" w:color="CCCCCC" w:sz="1"/>
            </w:tcBorders>
          </w:tcPr>
          <w:p>
            <w:r>
              <w:t xml:space="preserve">Analyse de campagnes</w:t>
            </w:r>
          </w:p>
        </w:tc>
      </w:tr>
    </w:tbl>
    <w:p>
      <w:pPr>
        <w:spacing w:before="240" w:after="120"/>
      </w:pPr>
      <w:r>
        <w:rPr>
          <w:b/>
          <w:bCs/>
        </w:rPr>
        <w:t xml:space="preserve">Conclusion : </w:t>
      </w:r>
      <w:r>
        <w:t xml:space="preserve">Les deux sont complémentaires ! MISP pour le partage rapide d'IoC, OpenCTI pour l'analyse approfondie des campagnes.</w:t>
      </w:r>
    </w:p>
    <w:p>
      <w:pPr>
        <w:pStyle w:val="Heading2"/>
      </w:pPr>
      <w:r>
        <w:t xml:space="preserve">Fonctionnalités Principales</w:t>
      </w:r>
    </w:p>
    <w:p>
      <w:pPr>
        <w:pStyle w:val="ListParagraph"/>
        <w:numPr>
          <w:ilvl w:val="0"/>
          <w:numId w:val="2"/>
        </w:numPr>
      </w:pPr>
      <w:r>
        <w:rPr>
          <w:b/>
          <w:bCs/>
        </w:rPr>
        <w:t xml:space="preserve">Knowledge Graph : </w:t>
      </w:r>
      <w:r>
        <w:t xml:space="preserve">Visualisation des relations entre entités</w:t>
      </w:r>
    </w:p>
    <w:p>
      <w:pPr>
        <w:pStyle w:val="ListParagraph"/>
        <w:numPr>
          <w:ilvl w:val="0"/>
          <w:numId w:val="2"/>
        </w:numPr>
      </w:pPr>
      <w:r>
        <w:rPr>
          <w:b/>
          <w:bCs/>
        </w:rPr>
        <w:t xml:space="preserve">MITRE ATT&amp;CK : </w:t>
      </w:r>
      <w:r>
        <w:t xml:space="preserve">Mapping natif des TTPs</w:t>
      </w:r>
    </w:p>
    <w:p>
      <w:pPr>
        <w:pStyle w:val="ListParagraph"/>
        <w:numPr>
          <w:ilvl w:val="0"/>
          <w:numId w:val="2"/>
        </w:numPr>
      </w:pPr>
      <w:r>
        <w:rPr>
          <w:b/>
          <w:bCs/>
        </w:rPr>
        <w:t xml:space="preserve">Connectors : </w:t>
      </w:r>
      <w:r>
        <w:t xml:space="preserve">Import automatique depuis MISP, AlienVault OTX, etc.</w:t>
      </w:r>
    </w:p>
    <w:p>
      <w:pPr>
        <w:pStyle w:val="ListParagraph"/>
        <w:numPr>
          <w:ilvl w:val="0"/>
          <w:numId w:val="2"/>
        </w:numPr>
      </w:pPr>
      <w:r>
        <w:rPr>
          <w:b/>
          <w:bCs/>
        </w:rPr>
        <w:t xml:space="preserve">Reports : </w:t>
      </w:r>
      <w:r>
        <w:t xml:space="preserve">Génération de rapports professionnels</w:t>
      </w:r>
    </w:p>
    <w:p>
      <w:pPr>
        <w:pStyle w:val="ListParagraph"/>
        <w:numPr>
          <w:ilvl w:val="0"/>
          <w:numId w:val="2"/>
        </w:numPr>
      </w:pPr>
      <w:r>
        <w:rPr>
          <w:b/>
          <w:bCs/>
        </w:rPr>
        <w:t xml:space="preserve">API REST : </w:t>
      </w:r>
      <w:r>
        <w:t xml:space="preserve">Intégration facile avec SOAR</w:t>
      </w:r>
    </w:p>
    <w:p>
      <w:pPr>
        <w:pStyle w:val="ListParagraph"/>
        <w:numPr>
          <w:ilvl w:val="0"/>
          <w:numId w:val="2"/>
        </w:numPr>
      </w:pPr>
      <w:r>
        <w:rPr>
          <w:b/>
          <w:bCs/>
        </w:rPr>
        <w:t xml:space="preserve">Timeline : </w:t>
      </w:r>
      <w:r>
        <w:t xml:space="preserve">Vue chronologique des événements</w:t>
      </w:r>
    </w:p>
    <w:p>
      <w:r>
        <w:br w:type="page"/>
      </w:r>
    </w:p>
    <w:p>
      <w:pPr>
        <w:pStyle w:val="Heading1"/>
      </w:pPr>
      <w:r>
        <w:t xml:space="preserve">Installation OpenCTI</w:t>
      </w:r>
    </w:p>
    <w:p>
      <w:pPr>
        <w:pStyle w:val="Heading2"/>
      </w:pPr>
      <w:r>
        <w:t xml:space="preserve">Prérequis</w:t>
      </w:r>
    </w:p>
    <w:p>
      <w:pPr>
        <w:pStyle w:val="ListParagraph"/>
        <w:numPr>
          <w:ilvl w:val="0"/>
          <w:numId w:val="2"/>
        </w:numPr>
      </w:pPr>
      <w:r>
        <w:t xml:space="preserve">Serveur : soar-server (192.168.100.20)</w:t>
      </w:r>
    </w:p>
    <w:p>
      <w:pPr>
        <w:pStyle w:val="ListParagraph"/>
        <w:numPr>
          <w:ilvl w:val="0"/>
          <w:numId w:val="2"/>
        </w:numPr>
      </w:pPr>
      <w:r>
        <w:t xml:space="preserve">OS : Ubuntu Server 22.04</w:t>
      </w:r>
    </w:p>
    <w:p>
      <w:pPr>
        <w:pStyle w:val="ListParagraph"/>
        <w:numPr>
          <w:ilvl w:val="0"/>
          <w:numId w:val="2"/>
        </w:numPr>
      </w:pPr>
      <w:r>
        <w:t xml:space="preserve">RAM : 4GB minimum (recommandé dans les 10GB du serveur)</w:t>
      </w:r>
    </w:p>
    <w:p>
      <w:pPr>
        <w:pStyle w:val="ListParagraph"/>
        <w:numPr>
          <w:ilvl w:val="0"/>
          <w:numId w:val="2"/>
        </w:numPr>
      </w:pPr>
      <w:r>
        <w:t xml:space="preserve">Docker et Docker Compose installés</w:t>
      </w:r>
    </w:p>
    <w:p>
      <w:pPr>
        <w:pStyle w:val="Heading2"/>
      </w:pPr>
      <w:r>
        <w:t xml:space="preserve">Étape 1 : Préparation</w:t>
      </w:r>
    </w:p>
    <w:p>
      <w:pPr>
        <w:pStyle w:val="CodeStyle"/>
      </w:pPr>
      <w:r>
        <w:t xml:space="preserve"># Se connecter au soar-server</w:t>
      </w:r>
    </w:p>
    <w:p>
      <w:pPr>
        <w:pStyle w:val="CodeStyle"/>
      </w:pPr>
      <w:r>
        <w:t xml:space="preserve">ssh user@192.168.100.20</w:t>
      </w:r>
    </w:p>
    <w:p>
      <w:pPr>
        <w:pStyle w:val="CodeStyle"/>
      </w:pPr>
      <w:r>
        <w:t xml:space="preserve"/>
      </w:r>
    </w:p>
    <w:p>
      <w:pPr>
        <w:pStyle w:val="CodeStyle"/>
      </w:pPr>
      <w:r>
        <w:t xml:space="preserve"># Créer un répertoire dédié</w:t>
      </w:r>
    </w:p>
    <w:p>
      <w:pPr>
        <w:pStyle w:val="CodeStyle"/>
      </w:pPr>
      <w:r>
        <w:t xml:space="preserve">sudo mkdir -p /opt/opencti</w:t>
      </w:r>
    </w:p>
    <w:p>
      <w:pPr>
        <w:pStyle w:val="CodeStyle"/>
      </w:pPr>
      <w:r>
        <w:t xml:space="preserve">cd /opt/opencti</w:t>
      </w:r>
    </w:p>
    <w:p>
      <w:pPr>
        <w:pStyle w:val="CodeStyle"/>
      </w:pPr>
      <w:r>
        <w:t xml:space="preserve"/>
      </w:r>
    </w:p>
    <w:p>
      <w:pPr>
        <w:pStyle w:val="CodeStyle"/>
      </w:pPr>
      <w:r>
        <w:t xml:space="preserve"># Télécharger le docker-compose</w:t>
      </w:r>
    </w:p>
    <w:p>
      <w:pPr>
        <w:pStyle w:val="CodeStyle"/>
      </w:pPr>
      <w:r>
        <w:t xml:space="preserve">sudo wget https://raw.githubusercontent.com/OpenCTI-Platform/docker/master/docker-compose.yml</w:t>
      </w:r>
    </w:p>
    <w:p>
      <w:pPr>
        <w:pStyle w:val="Heading2"/>
      </w:pPr>
      <w:r>
        <w:t xml:space="preserve">Étape 2 : Configuration</w:t>
      </w:r>
    </w:p>
    <w:p>
      <w:pPr>
        <w:spacing w:after="120"/>
      </w:pPr>
      <w:r>
        <w:t xml:space="preserve">Éditer le fichier docker-compose.yml pour personnaliser :</w:t>
      </w:r>
    </w:p>
    <w:p>
      <w:pPr>
        <w:pStyle w:val="CodeStyle"/>
      </w:pPr>
      <w:r>
        <w:t xml:space="preserve">sudo nano docker-compose.yml</w:t>
      </w:r>
    </w:p>
    <w:p>
      <w:pPr>
        <w:spacing w:before="120" w:after="60"/>
      </w:pPr>
      <w:r>
        <w:rPr>
          <w:b/>
          <w:bCs/>
        </w:rPr>
        <w:t xml:space="preserve">Modifier ces paramètres importants :</w:t>
      </w:r>
    </w:p>
    <w:p>
      <w:pPr>
        <w:pStyle w:val="CodeStyle"/>
      </w:pPr>
      <w:r>
        <w:t xml:space="preserve">environment:</w:t>
      </w:r>
    </w:p>
    <w:p>
      <w:pPr>
        <w:pStyle w:val="CodeStyle"/>
      </w:pPr>
      <w:r>
        <w:t xml:space="preserve">  - APP__PORT=8080</w:t>
      </w:r>
    </w:p>
    <w:p>
      <w:pPr>
        <w:pStyle w:val="CodeStyle"/>
      </w:pPr>
      <w:r>
        <w:t xml:space="preserve">  - APP__BASE_URL=http://192.168.100.20:8080</w:t>
      </w:r>
    </w:p>
    <w:p>
      <w:pPr>
        <w:pStyle w:val="CodeStyle"/>
      </w:pPr>
      <w:r>
        <w:t xml:space="preserve">  - APP__ADMIN__EMAIL=admin@opencti.io</w:t>
      </w:r>
    </w:p>
    <w:p>
      <w:pPr>
        <w:pStyle w:val="CodeStyle"/>
      </w:pPr>
      <w:r>
        <w:t xml:space="preserve">  - APP__ADMIN__PASSWORD=ChangeMe123!</w:t>
      </w:r>
    </w:p>
    <w:p>
      <w:pPr>
        <w:pStyle w:val="CodeStyle"/>
      </w:pPr>
      <w:r>
        <w:t xml:space="preserve">  - APP__ADMIN__TOKEN=$(uuidgen)</w:t>
      </w:r>
    </w:p>
    <w:p>
      <w:pPr>
        <w:spacing w:before="120" w:after="60"/>
      </w:pPr>
      <w:r>
        <w:rPr>
          <w:b/>
          <w:bCs/>
        </w:rPr>
        <w:t xml:space="preserve">Note : </w:t>
      </w:r>
      <w:r>
        <w:t xml:space="preserve">Générez un UUID pour le token :</w:t>
      </w:r>
    </w:p>
    <w:p>
      <w:pPr>
        <w:pStyle w:val="CodeStyle"/>
      </w:pPr>
      <w:r>
        <w:t xml:space="preserve">uuidgen</w:t>
      </w:r>
    </w:p>
    <w:p>
      <w:pPr>
        <w:pStyle w:val="CodeStyle"/>
      </w:pPr>
      <w:r>
        <w:t xml:space="preserve"># Output exemple : a1b2c3d4-e5f6-7890-abcd-ef1234567890</w:t>
      </w:r>
    </w:p>
    <w:p>
      <w:pPr>
        <w:pStyle w:val="Heading2"/>
      </w:pPr>
      <w:r>
        <w:t xml:space="preserve">Étape 3 : Lancement</w:t>
      </w:r>
    </w:p>
    <w:p>
      <w:pPr>
        <w:pStyle w:val="CodeStyle"/>
      </w:pPr>
      <w:r>
        <w:t xml:space="preserve"># Lancer OpenCTI en arrière-plan</w:t>
      </w:r>
    </w:p>
    <w:p>
      <w:pPr>
        <w:pStyle w:val="CodeStyle"/>
      </w:pPr>
      <w:r>
        <w:t xml:space="preserve">sudo docker-compose up -d</w:t>
      </w:r>
    </w:p>
    <w:p>
      <w:pPr>
        <w:pStyle w:val="CodeStyle"/>
      </w:pPr>
      <w:r>
        <w:t xml:space="preserve"/>
      </w:r>
    </w:p>
    <w:p>
      <w:pPr>
        <w:pStyle w:val="CodeStyle"/>
      </w:pPr>
      <w:r>
        <w:t xml:space="preserve"># Vérifier les conteneurs</w:t>
      </w:r>
    </w:p>
    <w:p>
      <w:pPr>
        <w:pStyle w:val="CodeStyle"/>
      </w:pPr>
      <w:r>
        <w:t xml:space="preserve">sudo docker-compose ps</w:t>
      </w:r>
    </w:p>
    <w:p>
      <w:pPr>
        <w:spacing w:before="120" w:after="120"/>
      </w:pPr>
      <w:r>
        <w:rPr>
          <w:b/>
          <w:bCs/>
        </w:rPr>
        <w:t xml:space="preserve">⏱️ Temps de démarrage : </w:t>
      </w:r>
      <w:r>
        <w:t xml:space="preserve">5-10 minutes (téléchargement images + init DB)</w:t>
      </w:r>
    </w:p>
    <w:p>
      <w:pPr>
        <w:pStyle w:val="Heading2"/>
      </w:pPr>
      <w:r>
        <w:t xml:space="preserve">Étape 4 : Vérification</w:t>
      </w:r>
    </w:p>
    <w:p>
      <w:pPr>
        <w:pStyle w:val="CodeStyle"/>
      </w:pPr>
      <w:r>
        <w:t xml:space="preserve"># Surveiller les logs</w:t>
      </w:r>
    </w:p>
    <w:p>
      <w:pPr>
        <w:pStyle w:val="CodeStyle"/>
      </w:pPr>
      <w:r>
        <w:t xml:space="preserve">sudo docker-compose logs -f opencti</w:t>
      </w:r>
    </w:p>
    <w:p>
      <w:pPr>
        <w:pStyle w:val="CodeStyle"/>
      </w:pPr>
      <w:r>
        <w:t xml:space="preserve"/>
      </w:r>
    </w:p>
    <w:p>
      <w:pPr>
        <w:pStyle w:val="CodeStyle"/>
      </w:pPr>
      <w:r>
        <w:t xml:space="preserve"># Attendre ce message :</w:t>
      </w:r>
    </w:p>
    <w:p>
      <w:pPr>
        <w:pStyle w:val="CodeStyle"/>
      </w:pPr>
      <w:r>
        <w:t xml:space="preserve"># [INFO] Platform is now running</w:t>
      </w:r>
    </w:p>
    <w:p>
      <w:pPr>
        <w:spacing w:before="120" w:after="60"/>
      </w:pPr>
      <w:r>
        <w:rPr>
          <w:b/>
          <w:bCs/>
        </w:rPr>
        <w:t xml:space="preserve">Accès Web : </w:t>
      </w:r>
      <w:r>
        <w:t xml:space="preserve">http://192.168.100.20:8080</w:t>
      </w:r>
    </w:p>
    <w:p>
      <w:r>
        <w:br w:type="page"/>
      </w:r>
    </w:p>
    <w:p>
      <w:pPr>
        <w:pStyle w:val="Heading1"/>
      </w:pPr>
      <w:r>
        <w:t xml:space="preserve">Configuration Initiale</w:t>
      </w:r>
    </w:p>
    <w:p>
      <w:pPr>
        <w:pStyle w:val="Heading2"/>
      </w:pPr>
      <w:r>
        <w:t xml:space="preserve">Première Connexion</w:t>
      </w:r>
    </w:p>
    <w:p>
      <w:pPr>
        <w:pStyle w:val="ListParagraph"/>
        <w:numPr>
          <w:ilvl w:val="0"/>
          <w:numId w:val="3"/>
        </w:numPr>
      </w:pPr>
      <w:r>
        <w:t xml:space="preserve">Ouvrir : http://192.168.100.20:8080</w:t>
      </w:r>
    </w:p>
    <w:p>
      <w:pPr>
        <w:pStyle w:val="ListParagraph"/>
        <w:numPr>
          <w:ilvl w:val="0"/>
          <w:numId w:val="3"/>
        </w:numPr>
      </w:pPr>
      <w:r>
        <w:t xml:space="preserve">Email : admin@opencti.io</w:t>
      </w:r>
    </w:p>
    <w:p>
      <w:pPr>
        <w:pStyle w:val="ListParagraph"/>
        <w:numPr>
          <w:ilvl w:val="0"/>
          <w:numId w:val="3"/>
        </w:numPr>
      </w:pPr>
      <w:r>
        <w:t xml:space="preserve">Password : ChangeMe123! (celui configuré)</w:t>
      </w:r>
    </w:p>
    <w:p>
      <w:pPr>
        <w:pStyle w:val="ListParagraph"/>
        <w:numPr>
          <w:ilvl w:val="0"/>
          <w:numId w:val="3"/>
        </w:numPr>
      </w:pPr>
      <w:r>
        <w:t xml:space="preserve">Se connecter</w:t>
      </w:r>
    </w:p>
    <w:p>
      <w:pPr>
        <w:pStyle w:val="Heading2"/>
      </w:pPr>
      <w:r>
        <w:t xml:space="preserve">Configuration de Base</w:t>
      </w:r>
    </w:p>
    <w:p>
      <w:pPr>
        <w:pStyle w:val="Heading3"/>
      </w:pPr>
      <w:r>
        <w:t xml:space="preserve">1. Créer une Organisation</w:t>
      </w:r>
    </w:p>
    <w:p>
      <w:pPr>
        <w:pStyle w:val="ListParagraph"/>
        <w:numPr>
          <w:ilvl w:val="0"/>
          <w:numId w:val="2"/>
        </w:numPr>
      </w:pPr>
      <w:r>
        <w:t xml:space="preserve">Settings → Entities → Organizations → + Create</w:t>
      </w:r>
    </w:p>
    <w:p>
      <w:pPr>
        <w:pStyle w:val="ListParagraph"/>
        <w:numPr>
          <w:ilvl w:val="0"/>
          <w:numId w:val="2"/>
        </w:numPr>
      </w:pPr>
      <w:r>
        <w:t xml:space="preserve">Name : SOC Team</w:t>
      </w:r>
    </w:p>
    <w:p>
      <w:pPr>
        <w:pStyle w:val="ListParagraph"/>
        <w:numPr>
          <w:ilvl w:val="0"/>
          <w:numId w:val="2"/>
        </w:numPr>
      </w:pPr>
      <w:r>
        <w:t xml:space="preserve">Type : Organization</w:t>
      </w:r>
    </w:p>
    <w:p>
      <w:pPr>
        <w:pStyle w:val="ListParagraph"/>
        <w:numPr>
          <w:ilvl w:val="0"/>
          <w:numId w:val="2"/>
        </w:numPr>
      </w:pPr>
      <w:r>
        <w:t xml:space="preserve">Description : Security Operations Center</w:t>
      </w:r>
    </w:p>
    <w:p>
      <w:pPr>
        <w:pStyle w:val="Heading3"/>
      </w:pPr>
      <w:r>
        <w:t xml:space="preserve">2. Configurer les Connectors</w:t>
      </w:r>
    </w:p>
    <w:p>
      <w:pPr>
        <w:spacing w:after="120"/>
      </w:pPr>
      <w:r>
        <w:t xml:space="preserve">Les connectors permettent d'importer automatiquement de la threat intelligence.</w:t>
      </w:r>
    </w:p>
    <w:p>
      <w:pPr>
        <w:spacing w:after="60"/>
      </w:pPr>
      <w:r>
        <w:rPr>
          <w:b/>
          <w:bCs/>
        </w:rPr>
        <w:t xml:space="preserve">Connectors Recommandés :</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Pr>
          <w:p>
            <w:pPr>
              <w:jc w:val="center"/>
            </w:pPr>
            <w:r>
              <w:rPr>
                <w:b/>
                <w:bCs/>
                <w:color w:val="FFFFFF"/>
              </w:rPr>
              <w:t xml:space="preserve">Connector</w:t>
            </w:r>
          </w:p>
        </w:tc>
        <w:tc>
          <w:tcPr>
            <w:tcW w:type="dxa" w:w="3120"/>
            <w:tcBorders>
              <w:top w:val="single" w:color="CCCCCC" w:sz="1"/>
              <w:left w:val="single" w:color="CCCCCC" w:sz="1"/>
              <w:bottom w:val="single" w:color="CCCCCC" w:sz="1"/>
              <w:right w:val="single" w:color="CCCCCC" w:sz="1"/>
            </w:tcBorders>
            <w:shd w:fill="2E75B6" w:val="clear"/>
          </w:tcPr>
          <w:p>
            <w:pPr>
              <w:jc w:val="center"/>
            </w:pPr>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2E75B6" w:val="clear"/>
          </w:tcPr>
          <w:p>
            <w:pPr>
              <w:jc w:val="center"/>
            </w:pPr>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tcPr>
          <w:p>
            <w:r>
              <w:t xml:space="preserve">MITRE ATT&amp;CK</w:t>
            </w:r>
          </w:p>
        </w:tc>
        <w:tc>
          <w:tcPr>
            <w:tcW w:type="dxa" w:w="3120"/>
            <w:tcBorders>
              <w:top w:val="single" w:color="CCCCCC" w:sz="1"/>
              <w:left w:val="single" w:color="CCCCCC" w:sz="1"/>
              <w:bottom w:val="single" w:color="CCCCCC" w:sz="1"/>
              <w:right w:val="single" w:color="CCCCCC" w:sz="1"/>
            </w:tcBorders>
          </w:tcPr>
          <w:p>
            <w:r>
              <w:t xml:space="preserve">Import</w:t>
            </w:r>
          </w:p>
        </w:tc>
        <w:tc>
          <w:tcPr>
            <w:tcW w:type="dxa" w:w="3120"/>
            <w:tcBorders>
              <w:top w:val="single" w:color="CCCCCC" w:sz="1"/>
              <w:left w:val="single" w:color="CCCCCC" w:sz="1"/>
              <w:bottom w:val="single" w:color="CCCCCC" w:sz="1"/>
              <w:right w:val="single" w:color="CCCCCC" w:sz="1"/>
            </w:tcBorders>
          </w:tcPr>
          <w:p>
            <w:r>
              <w:t xml:space="preserve">Framework de TTPs</w:t>
            </w:r>
          </w:p>
        </w:tc>
      </w:tr>
      <w:tr>
        <w:tc>
          <w:tcPr>
            <w:tcW w:type="dxa" w:w="3120"/>
            <w:tcBorders>
              <w:top w:val="single" w:color="CCCCCC" w:sz="1"/>
              <w:left w:val="single" w:color="CCCCCC" w:sz="1"/>
              <w:bottom w:val="single" w:color="CCCCCC" w:sz="1"/>
              <w:right w:val="single" w:color="CCCCCC" w:sz="1"/>
            </w:tcBorders>
          </w:tcPr>
          <w:p>
            <w:r>
              <w:t xml:space="preserve">AlienVault OTX</w:t>
            </w:r>
          </w:p>
        </w:tc>
        <w:tc>
          <w:tcPr>
            <w:tcW w:type="dxa" w:w="3120"/>
            <w:tcBorders>
              <w:top w:val="single" w:color="CCCCCC" w:sz="1"/>
              <w:left w:val="single" w:color="CCCCCC" w:sz="1"/>
              <w:bottom w:val="single" w:color="CCCCCC" w:sz="1"/>
              <w:right w:val="single" w:color="CCCCCC" w:sz="1"/>
            </w:tcBorders>
          </w:tcPr>
          <w:p>
            <w:r>
              <w:t xml:space="preserve">Import</w:t>
            </w:r>
          </w:p>
        </w:tc>
        <w:tc>
          <w:tcPr>
            <w:tcW w:type="dxa" w:w="3120"/>
            <w:tcBorders>
              <w:top w:val="single" w:color="CCCCCC" w:sz="1"/>
              <w:left w:val="single" w:color="CCCCCC" w:sz="1"/>
              <w:bottom w:val="single" w:color="CCCCCC" w:sz="1"/>
              <w:right w:val="single" w:color="CCCCCC" w:sz="1"/>
            </w:tcBorders>
          </w:tcPr>
          <w:p>
            <w:r>
              <w:t xml:space="preserve">Threat intelligence</w:t>
            </w:r>
          </w:p>
        </w:tc>
      </w:tr>
      <w:tr>
        <w:tc>
          <w:tcPr>
            <w:tcW w:type="dxa" w:w="3120"/>
            <w:tcBorders>
              <w:top w:val="single" w:color="CCCCCC" w:sz="1"/>
              <w:left w:val="single" w:color="CCCCCC" w:sz="1"/>
              <w:bottom w:val="single" w:color="CCCCCC" w:sz="1"/>
              <w:right w:val="single" w:color="CCCCCC" w:sz="1"/>
            </w:tcBorders>
          </w:tcPr>
          <w:p>
            <w:r>
              <w:t xml:space="preserve">MISP</w:t>
            </w:r>
          </w:p>
        </w:tc>
        <w:tc>
          <w:tcPr>
            <w:tcW w:type="dxa" w:w="3120"/>
            <w:tcBorders>
              <w:top w:val="single" w:color="CCCCCC" w:sz="1"/>
              <w:left w:val="single" w:color="CCCCCC" w:sz="1"/>
              <w:bottom w:val="single" w:color="CCCCCC" w:sz="1"/>
              <w:right w:val="single" w:color="CCCCCC" w:sz="1"/>
            </w:tcBorders>
          </w:tcPr>
          <w:p>
            <w:r>
              <w:t xml:space="preserve">Import/Export</w:t>
            </w:r>
          </w:p>
        </w:tc>
        <w:tc>
          <w:tcPr>
            <w:tcW w:type="dxa" w:w="3120"/>
            <w:tcBorders>
              <w:top w:val="single" w:color="CCCCCC" w:sz="1"/>
              <w:left w:val="single" w:color="CCCCCC" w:sz="1"/>
              <w:bottom w:val="single" w:color="CCCCCC" w:sz="1"/>
              <w:right w:val="single" w:color="CCCCCC" w:sz="1"/>
            </w:tcBorders>
          </w:tcPr>
          <w:p>
            <w:r>
              <w:t xml:space="preserve">Sync avec votre MISP</w:t>
            </w:r>
          </w:p>
        </w:tc>
      </w:tr>
      <w:tr>
        <w:tc>
          <w:tcPr>
            <w:tcW w:type="dxa" w:w="3120"/>
            <w:tcBorders>
              <w:top w:val="single" w:color="CCCCCC" w:sz="1"/>
              <w:left w:val="single" w:color="CCCCCC" w:sz="1"/>
              <w:bottom w:val="single" w:color="CCCCCC" w:sz="1"/>
              <w:right w:val="single" w:color="CCCCCC" w:sz="1"/>
            </w:tcBorders>
          </w:tcPr>
          <w:p>
            <w:r>
              <w:t xml:space="preserve">CVE</w:t>
            </w:r>
          </w:p>
        </w:tc>
        <w:tc>
          <w:tcPr>
            <w:tcW w:type="dxa" w:w="3120"/>
            <w:tcBorders>
              <w:top w:val="single" w:color="CCCCCC" w:sz="1"/>
              <w:left w:val="single" w:color="CCCCCC" w:sz="1"/>
              <w:bottom w:val="single" w:color="CCCCCC" w:sz="1"/>
              <w:right w:val="single" w:color="CCCCCC" w:sz="1"/>
            </w:tcBorders>
          </w:tcPr>
          <w:p>
            <w:r>
              <w:t xml:space="preserve">Import</w:t>
            </w:r>
          </w:p>
        </w:tc>
        <w:tc>
          <w:tcPr>
            <w:tcW w:type="dxa" w:w="3120"/>
            <w:tcBorders>
              <w:top w:val="single" w:color="CCCCCC" w:sz="1"/>
              <w:left w:val="single" w:color="CCCCCC" w:sz="1"/>
              <w:bottom w:val="single" w:color="CCCCCC" w:sz="1"/>
              <w:right w:val="single" w:color="CCCCCC" w:sz="1"/>
            </w:tcBorders>
          </w:tcPr>
          <w:p>
            <w:r>
              <w:t xml:space="preserve">Vulnérabilités</w:t>
            </w:r>
          </w:p>
        </w:tc>
      </w:tr>
    </w:tbl>
    <w:p>
      <w:pPr>
        <w:pStyle w:val="Heading3"/>
      </w:pPr>
      <w:r>
        <w:t xml:space="preserve">3. Activer MITRE ATT&amp;CK (Essentiel)</w:t>
      </w:r>
    </w:p>
    <w:p>
      <w:pPr>
        <w:pStyle w:val="CodeStyle"/>
      </w:pPr>
      <w:r>
        <w:t xml:space="preserve"># Dans docker-compose.yml, ajouter le connector</w:t>
      </w:r>
    </w:p>
    <w:p>
      <w:pPr>
        <w:pStyle w:val="CodeStyle"/>
      </w:pPr>
      <w:r>
        <w:t xml:space="preserve"># Section connectors :</w:t>
      </w:r>
    </w:p>
    <w:p>
      <w:pPr>
        <w:pStyle w:val="CodeStyle"/>
      </w:pPr>
      <w:r>
        <w:t xml:space="preserve"/>
      </w:r>
    </w:p>
    <w:p>
      <w:pPr>
        <w:pStyle w:val="CodeStyle"/>
      </w:pPr>
      <w:r>
        <w:t xml:space="preserve">connector-mitre:</w:t>
      </w:r>
    </w:p>
    <w:p>
      <w:pPr>
        <w:pStyle w:val="CodeStyle"/>
      </w:pPr>
      <w:r>
        <w:t xml:space="preserve">  image: opencti/connector-mitre:latest</w:t>
      </w:r>
    </w:p>
    <w:p>
      <w:pPr>
        <w:pStyle w:val="CodeStyle"/>
      </w:pPr>
      <w:r>
        <w:t xml:space="preserve">  environment:</w:t>
      </w:r>
    </w:p>
    <w:p>
      <w:pPr>
        <w:pStyle w:val="CodeStyle"/>
      </w:pPr>
      <w:r>
        <w:t xml:space="preserve">    - OPENCTI_URL=http://opencti:8080</w:t>
      </w:r>
    </w:p>
    <w:p>
      <w:pPr>
        <w:pStyle w:val="CodeStyle"/>
      </w:pPr>
      <w:r>
        <w:t xml:space="preserve">    - OPENCTI_TOKEN=${OPENCTI_ADMIN_TOKEN}</w:t>
      </w:r>
    </w:p>
    <w:p>
      <w:pPr>
        <w:pStyle w:val="CodeStyle"/>
      </w:pPr>
      <w:r>
        <w:t xml:space="preserve">    - CONNECTOR_ID=$(uuidgen)</w:t>
      </w:r>
    </w:p>
    <w:p>
      <w:pPr>
        <w:pStyle w:val="CodeStyle"/>
      </w:pPr>
      <w:r>
        <w:t xml:space="preserve">    - CONNECTOR_NAME=MITRE ATT&amp;CK</w:t>
      </w:r>
    </w:p>
    <w:p>
      <w:pPr>
        <w:pStyle w:val="CodeStyle"/>
      </w:pPr>
      <w:r>
        <w:t xml:space="preserve">    - MITRE_INTERVAL=7 # Jours</w:t>
      </w:r>
    </w:p>
    <w:p>
      <w:pPr>
        <w:spacing w:before="120"/>
      </w:pPr>
      <w:r>
        <w:t xml:space="preserve">Relancer : </w:t>
      </w:r>
      <w:r>
        <w:rPr>
          <w:rFonts w:ascii="Courier New" w:cs="Courier New" w:eastAsia="Courier New" w:hAnsi="Courier New"/>
        </w:rPr>
        <w:t xml:space="preserve">sudo docker-compose up -d</w:t>
      </w:r>
    </w:p>
    <w:p>
      <w:r>
        <w:br w:type="page"/>
      </w:r>
    </w:p>
    <w:p>
      <w:pPr>
        <w:pStyle w:val="Heading1"/>
      </w:pPr>
      <w:r>
        <w:t xml:space="preserve">Utilisation d'OpenCTI</w:t>
      </w:r>
    </w:p>
    <w:p>
      <w:pPr>
        <w:pStyle w:val="Heading2"/>
      </w:pPr>
      <w:r>
        <w:t xml:space="preserve">Créer une Campagne d'Attaque</w:t>
      </w:r>
    </w:p>
    <w:p>
      <w:pPr>
        <w:pStyle w:val="ListParagraph"/>
        <w:numPr>
          <w:ilvl w:val="0"/>
          <w:numId w:val="3"/>
        </w:numPr>
      </w:pPr>
      <w:r>
        <w:t xml:space="preserve">Aller dans : Threats → Campaigns → + Create</w:t>
      </w:r>
    </w:p>
    <w:p>
      <w:pPr>
        <w:pStyle w:val="ListParagraph"/>
        <w:numPr>
          <w:ilvl w:val="0"/>
          <w:numId w:val="3"/>
        </w:numPr>
      </w:pPr>
      <w:r>
        <w:t xml:space="preserve">Name : APT29 Campaign 2024</w:t>
      </w:r>
    </w:p>
    <w:p>
      <w:pPr>
        <w:pStyle w:val="ListParagraph"/>
        <w:numPr>
          <w:ilvl w:val="0"/>
          <w:numId w:val="3"/>
        </w:numPr>
      </w:pPr>
      <w:r>
        <w:t xml:space="preserve">Description : Targeted attacks on financial sector</w:t>
      </w:r>
    </w:p>
    <w:p>
      <w:pPr>
        <w:pStyle w:val="ListParagraph"/>
        <w:numPr>
          <w:ilvl w:val="0"/>
          <w:numId w:val="3"/>
        </w:numPr>
      </w:pPr>
      <w:r>
        <w:t xml:space="preserve">First seen : 2024-01-01</w:t>
      </w:r>
    </w:p>
    <w:p>
      <w:pPr>
        <w:pStyle w:val="ListParagraph"/>
        <w:numPr>
          <w:ilvl w:val="0"/>
          <w:numId w:val="3"/>
        </w:numPr>
      </w:pPr>
      <w:r>
        <w:t xml:space="preserve">Confidence : High</w:t>
      </w:r>
    </w:p>
    <w:p>
      <w:pPr>
        <w:pStyle w:val="Heading2"/>
      </w:pPr>
      <w:r>
        <w:t xml:space="preserve">Ajouter des Indicateurs (IoC)</w:t>
      </w:r>
    </w:p>
    <w:p>
      <w:pPr>
        <w:pStyle w:val="ListParagraph"/>
        <w:numPr>
          <w:ilvl w:val="0"/>
          <w:numId w:val="3"/>
        </w:numPr>
      </w:pPr>
      <w:r>
        <w:t xml:space="preserve">Dans la campagne → Onglet Knowledge → + Add</w:t>
      </w:r>
    </w:p>
    <w:p>
      <w:pPr>
        <w:pStyle w:val="ListParagraph"/>
        <w:numPr>
          <w:ilvl w:val="0"/>
          <w:numId w:val="3"/>
        </w:numPr>
      </w:pPr>
      <w:r>
        <w:t xml:space="preserve">Type : IPv4-Addr</w:t>
      </w:r>
    </w:p>
    <w:p>
      <w:pPr>
        <w:pStyle w:val="ListParagraph"/>
        <w:numPr>
          <w:ilvl w:val="0"/>
          <w:numId w:val="3"/>
        </w:numPr>
      </w:pPr>
      <w:r>
        <w:t xml:space="preserve">Value : 192.0.2.1 (exemple)</w:t>
      </w:r>
    </w:p>
    <w:p>
      <w:pPr>
        <w:pStyle w:val="ListParagraph"/>
        <w:numPr>
          <w:ilvl w:val="0"/>
          <w:numId w:val="3"/>
        </w:numPr>
      </w:pPr>
      <w:r>
        <w:t xml:space="preserve">Repeat for : File hashes, domains, URLs, etc.</w:t>
      </w:r>
    </w:p>
    <w:p>
      <w:pPr>
        <w:pStyle w:val="Heading2"/>
      </w:pPr>
      <w:r>
        <w:t xml:space="preserve">Mapper MITRE ATT&amp;CK</w:t>
      </w:r>
    </w:p>
    <w:p>
      <w:pPr>
        <w:pStyle w:val="ListParagraph"/>
        <w:numPr>
          <w:ilvl w:val="0"/>
          <w:numId w:val="3"/>
        </w:numPr>
      </w:pPr>
      <w:r>
        <w:t xml:space="preserve">Dans la campagne → Onglet TTPs → + Add</w:t>
      </w:r>
    </w:p>
    <w:p>
      <w:pPr>
        <w:pStyle w:val="ListParagraph"/>
        <w:numPr>
          <w:ilvl w:val="0"/>
          <w:numId w:val="3"/>
        </w:numPr>
      </w:pPr>
      <w:r>
        <w:t xml:space="preserve">Chercher : T1566 (Phishing)</w:t>
      </w:r>
    </w:p>
    <w:p>
      <w:pPr>
        <w:pStyle w:val="ListParagraph"/>
        <w:numPr>
          <w:ilvl w:val="0"/>
          <w:numId w:val="3"/>
        </w:numPr>
      </w:pPr>
      <w:r>
        <w:t xml:space="preserve">Ajouter : T1059 (Command and Scripting Interpreter)</w:t>
      </w:r>
    </w:p>
    <w:p>
      <w:pPr>
        <w:pStyle w:val="ListParagraph"/>
        <w:numPr>
          <w:ilvl w:val="0"/>
          <w:numId w:val="3"/>
        </w:numPr>
      </w:pPr>
      <w:r>
        <w:t xml:space="preserve">Ajouter : T1071 (Application Layer Protocol)</w:t>
      </w:r>
    </w:p>
    <w:p>
      <w:pPr>
        <w:spacing w:before="120" w:after="120"/>
      </w:pPr>
      <w:r>
        <w:rPr>
          <w:b/>
          <w:bCs/>
        </w:rPr>
        <w:t xml:space="preserve">Résultat : </w:t>
      </w:r>
      <w:r>
        <w:t xml:space="preserve">OpenCTI crée automatiquement un graphe de relations entre la campagne, les IoC et les TTPs.</w:t>
      </w:r>
    </w:p>
    <w:p>
      <w:pPr>
        <w:pStyle w:val="Heading2"/>
      </w:pPr>
      <w:r>
        <w:t xml:space="preserve">Visualisation du Graphe</w:t>
      </w:r>
    </w:p>
    <w:p>
      <w:pPr>
        <w:pStyle w:val="ListParagraph"/>
        <w:numPr>
          <w:ilvl w:val="0"/>
          <w:numId w:val="2"/>
        </w:numPr>
      </w:pPr>
      <w:r>
        <w:t xml:space="preserve">Cliquer sur l'icône graphe (en haut de la campagne)</w:t>
      </w:r>
    </w:p>
    <w:p>
      <w:pPr>
        <w:pStyle w:val="ListParagraph"/>
        <w:numPr>
          <w:ilvl w:val="0"/>
          <w:numId w:val="2"/>
        </w:numPr>
      </w:pPr>
      <w:r>
        <w:t xml:space="preserve">Voir les relations visuelles entre :</w:t>
      </w:r>
    </w:p>
    <w:p>
      <w:pPr>
        <w:pStyle w:val="ListParagraph"/>
        <w:numPr>
          <w:ilvl w:val="0"/>
          <w:numId w:val="2"/>
        </w:numPr>
      </w:pPr>
      <w:r>
        <w:t xml:space="preserve">  - Campagne ↔ Threat Actor</w:t>
      </w:r>
    </w:p>
    <w:p>
      <w:pPr>
        <w:pStyle w:val="ListParagraph"/>
        <w:numPr>
          <w:ilvl w:val="0"/>
          <w:numId w:val="2"/>
        </w:numPr>
      </w:pPr>
      <w:r>
        <w:t xml:space="preserve">  - Campagne ↔ IoC</w:t>
      </w:r>
    </w:p>
    <w:p>
      <w:pPr>
        <w:pStyle w:val="ListParagraph"/>
        <w:numPr>
          <w:ilvl w:val="0"/>
          <w:numId w:val="2"/>
        </w:numPr>
      </w:pPr>
      <w:r>
        <w:t xml:space="preserve">  - Campagne ↔ TTPs MITRE</w:t>
      </w:r>
    </w:p>
    <w:p>
      <w:pPr>
        <w:pStyle w:val="ListParagraph"/>
        <w:numPr>
          <w:ilvl w:val="0"/>
          <w:numId w:val="2"/>
        </w:numPr>
      </w:pPr>
      <w:r>
        <w:t xml:space="preserve">  - TTPs ↔ Tactics</w:t>
      </w:r>
    </w:p>
    <w:p>
      <w:r>
        <w:br w:type="page"/>
      </w:r>
    </w:p>
    <w:p>
      <w:pPr>
        <w:pStyle w:val="Heading1"/>
      </w:pPr>
      <w:r>
        <w:t xml:space="preserve">Intégration avec le SOAR</w:t>
      </w:r>
    </w:p>
    <w:p>
      <w:pPr>
        <w:pStyle w:val="Heading2"/>
      </w:pPr>
      <w:r>
        <w:t xml:space="preserve">Générer un Token API</w:t>
      </w:r>
    </w:p>
    <w:p>
      <w:pPr>
        <w:pStyle w:val="ListParagraph"/>
        <w:numPr>
          <w:ilvl w:val="0"/>
          <w:numId w:val="3"/>
        </w:numPr>
      </w:pPr>
      <w:r>
        <w:t xml:space="preserve">Settings → Security → API Access → + Create</w:t>
      </w:r>
    </w:p>
    <w:p>
      <w:pPr>
        <w:pStyle w:val="ListParagraph"/>
        <w:numPr>
          <w:ilvl w:val="0"/>
          <w:numId w:val="3"/>
        </w:numPr>
      </w:pPr>
      <w:r>
        <w:t xml:space="preserve">Name : Shuffle Integration</w:t>
      </w:r>
    </w:p>
    <w:p>
      <w:pPr>
        <w:pStyle w:val="ListParagraph"/>
        <w:numPr>
          <w:ilvl w:val="0"/>
          <w:numId w:val="3"/>
        </w:numPr>
      </w:pPr>
      <w:r>
        <w:t xml:space="preserve">Duration : No expiration</w:t>
      </w:r>
    </w:p>
    <w:p>
      <w:pPr>
        <w:pStyle w:val="ListParagraph"/>
        <w:numPr>
          <w:ilvl w:val="0"/>
          <w:numId w:val="3"/>
        </w:numPr>
      </w:pPr>
      <w:r>
        <w:t xml:space="preserve">Create → Copier le token généré</w:t>
      </w:r>
    </w:p>
    <w:p>
      <w:pPr>
        <w:pStyle w:val="Heading2"/>
      </w:pPr>
      <w:r>
        <w:t xml:space="preserve">Configuration dans Shuffle</w:t>
      </w:r>
    </w:p>
    <w:p>
      <w:pPr>
        <w:spacing w:after="120"/>
      </w:pPr>
      <w:r>
        <w:t xml:space="preserve">Dans Shuffle :</w:t>
      </w:r>
    </w:p>
    <w:p>
      <w:pPr>
        <w:pStyle w:val="ListParagraph"/>
        <w:numPr>
          <w:ilvl w:val="0"/>
          <w:numId w:val="3"/>
        </w:numPr>
      </w:pPr>
      <w:r>
        <w:t xml:space="preserve">Settings → App Authentication</w:t>
      </w:r>
    </w:p>
    <w:p>
      <w:pPr>
        <w:pStyle w:val="ListParagraph"/>
        <w:numPr>
          <w:ilvl w:val="0"/>
          <w:numId w:val="3"/>
        </w:numPr>
      </w:pPr>
      <w:r>
        <w:t xml:space="preserve">Add new credential</w:t>
      </w:r>
    </w:p>
    <w:p>
      <w:pPr>
        <w:pStyle w:val="ListParagraph"/>
        <w:numPr>
          <w:ilvl w:val="0"/>
          <w:numId w:val="3"/>
        </w:numPr>
      </w:pPr>
      <w:r>
        <w:t xml:space="preserve">Name : opencti_api</w:t>
      </w:r>
    </w:p>
    <w:p>
      <w:pPr>
        <w:pStyle w:val="ListParagraph"/>
        <w:numPr>
          <w:ilvl w:val="0"/>
          <w:numId w:val="3"/>
        </w:numPr>
      </w:pPr>
      <w:r>
        <w:t xml:space="preserve">App : OpenCTI (ou HTTP pour API manuelle)</w:t>
      </w:r>
    </w:p>
    <w:p>
      <w:pPr>
        <w:pStyle w:val="ListParagraph"/>
        <w:numPr>
          <w:ilvl w:val="0"/>
          <w:numId w:val="3"/>
        </w:numPr>
      </w:pPr>
      <w:r>
        <w:t xml:space="preserve">URL : http://192.168.100.20:8080</w:t>
      </w:r>
    </w:p>
    <w:p>
      <w:pPr>
        <w:pStyle w:val="ListParagraph"/>
        <w:numPr>
          <w:ilvl w:val="0"/>
          <w:numId w:val="3"/>
        </w:numPr>
      </w:pPr>
      <w:r>
        <w:t xml:space="preserve">Token : [coller le token]</w:t>
      </w:r>
    </w:p>
    <w:p>
      <w:pPr>
        <w:pStyle w:val="Heading2"/>
      </w:pPr>
      <w:r>
        <w:t xml:space="preserve">Exemple : Enrichissement via OpenCTI</w:t>
      </w:r>
    </w:p>
    <w:p>
      <w:pPr>
        <w:spacing w:after="120"/>
      </w:pPr>
      <w:r>
        <w:t xml:space="preserve">Workflow Shuffle pour chercher un IoC dans OpenCTI :</w:t>
      </w:r>
    </w:p>
    <w:p>
      <w:pPr>
        <w:pStyle w:val="CodeStyle"/>
      </w:pPr>
      <w:r>
        <w:t xml:space="preserve"># Nœud HTTP dans Shuffle</w:t>
      </w:r>
    </w:p>
    <w:p>
      <w:pPr>
        <w:pStyle w:val="CodeStyle"/>
      </w:pPr>
      <w:r>
        <w:t xml:space="preserve">Method: POST</w:t>
      </w:r>
    </w:p>
    <w:p>
      <w:pPr>
        <w:pStyle w:val="CodeStyle"/>
      </w:pPr>
      <w:r>
        <w:t xml:space="preserve">URL: http://192.168.100.20:8080/graphql</w:t>
      </w:r>
    </w:p>
    <w:p>
      <w:pPr>
        <w:pStyle w:val="CodeStyle"/>
      </w:pPr>
      <w:r>
        <w:t xml:space="preserve">Headers:</w:t>
      </w:r>
    </w:p>
    <w:p>
      <w:pPr>
        <w:pStyle w:val="CodeStyle"/>
      </w:pPr>
      <w:r>
        <w:t xml:space="preserve">  Authorization: Bearer [token]</w:t>
      </w:r>
    </w:p>
    <w:p>
      <w:pPr>
        <w:pStyle w:val="CodeStyle"/>
      </w:pPr>
      <w:r>
        <w:t xml:space="preserve">  Content-Type: application/json</w:t>
      </w:r>
    </w:p>
    <w:p>
      <w:pPr>
        <w:pStyle w:val="CodeStyle"/>
      </w:pPr>
      <w:r>
        <w:t xml:space="preserve"/>
      </w:r>
    </w:p>
    <w:p>
      <w:pPr>
        <w:pStyle w:val="CodeStyle"/>
      </w:pPr>
      <w:r>
        <w:t xml:space="preserve">Body (GraphQL query):</w:t>
      </w:r>
    </w:p>
    <w:p>
      <w:pPr>
        <w:pStyle w:val="CodeStyle"/>
      </w:pPr>
      <w:r>
        <w:t xml:space="preserve">{</w:t>
      </w:r>
    </w:p>
    <w:p>
      <w:pPr>
        <w:pStyle w:val="CodeStyle"/>
      </w:pPr>
      <w:r>
        <w:t xml:space="preserve">  "query": "{</w:t>
      </w:r>
    </w:p>
    <w:p>
      <w:pPr>
        <w:pStyle w:val="CodeStyle"/>
      </w:pPr>
      <w:r>
        <w:t xml:space="preserve">    indicators(filters: {</w:t>
      </w:r>
    </w:p>
    <w:p>
      <w:pPr>
        <w:pStyle w:val="CodeStyle"/>
      </w:pPr>
      <w:r>
        <w:t xml:space="preserve">      mode: and,</w:t>
      </w:r>
    </w:p>
    <w:p>
      <w:pPr>
        <w:pStyle w:val="CodeStyle"/>
      </w:pPr>
      <w:r>
        <w:t xml:space="preserve">      filters: [{</w:t>
      </w:r>
    </w:p>
    <w:p>
      <w:pPr>
        <w:pStyle w:val="CodeStyle"/>
      </w:pPr>
      <w:r>
        <w:t xml:space="preserve">        key: \"value\",</w:t>
      </w:r>
    </w:p>
    <w:p>
      <w:pPr>
        <w:pStyle w:val="CodeStyle"/>
      </w:pPr>
      <w:r>
        <w:t xml:space="preserve">        values: [\"$hash\"]")  # Hash from Wazuh</w:t>
      </w:r>
    </w:p>
    <w:p>
      <w:pPr>
        <w:pStyle w:val="CodeStyle"/>
      </w:pPr>
      <w:r>
        <w:t xml:space="preserve">      }]</w:t>
      </w:r>
    </w:p>
    <w:p>
      <w:pPr>
        <w:pStyle w:val="CodeStyle"/>
      </w:pPr>
      <w:r>
        <w:t xml:space="preserve">    }) {</w:t>
      </w:r>
    </w:p>
    <w:p>
      <w:pPr>
        <w:pStyle w:val="CodeStyle"/>
      </w:pPr>
      <w:r>
        <w:t xml:space="preserve">      edges { node { id name description } }</w:t>
      </w:r>
    </w:p>
    <w:p>
      <w:pPr>
        <w:pStyle w:val="CodeStyle"/>
      </w:pPr>
      <w:r>
        <w:t xml:space="preserve">    }</w:t>
      </w:r>
    </w:p>
    <w:p>
      <w:pPr>
        <w:pStyle w:val="CodeStyle"/>
      </w:pPr>
      <w:r>
        <w:t xml:space="preserve">  }"</w:t>
      </w:r>
    </w:p>
    <w:p>
      <w:pPr>
        <w:pStyle w:val="CodeStyle"/>
      </w:pPr>
      <w:r>
        <w:t xml:space="preserve">}</w:t>
      </w:r>
    </w:p>
    <w:p>
      <w:pPr>
        <w:pStyle w:val="Heading2"/>
      </w:pPr>
      <w:r>
        <w:t xml:space="preserve">Use Case : Corrélation Automatique</w:t>
      </w:r>
    </w:p>
    <w:p>
      <w:pPr>
        <w:spacing w:after="120"/>
      </w:pPr>
      <w:r>
        <w:t xml:space="preserve">Lorsque Wazuh détecte un hash suspect :</w:t>
      </w:r>
    </w:p>
    <w:p>
      <w:pPr>
        <w:pStyle w:val="ListParagraph"/>
        <w:numPr>
          <w:ilvl w:val="0"/>
          <w:numId w:val="3"/>
        </w:numPr>
      </w:pPr>
      <w:r>
        <w:t xml:space="preserve">Shuffle reçoit l'alerte</w:t>
      </w:r>
    </w:p>
    <w:p>
      <w:pPr>
        <w:pStyle w:val="ListParagraph"/>
        <w:numPr>
          <w:ilvl w:val="0"/>
          <w:numId w:val="3"/>
        </w:numPr>
      </w:pPr>
      <w:r>
        <w:t xml:space="preserve">Extrait le hash du fichier</w:t>
      </w:r>
    </w:p>
    <w:p>
      <w:pPr>
        <w:pStyle w:val="ListParagraph"/>
        <w:numPr>
          <w:ilvl w:val="0"/>
          <w:numId w:val="3"/>
        </w:numPr>
      </w:pPr>
      <w:r>
        <w:t xml:space="preserve">Cherche le hash dans OpenCTI (query ci-dessus)</w:t>
      </w:r>
    </w:p>
    <w:p>
      <w:pPr>
        <w:pStyle w:val="ListParagraph"/>
        <w:numPr>
          <w:ilvl w:val="0"/>
          <w:numId w:val="3"/>
        </w:numPr>
      </w:pPr>
      <w:r>
        <w:t xml:space="preserve">Si trouvé → Récupère la campagne associée</w:t>
      </w:r>
    </w:p>
    <w:p>
      <w:pPr>
        <w:pStyle w:val="ListParagraph"/>
        <w:numPr>
          <w:ilvl w:val="0"/>
          <w:numId w:val="3"/>
        </w:numPr>
      </w:pPr>
      <w:r>
        <w:t xml:space="preserve">Récupère les TTPs MITRE associés</w:t>
      </w:r>
    </w:p>
    <w:p>
      <w:pPr>
        <w:pStyle w:val="ListParagraph"/>
        <w:numPr>
          <w:ilvl w:val="0"/>
          <w:numId w:val="3"/>
        </w:numPr>
      </w:pPr>
      <w:r>
        <w:t xml:space="preserve">Ajoute ces infos au case TheHive</w:t>
      </w:r>
    </w:p>
    <w:p>
      <w:pPr>
        <w:spacing w:before="120" w:after="120"/>
      </w:pPr>
      <w:r>
        <w:rPr>
          <w:b/>
          <w:bCs/>
        </w:rPr>
        <w:t xml:space="preserve">Résultat : </w:t>
      </w:r>
      <w:r>
        <w:t xml:space="preserve">L'analyste voit immédiatement : 'Ce hash appartient à la campagne APT29, utilise les TTPs T1566, T1059, T1071'</w:t>
      </w:r>
    </w:p>
    <w:p>
      <w:r>
        <w:br w:type="page"/>
      </w:r>
    </w:p>
    <w:p>
      <w:pPr>
        <w:pStyle w:val="Heading1"/>
      </w:pPr>
      <w:r>
        <w:t xml:space="preserve">Intégration OpenCTI ↔ MISP</w:t>
      </w:r>
    </w:p>
    <w:p>
      <w:pPr>
        <w:spacing w:after="120"/>
      </w:pPr>
      <w:r>
        <w:t xml:space="preserve">OpenCTI et MISP peuvent se synchroniser pour partager les IoC.</w:t>
      </w:r>
    </w:p>
    <w:p>
      <w:pPr>
        <w:pStyle w:val="Heading2"/>
      </w:pPr>
      <w:r>
        <w:t xml:space="preserve">Configuration Connector MISP</w:t>
      </w:r>
    </w:p>
    <w:p>
      <w:pPr>
        <w:pStyle w:val="CodeStyle"/>
      </w:pPr>
      <w:r>
        <w:t xml:space="preserve"># Dans docker-compose.yml</w:t>
      </w:r>
    </w:p>
    <w:p>
      <w:pPr>
        <w:pStyle w:val="CodeStyle"/>
      </w:pPr>
      <w:r>
        <w:t xml:space="preserve">connector-misp:</w:t>
      </w:r>
    </w:p>
    <w:p>
      <w:pPr>
        <w:pStyle w:val="CodeStyle"/>
      </w:pPr>
      <w:r>
        <w:t xml:space="preserve">  image: opencti/connector-misp:latest</w:t>
      </w:r>
    </w:p>
    <w:p>
      <w:pPr>
        <w:pStyle w:val="CodeStyle"/>
      </w:pPr>
      <w:r>
        <w:t xml:space="preserve">  environment:</w:t>
      </w:r>
    </w:p>
    <w:p>
      <w:pPr>
        <w:pStyle w:val="CodeStyle"/>
      </w:pPr>
      <w:r>
        <w:t xml:space="preserve">    - OPENCTI_URL=http://opencti:8080</w:t>
      </w:r>
    </w:p>
    <w:p>
      <w:pPr>
        <w:pStyle w:val="CodeStyle"/>
      </w:pPr>
      <w:r>
        <w:t xml:space="preserve">    - OPENCTI_TOKEN=${OPENCTI_ADMIN_TOKEN}</w:t>
      </w:r>
    </w:p>
    <w:p>
      <w:pPr>
        <w:pStyle w:val="CodeStyle"/>
      </w:pPr>
      <w:r>
        <w:t xml:space="preserve">    - MISP_URL=https://192.168.100.20</w:t>
      </w:r>
    </w:p>
    <w:p>
      <w:pPr>
        <w:pStyle w:val="CodeStyle"/>
      </w:pPr>
      <w:r>
        <w:t xml:space="preserve">    - MISP_KEY=[votre_clé_MISP]</w:t>
      </w:r>
    </w:p>
    <w:p>
      <w:pPr>
        <w:pStyle w:val="CodeStyle"/>
      </w:pPr>
      <w:r>
        <w:t xml:space="preserve">    - MISP_SSL_VERIFY=false</w:t>
      </w:r>
    </w:p>
    <w:p>
      <w:pPr>
        <w:pStyle w:val="CodeStyle"/>
      </w:pPr>
      <w:r>
        <w:t xml:space="preserve">    - MISP_CREATE_REPORTS=true</w:t>
      </w:r>
    </w:p>
    <w:p>
      <w:pPr>
        <w:pStyle w:val="CodeStyle"/>
      </w:pPr>
      <w:r>
        <w:t xml:space="preserve">    - MISP_IMPORT_FROM_DATE=2024-01-01</w:t>
      </w:r>
    </w:p>
    <w:p>
      <w:pPr>
        <w:spacing w:before="120"/>
      </w:pPr>
      <w:r>
        <w:t xml:space="preserve">Redémarrer : </w:t>
      </w:r>
      <w:r>
        <w:rPr>
          <w:rFonts w:ascii="Courier New" w:cs="Courier New" w:eastAsia="Courier New" w:hAnsi="Courier New"/>
        </w:rPr>
        <w:t xml:space="preserve">sudo docker-compose up -d</w:t>
      </w:r>
    </w:p>
    <w:p>
      <w:pPr>
        <w:pStyle w:val="Heading2"/>
      </w:pPr>
      <w:r>
        <w:t xml:space="preserve">Flux de Données</w:t>
      </w:r>
    </w:p>
    <w:p>
      <w:pPr>
        <w:pStyle w:val="ListParagraph"/>
        <w:numPr>
          <w:ilvl w:val="0"/>
          <w:numId w:val="2"/>
        </w:numPr>
      </w:pPr>
      <w:r>
        <w:rPr>
          <w:b/>
          <w:bCs/>
        </w:rPr>
        <w:t xml:space="preserve">MISP → OpenCTI : </w:t>
      </w:r>
      <w:r>
        <w:t xml:space="preserve">Import automatique des events MISP</w:t>
      </w:r>
    </w:p>
    <w:p>
      <w:pPr>
        <w:pStyle w:val="ListParagraph"/>
        <w:numPr>
          <w:ilvl w:val="0"/>
          <w:numId w:val="2"/>
        </w:numPr>
      </w:pPr>
      <w:r>
        <w:rPr>
          <w:b/>
          <w:bCs/>
        </w:rPr>
        <w:t xml:space="preserve">OpenCTI → MISP : </w:t>
      </w:r>
      <w:r>
        <w:t xml:space="preserve">Export des observables vers MISP</w:t>
      </w:r>
    </w:p>
    <w:p>
      <w:pPr>
        <w:pStyle w:val="ListParagraph"/>
        <w:numPr>
          <w:ilvl w:val="0"/>
          <w:numId w:val="2"/>
        </w:numPr>
      </w:pPr>
      <w:r>
        <w:rPr>
          <w:b/>
          <w:bCs/>
        </w:rPr>
        <w:t xml:space="preserve">Bidirectionnel : </w:t>
      </w:r>
      <w:r>
        <w:t xml:space="preserve">Synchronisation continue</w:t>
      </w:r>
    </w:p>
    <w:p>
      <w:r>
        <w:br w:type="page"/>
      </w:r>
    </w:p>
    <w:p>
      <w:pPr>
        <w:pStyle w:val="Heading1"/>
      </w:pPr>
      <w:r>
        <w:t xml:space="preserve">Cas d'Usage Pratiques</w:t>
      </w:r>
    </w:p>
    <w:p>
      <w:pPr>
        <w:pStyle w:val="Heading2"/>
      </w:pPr>
      <w:r>
        <w:t xml:space="preserve">Cas 1 : Analyse Post-Incident</w:t>
      </w:r>
    </w:p>
    <w:p>
      <w:pPr>
        <w:spacing w:after="120"/>
      </w:pPr>
      <w:r>
        <w:t xml:space="preserve">Après détection d'un ransomware :</w:t>
      </w:r>
    </w:p>
    <w:p>
      <w:pPr>
        <w:pStyle w:val="ListParagraph"/>
        <w:numPr>
          <w:ilvl w:val="0"/>
          <w:numId w:val="3"/>
        </w:numPr>
      </w:pPr>
      <w:r>
        <w:t xml:space="preserve">Créer une campagne dans OpenCTI</w:t>
      </w:r>
    </w:p>
    <w:p>
      <w:pPr>
        <w:pStyle w:val="ListParagraph"/>
        <w:numPr>
          <w:ilvl w:val="0"/>
          <w:numId w:val="3"/>
        </w:numPr>
      </w:pPr>
      <w:r>
        <w:t xml:space="preserve">Ajouter tous les IoC collectés (hash, IP, domaines)</w:t>
      </w:r>
    </w:p>
    <w:p>
      <w:pPr>
        <w:pStyle w:val="ListParagraph"/>
        <w:numPr>
          <w:ilvl w:val="0"/>
          <w:numId w:val="3"/>
        </w:numPr>
      </w:pPr>
      <w:r>
        <w:t xml:space="preserve">Mapper les TTPs observés (MITRE ATT&amp;CK)</w:t>
      </w:r>
    </w:p>
    <w:p>
      <w:pPr>
        <w:pStyle w:val="ListParagraph"/>
        <w:numPr>
          <w:ilvl w:val="0"/>
          <w:numId w:val="3"/>
        </w:numPr>
      </w:pPr>
      <w:r>
        <w:t xml:space="preserve">Ajouter le timeline des événements</w:t>
      </w:r>
    </w:p>
    <w:p>
      <w:pPr>
        <w:pStyle w:val="ListParagraph"/>
        <w:numPr>
          <w:ilvl w:val="0"/>
          <w:numId w:val="3"/>
        </w:numPr>
      </w:pPr>
      <w:r>
        <w:t xml:space="preserve">Générer un rapport PDF professionnel</w:t>
      </w:r>
    </w:p>
    <w:p>
      <w:pPr>
        <w:pStyle w:val="ListParagraph"/>
        <w:numPr>
          <w:ilvl w:val="0"/>
          <w:numId w:val="3"/>
        </w:numPr>
      </w:pPr>
      <w:r>
        <w:t xml:space="preserve">Partager avec la communauté via MISP</w:t>
      </w:r>
    </w:p>
    <w:p>
      <w:pPr>
        <w:pStyle w:val="Heading2"/>
      </w:pPr>
      <w:r>
        <w:t xml:space="preserve">Cas 2 : Threat Hunting Proactif</w:t>
      </w:r>
    </w:p>
    <w:p>
      <w:pPr>
        <w:pStyle w:val="ListParagraph"/>
        <w:numPr>
          <w:ilvl w:val="0"/>
          <w:numId w:val="3"/>
        </w:numPr>
      </w:pPr>
      <w:r>
        <w:t xml:space="preserve">Importer les dernières campagnes APT</w:t>
      </w:r>
    </w:p>
    <w:p>
      <w:pPr>
        <w:pStyle w:val="ListParagraph"/>
        <w:numPr>
          <w:ilvl w:val="0"/>
          <w:numId w:val="3"/>
        </w:numPr>
      </w:pPr>
      <w:r>
        <w:t xml:space="preserve">Analyser les TTPs utilisés</w:t>
      </w:r>
    </w:p>
    <w:p>
      <w:pPr>
        <w:pStyle w:val="ListParagraph"/>
        <w:numPr>
          <w:ilvl w:val="0"/>
          <w:numId w:val="3"/>
        </w:numPr>
      </w:pPr>
      <w:r>
        <w:t xml:space="preserve">Créer des règles Yara basées sur les IoC</w:t>
      </w:r>
    </w:p>
    <w:p>
      <w:pPr>
        <w:pStyle w:val="ListParagraph"/>
        <w:numPr>
          <w:ilvl w:val="0"/>
          <w:numId w:val="3"/>
        </w:numPr>
      </w:pPr>
      <w:r>
        <w:t xml:space="preserve">Configurer Velociraptor pour hunting</w:t>
      </w:r>
    </w:p>
    <w:p>
      <w:pPr>
        <w:pStyle w:val="ListParagraph"/>
        <w:numPr>
          <w:ilvl w:val="0"/>
          <w:numId w:val="3"/>
        </w:numPr>
      </w:pPr>
      <w:r>
        <w:t xml:space="preserve">Chercher proactivement ces indicateurs</w:t>
      </w:r>
    </w:p>
    <w:p>
      <w:pPr>
        <w:pStyle w:val="Heading2"/>
      </w:pPr>
      <w:r>
        <w:t xml:space="preserve">Cas 3 : Reporting Exécutif</w:t>
      </w:r>
    </w:p>
    <w:p>
      <w:pPr>
        <w:pStyle w:val="ListParagraph"/>
        <w:numPr>
          <w:ilvl w:val="0"/>
          <w:numId w:val="3"/>
        </w:numPr>
      </w:pPr>
      <w:r>
        <w:t xml:space="preserve">Dashboard → Top 10 campagnes actives</w:t>
      </w:r>
    </w:p>
    <w:p>
      <w:pPr>
        <w:pStyle w:val="ListParagraph"/>
        <w:numPr>
          <w:ilvl w:val="0"/>
          <w:numId w:val="3"/>
        </w:numPr>
      </w:pPr>
      <w:r>
        <w:t xml:space="preserve">Dashboard → TTPs les plus observés</w:t>
      </w:r>
    </w:p>
    <w:p>
      <w:pPr>
        <w:pStyle w:val="ListParagraph"/>
        <w:numPr>
          <w:ilvl w:val="0"/>
          <w:numId w:val="3"/>
        </w:numPr>
      </w:pPr>
      <w:r>
        <w:t xml:space="preserve">Dashboard → Évolution des menaces</w:t>
      </w:r>
    </w:p>
    <w:p>
      <w:pPr>
        <w:pStyle w:val="ListParagraph"/>
        <w:numPr>
          <w:ilvl w:val="0"/>
          <w:numId w:val="3"/>
        </w:numPr>
      </w:pPr>
      <w:r>
        <w:t xml:space="preserve">Export → Rapport mensuel PDF</w:t>
      </w:r>
    </w:p>
    <w:p>
      <w:r>
        <w:br w:type="page"/>
      </w:r>
    </w:p>
    <w:p>
      <w:pPr>
        <w:pStyle w:val="Heading1"/>
      </w:pPr>
      <w:r>
        <w:t xml:space="preserve">Avantages d'OpenCTI pour le SOAR</w:t>
      </w:r>
    </w:p>
    <w:p>
      <w:pPr>
        <w:pStyle w:val="Heading2"/>
      </w:pPr>
      <w:r>
        <w:t xml:space="preserve">1. Contextualisation Automatique</w:t>
      </w:r>
    </w:p>
    <w:p>
      <w:pPr>
        <w:spacing w:after="120"/>
      </w:pPr>
      <w:r>
        <w:t xml:space="preserve">Chaque IoC détecté est automatiquement enrichi avec :</w:t>
      </w:r>
    </w:p>
    <w:p>
      <w:pPr>
        <w:pStyle w:val="ListParagraph"/>
        <w:numPr>
          <w:ilvl w:val="0"/>
          <w:numId w:val="2"/>
        </w:numPr>
      </w:pPr>
      <w:r>
        <w:t xml:space="preserve">La campagne associée</w:t>
      </w:r>
    </w:p>
    <w:p>
      <w:pPr>
        <w:pStyle w:val="ListParagraph"/>
        <w:numPr>
          <w:ilvl w:val="0"/>
          <w:numId w:val="2"/>
        </w:numPr>
      </w:pPr>
      <w:r>
        <w:t xml:space="preserve">Le threat actor derrière</w:t>
      </w:r>
    </w:p>
    <w:p>
      <w:pPr>
        <w:pStyle w:val="ListParagraph"/>
        <w:numPr>
          <w:ilvl w:val="0"/>
          <w:numId w:val="2"/>
        </w:numPr>
      </w:pPr>
      <w:r>
        <w:t xml:space="preserve">Les TTPs utilisés</w:t>
      </w:r>
    </w:p>
    <w:p>
      <w:pPr>
        <w:pStyle w:val="ListParagraph"/>
        <w:numPr>
          <w:ilvl w:val="0"/>
          <w:numId w:val="2"/>
        </w:numPr>
      </w:pPr>
      <w:r>
        <w:t xml:space="preserve">Les autres IoC liés</w:t>
      </w:r>
    </w:p>
    <w:p>
      <w:pPr>
        <w:pStyle w:val="Heading2"/>
      </w:pPr>
      <w:r>
        <w:t xml:space="preserve">2. Priorisation Intelligente</w:t>
      </w:r>
    </w:p>
    <w:p>
      <w:pPr>
        <w:pStyle w:val="ListParagraph"/>
        <w:numPr>
          <w:ilvl w:val="0"/>
          <w:numId w:val="2"/>
        </w:numPr>
      </w:pPr>
      <w:r>
        <w:t xml:space="preserve">Un hash inconnu → Priorité moyenne</w:t>
      </w:r>
    </w:p>
    <w:p>
      <w:pPr>
        <w:pStyle w:val="ListParagraph"/>
        <w:numPr>
          <w:ilvl w:val="0"/>
          <w:numId w:val="2"/>
        </w:numPr>
      </w:pPr>
      <w:r>
        <w:t xml:space="preserve">Un hash lié à APT29 → Priorité CRITIQUE</w:t>
      </w:r>
    </w:p>
    <w:p>
      <w:pPr>
        <w:pStyle w:val="ListParagraph"/>
        <w:numPr>
          <w:ilvl w:val="0"/>
          <w:numId w:val="2"/>
        </w:numPr>
      </w:pPr>
      <w:r>
        <w:t xml:space="preserve">Action automatique différente selon le contexte</w:t>
      </w:r>
    </w:p>
    <w:p>
      <w:pPr>
        <w:pStyle w:val="Heading2"/>
      </w:pPr>
      <w:r>
        <w:t xml:space="preserve">3. Knowledge Base Centralisée</w:t>
      </w:r>
    </w:p>
    <w:p>
      <w:pPr>
        <w:pStyle w:val="ListParagraph"/>
        <w:numPr>
          <w:ilvl w:val="0"/>
          <w:numId w:val="2"/>
        </w:numPr>
      </w:pPr>
      <w:r>
        <w:t xml:space="preserve">Toute l'équipe SOC accède aux mêmes informations</w:t>
      </w:r>
    </w:p>
    <w:p>
      <w:pPr>
        <w:pStyle w:val="ListParagraph"/>
        <w:numPr>
          <w:ilvl w:val="0"/>
          <w:numId w:val="2"/>
        </w:numPr>
      </w:pPr>
      <w:r>
        <w:t xml:space="preserve">Historique complet des campagnes</w:t>
      </w:r>
    </w:p>
    <w:p>
      <w:pPr>
        <w:pStyle w:val="ListParagraph"/>
        <w:numPr>
          <w:ilvl w:val="0"/>
          <w:numId w:val="2"/>
        </w:numPr>
      </w:pPr>
      <w:r>
        <w:t xml:space="preserve">Capitalisation de l'expérience</w:t>
      </w:r>
    </w:p>
    <w:p>
      <w:pPr>
        <w:pStyle w:val="Heading2"/>
      </w:pPr>
      <w:r>
        <w:t xml:space="preserve">4. Collaboration</w:t>
      </w:r>
    </w:p>
    <w:p>
      <w:pPr>
        <w:pStyle w:val="ListParagraph"/>
        <w:numPr>
          <w:ilvl w:val="0"/>
          <w:numId w:val="2"/>
        </w:numPr>
      </w:pPr>
      <w:r>
        <w:t xml:space="preserve">Partage sécurisé avec d'autres organisations</w:t>
      </w:r>
    </w:p>
    <w:p>
      <w:pPr>
        <w:pStyle w:val="ListParagraph"/>
        <w:numPr>
          <w:ilvl w:val="0"/>
          <w:numId w:val="2"/>
        </w:numPr>
      </w:pPr>
      <w:r>
        <w:t xml:space="preserve">Import de feeds communautaires</w:t>
      </w:r>
    </w:p>
    <w:p>
      <w:pPr>
        <w:pStyle w:val="ListParagraph"/>
        <w:numPr>
          <w:ilvl w:val="0"/>
          <w:numId w:val="2"/>
        </w:numPr>
      </w:pPr>
      <w:r>
        <w:t xml:space="preserve">Export vers MISP pour distribution</w:t>
      </w:r>
    </w:p>
    <w:p>
      <w:r>
        <w:br w:type="page"/>
      </w:r>
    </w:p>
    <w:p>
      <w:pPr>
        <w:pStyle w:val="Heading1"/>
      </w:pPr>
      <w:r>
        <w:t xml:space="preserve">Annexes</w:t>
      </w:r>
    </w:p>
    <w:p>
      <w:pPr>
        <w:pStyle w:val="Heading2"/>
      </w:pPr>
      <w:r>
        <w:t xml:space="preserve">Commandes Utiles</w:t>
      </w:r>
    </w:p>
    <w:p>
      <w:pPr>
        <w:pStyle w:val="CodeStyle"/>
      </w:pPr>
      <w:r>
        <w:t xml:space="preserve"># Démarrer OpenCTI</w:t>
      </w:r>
    </w:p>
    <w:p>
      <w:pPr>
        <w:pStyle w:val="CodeStyle"/>
      </w:pPr>
      <w:r>
        <w:t xml:space="preserve">cd /opt/opencti &amp;&amp; sudo docker-compose up -d</w:t>
      </w:r>
    </w:p>
    <w:p>
      <w:pPr>
        <w:pStyle w:val="CodeStyle"/>
      </w:pPr>
      <w:r>
        <w:t xml:space="preserve"/>
      </w:r>
    </w:p>
    <w:p>
      <w:pPr>
        <w:pStyle w:val="CodeStyle"/>
      </w:pPr>
      <w:r>
        <w:t xml:space="preserve"># Arrêter OpenCTI</w:t>
      </w:r>
    </w:p>
    <w:p>
      <w:pPr>
        <w:pStyle w:val="CodeStyle"/>
      </w:pPr>
      <w:r>
        <w:t xml:space="preserve">cd /opt/opencti &amp;&amp; sudo docker-compose down</w:t>
      </w:r>
    </w:p>
    <w:p>
      <w:pPr>
        <w:pStyle w:val="CodeStyle"/>
      </w:pPr>
      <w:r>
        <w:t xml:space="preserve"/>
      </w:r>
    </w:p>
    <w:p>
      <w:pPr>
        <w:pStyle w:val="CodeStyle"/>
      </w:pPr>
      <w:r>
        <w:t xml:space="preserve"># Voir les logs</w:t>
      </w:r>
    </w:p>
    <w:p>
      <w:pPr>
        <w:pStyle w:val="CodeStyle"/>
      </w:pPr>
      <w:r>
        <w:t xml:space="preserve">sudo docker-compose logs -f opencti</w:t>
      </w:r>
    </w:p>
    <w:p>
      <w:pPr>
        <w:pStyle w:val="CodeStyle"/>
      </w:pPr>
      <w:r>
        <w:t xml:space="preserve"/>
      </w:r>
    </w:p>
    <w:p>
      <w:pPr>
        <w:pStyle w:val="CodeStyle"/>
      </w:pPr>
      <w:r>
        <w:t xml:space="preserve"># Redémarrer un conteneur spécifique</w:t>
      </w:r>
    </w:p>
    <w:p>
      <w:pPr>
        <w:pStyle w:val="CodeStyle"/>
      </w:pPr>
      <w:r>
        <w:t xml:space="preserve">sudo docker-compose restart opencti</w:t>
      </w:r>
    </w:p>
    <w:p>
      <w:pPr>
        <w:pStyle w:val="CodeStyle"/>
      </w:pPr>
      <w:r>
        <w:t xml:space="preserve"/>
      </w:r>
    </w:p>
    <w:p>
      <w:pPr>
        <w:pStyle w:val="CodeStyle"/>
      </w:pPr>
      <w:r>
        <w:t xml:space="preserve"># Mettre à jour OpenCTI</w:t>
      </w:r>
    </w:p>
    <w:p>
      <w:pPr>
        <w:pStyle w:val="CodeStyle"/>
      </w:pPr>
      <w:r>
        <w:t xml:space="preserve">sudo docker-compose pull</w:t>
      </w:r>
    </w:p>
    <w:p>
      <w:pPr>
        <w:pStyle w:val="CodeStyle"/>
      </w:pPr>
      <w:r>
        <w:t xml:space="preserve">sudo docker-compose up -d</w:t>
      </w:r>
    </w:p>
    <w:p>
      <w:pPr>
        <w:pStyle w:val="Heading2"/>
      </w:pPr>
      <w:r>
        <w:t xml:space="preserve">Résolution de Problèmes</w:t>
      </w:r>
    </w:p>
    <w:p>
      <w:pPr>
        <w:spacing w:after="60"/>
      </w:pPr>
      <w:r>
        <w:rPr>
          <w:b/>
          <w:bCs/>
        </w:rPr>
        <w:t xml:space="preserve">Problème : OpenCTI ne démarre pas</w:t>
      </w:r>
    </w:p>
    <w:p>
      <w:pPr>
        <w:pStyle w:val="CodeStyle"/>
      </w:pPr>
      <w:r>
        <w:t xml:space="preserve"># Vérifier les logs</w:t>
      </w:r>
    </w:p>
    <w:p>
      <w:pPr>
        <w:pStyle w:val="CodeStyle"/>
      </w:pPr>
      <w:r>
        <w:t xml:space="preserve">sudo docker-compose logs opencti</w:t>
      </w:r>
    </w:p>
    <w:p>
      <w:pPr>
        <w:pStyle w:val="CodeStyle"/>
      </w:pPr>
      <w:r>
        <w:t xml:space="preserve"/>
      </w:r>
    </w:p>
    <w:p>
      <w:pPr>
        <w:pStyle w:val="CodeStyle"/>
      </w:pPr>
      <w:r>
        <w:t xml:space="preserve"># Vérifier la RAM disponible</w:t>
      </w:r>
    </w:p>
    <w:p>
      <w:pPr>
        <w:pStyle w:val="CodeStyle"/>
      </w:pPr>
      <w:r>
        <w:t xml:space="preserve">free -h</w:t>
      </w:r>
    </w:p>
    <w:p>
      <w:pPr>
        <w:spacing w:before="120" w:after="60"/>
      </w:pPr>
      <w:r>
        <w:rPr>
          <w:b/>
          <w:bCs/>
        </w:rPr>
        <w:t xml:space="preserve">Problème : Lenteur</w:t>
      </w:r>
    </w:p>
    <w:p>
      <w:pPr>
        <w:pStyle w:val="ListParagraph"/>
        <w:numPr>
          <w:ilvl w:val="0"/>
          <w:numId w:val="2"/>
        </w:numPr>
      </w:pPr>
      <w:r>
        <w:t xml:space="preserve">Augmenter la RAM du serveur (minimum 4GB pour OpenCTI seul)</w:t>
      </w:r>
    </w:p>
    <w:p>
      <w:pPr>
        <w:pStyle w:val="ListParagraph"/>
        <w:numPr>
          <w:ilvl w:val="0"/>
          <w:numId w:val="2"/>
        </w:numPr>
      </w:pPr>
      <w:r>
        <w:t xml:space="preserve">Limiter le nombre de connectors actifs</w:t>
      </w:r>
    </w:p>
    <w:p>
      <w:pPr>
        <w:pStyle w:val="Heading2"/>
      </w:pPr>
      <w:r>
        <w:t xml:space="preserve">Ressources</w:t>
      </w:r>
    </w:p>
    <w:p>
      <w:pPr>
        <w:pStyle w:val="ListParagraph"/>
        <w:numPr>
          <w:ilvl w:val="0"/>
          <w:numId w:val="2"/>
        </w:numPr>
      </w:pPr>
      <w:r>
        <w:t xml:space="preserve">Documentation : https://docs.opencti.io</w:t>
      </w:r>
    </w:p>
    <w:p>
      <w:pPr>
        <w:pStyle w:val="ListParagraph"/>
        <w:numPr>
          <w:ilvl w:val="0"/>
          <w:numId w:val="2"/>
        </w:numPr>
      </w:pPr>
      <w:r>
        <w:t xml:space="preserve">GitHub : https://github.com/OpenCTI-Platform/opencti</w:t>
      </w:r>
    </w:p>
    <w:p>
      <w:pPr>
        <w:pStyle w:val="ListParagraph"/>
        <w:numPr>
          <w:ilvl w:val="0"/>
          <w:numId w:val="2"/>
        </w:numPr>
      </w:pPr>
      <w:r>
        <w:t xml:space="preserve">Connectors : https://github.com/OpenCTI-Platform/connectors</w:t>
      </w:r>
    </w:p>
    <w:p>
      <w:pPr>
        <w:pStyle w:val="ListParagraph"/>
        <w:numPr>
          <w:ilvl w:val="0"/>
          <w:numId w:val="2"/>
        </w:numPr>
      </w:pPr>
      <w:r>
        <w:t xml:space="preserve">Communauté : https://community.filigran.io</w:t>
      </w:r>
    </w:p>
    <w:p>
      <w:pPr>
        <w:spacing w:before="960"/>
        <w:jc w:val="center"/>
      </w:pPr>
      <w:r>
        <w:rPr>
          <w:b/>
          <w:bCs/>
          <w:color w:val="00AA00"/>
          <w:sz w:val="28"/>
          <w:szCs w:val="28"/>
        </w:rPr>
        <w:t xml:space="preserve">✅ OpenCTI Prêt pour l'Intégration SOAR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fldChar w:fldCharType="begin"/>
      <w:instrText xml:space="preserve">PAGE</w:instrText>
      <w:fldChar w:fldCharType="separate"/>
      <w:fldChar w:fldCharType="end"/>
    </w:r>
    <w:r>
      <w:rPr>
        <w:color w:val="666666"/>
        <w:sz w:val="18"/>
        <w:szCs w:val="18"/>
      </w:rP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Guide OpenCTI - Threat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1F4E78"/>
      <w:sz w:val="26"/>
      <w:szCs w:val="26"/>
    </w:rPr>
  </w:style>
  <w:style w:type="paragraph" w:styleId="CodeStyle">
    <w:name w:val="Code"/>
    <w:basedOn w:val="Normal"/>
    <w:pPr>
      <w:spacing w:before="60" w:after="60"/>
    </w:pPr>
    <w:rPr>
      <w:rFonts w:ascii="Courier New" w:cs="Courier New" w:eastAsia="Courier New" w:hAnsi="Courier New"/>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2025-12-28T20:00:05.654Z</dcterms:created>
  <dcterms:modified xsi:type="dcterms:W3CDTF">2025-12-28T20:00:05.655Z</dcterms:modified>
</cp:coreProperties>
</file>

<file path=docProps/custom.xml><?xml version="1.0" encoding="utf-8"?>
<Properties xmlns="http://schemas.openxmlformats.org/officeDocument/2006/custom-properties" xmlns:vt="http://schemas.openxmlformats.org/officeDocument/2006/docPropsVTypes"/>
</file>