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o0xreddgmxn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1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epzossl56pr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_repzossl56pr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khjjzitn8bo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_tkhjjzitn8bo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oo5k4q8u8lsc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_oo5k4q8u8lsc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nuk7wvzbzj4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18 de Abril hasta el 2 de 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v3uxrrh1xwf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repzossl56pr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Terminar la documentación adjunta al Modelado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Realizar el diagrama de secuencia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Familiarización con Spring y las herramientas a usar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Implementar la clase Usuario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Empezar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con las funcionalidades de la publicación de Pedidos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tkhjjzitn8bo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documentación adjunta al modelado se encargará el equipo por completo.</w:t>
      </w:r>
    </w:p>
    <w:p w:rsidR="00000000" w:rsidDel="00000000" w:rsidP="00000000" w:rsidRDefault="00000000" w:rsidRPr="00000000" w14:paraId="0000004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realización del  diagrama de secuencia se encargarán Raúl, Pedro y Manuel</w:t>
      </w:r>
    </w:p>
    <w:p w:rsidR="00000000" w:rsidDel="00000000" w:rsidP="00000000" w:rsidRDefault="00000000" w:rsidRPr="00000000" w14:paraId="0000004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familiarización de la herramienta para aquellos que crean conveniente aprender a usarla.</w:t>
      </w:r>
    </w:p>
    <w:p w:rsidR="00000000" w:rsidDel="00000000" w:rsidP="00000000" w:rsidRDefault="00000000" w:rsidRPr="00000000" w14:paraId="0000004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 la clase Usuario se encargarán Jesús,  Alejandro Garau y Pedro</w:t>
      </w:r>
    </w:p>
    <w:p w:rsidR="00000000" w:rsidDel="00000000" w:rsidP="00000000" w:rsidRDefault="00000000" w:rsidRPr="00000000" w14:paraId="0000004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 las funcionalidades de publicación de Pedidos Alejandro Megías, Manuel, Raúl</w:t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84j78hawuoo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oo5k4q8u8lsc" w:id="7"/>
      <w:bookmarkEnd w:id="7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layfair Display" w:cs="Playfair Display" w:eastAsia="Playfair Display" w:hAnsi="Playfair Display"/>
                <w:b w:val="1"/>
                <w:highlight w:val="whit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highlight w:val="white"/>
              </w:rPr>
              <w:drawing>
                <wp:inline distB="114300" distT="114300" distL="114300" distR="114300">
                  <wp:extent cx="5591175" cy="863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layfair Display" w:cs="Playfair Display" w:eastAsia="Playfair Display" w:hAnsi="Playfair Display"/>
                <w:highlight w:val="whit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highlight w:val="white"/>
                <w:rtl w:val="0"/>
              </w:rPr>
              <w:t xml:space="preserve">Figura 1: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highlight w:val="white"/>
                <w:rtl w:val="0"/>
              </w:rPr>
              <w:t xml:space="preserve">Planificación del Sprint 1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