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50a325094a205b67cb1f5a3148b495f764184e"/>
    <w:p>
      <w:pPr>
        <w:pStyle w:val="Heading1"/>
      </w:pPr>
      <w:r>
        <w:t xml:space="preserve">CHAPTER 5: CONFORMAL PREDICTION, MC DROPOUT, K-FOLD CV, AND OOD DETECTION (PHASE 2)</w:t>
      </w:r>
    </w:p>
    <w:p>
      <w:pPr>
        <w:pStyle w:val="FirstParagraph"/>
      </w:pPr>
      <w:r>
        <w:t xml:space="preserve">This chapter implements the second research question of the thesis:</w:t>
      </w:r>
      <w:r>
        <w:t xml:space="preserve"> </w:t>
      </w:r>
      <w:r>
        <w:rPr>
          <w:i/>
          <w:iCs/>
        </w:rPr>
        <w:t xml:space="preserve">what is the most useful uncertainty signal for selective prediction and out-of-distribution detection, and can a conformal-prediction wrapper provide a finite-sample coverage guarantee?</w:t>
      </w:r>
      <w:r>
        <w:t xml:space="preserve"> </w:t>
      </w:r>
      <w:r>
        <w:t xml:space="preserve">Section 5.1 reports split conformal prediction with both LAC and APS scores at α = 0.10 and α = 0.05. Section 5.2 covers Monte Carlo Dropout. Section 5.3 reports out-of-distribution detection results. Section 5.4 presents the 5-fold cross-validation of ResNet50. Section 5.5 summarises the lessons of Phase 2.</w:t>
      </w:r>
    </w:p>
    <w:bookmarkStart w:id="13" w:name="X46d256636062c18ce4ebe261af1f3f466eb4c75"/>
    <w:p>
      <w:pPr>
        <w:pStyle w:val="Heading2"/>
      </w:pPr>
      <w:r>
        <w:t xml:space="preserve">5.1 Split Conformal Prediction</w:t>
      </w:r>
    </w:p>
    <w:bookmarkStart w:id="9" w:name="X40be9c7a50da95425629e801495c59dde9a160a"/>
    <w:p>
      <w:pPr>
        <w:pStyle w:val="Heading3"/>
      </w:pPr>
      <w:r>
        <w:t xml:space="preserve">5.1.1 Setup</w:t>
      </w:r>
    </w:p>
    <w:p>
      <w:pPr>
        <w:pStyle w:val="FirstParagraph"/>
      </w:pPr>
      <w:r>
        <w:t xml:space="preserve">The validation set (550 images) is used as the conformal calibration set. Two scoring rules — LAC and APS — and two coverage targets — α = 0.10 and α = 0.05 — give four configurations per model. The non-conformity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computed with the finite-sample correction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/</m:t>
        </m:r>
        <m:r>
          <m:t>n</m:t>
        </m:r>
      </m:oMath>
      <w:r>
        <w:t xml:space="preserve">, using</w:t>
      </w:r>
      <w:r>
        <w:t xml:space="preserve"> </w:t>
      </w:r>
      <w:r>
        <w:rPr>
          <w:rStyle w:val="VerbatimChar"/>
        </w:rPr>
        <w:t xml:space="preserve">np.quantile(..., method='higher')</w:t>
      </w:r>
      <w:r>
        <w:t xml:space="preserve">.</w:t>
      </w:r>
    </w:p>
    <w:bookmarkEnd w:id="9"/>
    <w:bookmarkStart w:id="10" w:name="X4299f653a42f212f1b6908a128927dbeb28c748"/>
    <w:p>
      <w:pPr>
        <w:pStyle w:val="Heading3"/>
      </w:pPr>
      <w:r>
        <w:t xml:space="preserve">5.1.2 Per-Model Coverage at α = 0.10</w:t>
      </w:r>
    </w:p>
    <w:p>
      <w:pPr>
        <w:pStyle w:val="FirstParagraph"/>
      </w:pPr>
      <w:r>
        <w:rPr>
          <w:b/>
          <w:bCs/>
        </w:rPr>
        <w:t xml:space="preserve">Table 5.1.</w:t>
      </w:r>
      <w:r>
        <w:t xml:space="preserve"> </w:t>
      </w:r>
      <w:r>
        <w:t xml:space="preserve">Conformal prediction at α = 0.10 (target 90% coverage). Coverage is the fraction of test points whose true label falls inside the conformal set; mean size is the average |C(x)|. Singleton correct rate is the accuracy among test points whose set has size 1; abstain rate is the fraction of two-class sets {0, 1}; empty rate is the fraction of empty sets.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Singleton 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Abstain {0,1}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Xception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Xception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VGG16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98.05%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(T+R)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(T+R)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Ensemble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97.84%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10.4%</w:t>
            </w:r>
          </w:p>
        </w:tc>
      </w:tr>
    </w:tbl>
    <w:p>
      <w:pPr>
        <w:pStyle w:val="BodyText"/>
      </w:pPr>
      <w:r>
        <w:t xml:space="preserve">Several patterns are visible in the table.</w:t>
      </w:r>
    </w:p>
    <w:p>
      <w:pPr>
        <w:pStyle w:val="BodyText"/>
      </w:pPr>
      <w:r>
        <w:rPr>
          <w:b/>
          <w:bCs/>
        </w:rPr>
        <w:t xml:space="preserve">Coverage tracks the target.</w:t>
      </w:r>
      <w:r>
        <w:t xml:space="preserve"> </w:t>
      </w:r>
      <w:r>
        <w:t xml:space="preserve">Every method lands at 87% to 93% empirical coverage, on either side of the 90% target. This empirically validates the conformal procedure: the prescribed coverage rate is honoured, even though no model is perfectly calibrated.</w:t>
      </w:r>
    </w:p>
    <w:p>
      <w:pPr>
        <w:pStyle w:val="BodyText"/>
      </w:pPr>
      <w:r>
        <w:rPr>
          <w:b/>
          <w:bCs/>
        </w:rPr>
        <w:t xml:space="preserve">LAC produces no abstain sets but admits empty sets.</w:t>
      </w:r>
      <w:r>
        <w:t xml:space="preserve"> </w:t>
      </w:r>
      <w:r>
        <w:t xml:space="preserve">In binary LAC, the prediction set contains a class iff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≤</m:t>
        </m:r>
        <m:acc>
          <m:accPr>
            <m:chr m:val="̂"/>
          </m:accPr>
          <m:e>
            <m:r>
              <m:t>q</m:t>
            </m:r>
          </m:e>
        </m:acc>
      </m:oMath>
      <w:r>
        <w:t xml:space="preserve">. Since this condition is symmetric in</w:t>
      </w:r>
      <w:r>
        <w:t xml:space="preserve"> </w:t>
      </w:r>
      <m:oMath>
        <m:r>
          <m:t>y</m:t>
        </m:r>
      </m:oMath>
      <w:r>
        <w:t xml:space="preserve">, sets of size 2 only occur when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below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, which happens when the prediction is in the middle of the probability range. Empty sets occur when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are above the threshold, i.e., when neither class meets the inclusion criterion — the model expresses no opinion. LAC produces 4 to 9% empty sets and 0% two-class sets.</w:t>
      </w:r>
    </w:p>
    <w:p>
      <w:pPr>
        <w:pStyle w:val="BodyText"/>
      </w:pPr>
      <w:r>
        <w:rPr>
          <w:b/>
          <w:bCs/>
        </w:rPr>
        <w:t xml:space="preserve">APS produces fewer empty sets and more abstain sets.</w:t>
      </w:r>
      <w:r>
        <w:t xml:space="preserve"> </w:t>
      </w:r>
      <w:r>
        <w:t xml:space="preserve">APS adds randomised tie-breaking, which causes more sets of size 2 (4 to 10%) and fewer empty sets (8 to 9%). For clinical use, two-class sets are more useful than empty sets — they say "the answer is one of these two" rather than "I have no opinion".</w:t>
      </w:r>
    </w:p>
    <w:p>
      <w:pPr>
        <w:pStyle w:val="BodyText"/>
      </w:pPr>
      <w:r>
        <w:rPr>
          <w:b/>
          <w:bCs/>
        </w:rPr>
        <w:t xml:space="preserve">VGG16 + LAC has the highest singleton correct rate (98.05%).</w:t>
      </w:r>
      <w:r>
        <w:t xml:space="preserve"> </w:t>
      </w:r>
      <w:r>
        <w:t xml:space="preserve">When the prediction set is a single class, VGG16 is correct 98% of the time. This is materially better than the ensemble (97.84%) and substantially better than the worst model (CNN(T+R) at 94.69%).</w:t>
      </w:r>
    </w:p>
    <w:p>
      <w:pPr>
        <w:pStyle w:val="BodyText"/>
      </w:pPr>
      <w:r>
        <w:rPr>
          <w:b/>
          <w:bCs/>
        </w:rPr>
        <w:t xml:space="preserve">The ensemble's empty-set rate (7.5% LAC, 10.4% APS) is high.</w:t>
      </w:r>
      <w:r>
        <w:t xml:space="preserve"> </w:t>
      </w:r>
      <w:r>
        <w:t xml:space="preserve">Disagreement among the six members forces conformal to abstain. This is consistent with the observation in Chapter 4 that the ensemble is more conservative than any single model.</w:t>
      </w:r>
    </w:p>
    <w:bookmarkEnd w:id="10"/>
    <w:bookmarkStart w:id="11" w:name="X7e976d97565ba6365fbb2c2041ef35f9736c7ff"/>
    <w:p>
      <w:pPr>
        <w:pStyle w:val="Heading3"/>
      </w:pPr>
      <w:r>
        <w:t xml:space="preserve">5.1.3 Per-Model Coverage at α = 0.05</w:t>
      </w:r>
    </w:p>
    <w:p>
      <w:pPr>
        <w:pStyle w:val="FirstParagraph"/>
      </w:pPr>
      <w:r>
        <w:rPr>
          <w:b/>
          <w:bCs/>
        </w:rPr>
        <w:t xml:space="preserve">Table 5.2.</w:t>
      </w:r>
      <w:r>
        <w:t xml:space="preserve"> </w:t>
      </w:r>
      <w:r>
        <w:t xml:space="preserve">Conformal prediction at α = 0.05 (target 95% coverage). Selected rows; full table at</w:t>
      </w:r>
      <w:r>
        <w:t xml:space="preserve"> </w:t>
      </w:r>
      <w:r>
        <w:rPr>
          <w:rStyle w:val="VerbatimChar"/>
        </w:rPr>
        <w:t xml:space="preserve">master/results/phase2/conformal_results.csv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Singleton 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Abstain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Xception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96.00%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(T+R)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</w:tbl>
    <w:p>
      <w:pPr>
        <w:pStyle w:val="BodyText"/>
      </w:pPr>
      <w:r>
        <w:t xml:space="preserve">At target 95%, the CNN with LAC achieves 96.0% empirical coverage with mean set size exactly 1.00 and zero abstentions. Every test point gets a single-class decision, and the conformal calibration finds a clean threshold under which the marginal coverage guarantee is honoured. Xception with LAC is similarly well-behaved.</w:t>
      </w:r>
    </w:p>
    <w:p>
      <w:pPr>
        <w:pStyle w:val="BodyText"/>
      </w:pPr>
      <w:r>
        <w:t xml:space="preserve">The Ensemble at α = 0.05 is interesting: APS coverage is 95.64% with 12% of cases assigned a two-class set (clinically meaningful "refer for further review"). This may be the most clinically useful single configuration in the binary problem: 88% of cases auto-classified, 12% deferred, no empty sets.</w:t>
      </w:r>
    </w:p>
    <w:bookmarkEnd w:id="11"/>
    <w:bookmarkStart w:id="12" w:name="Xac2186f15a5092d49a570c94ed931bb11c1dfc2"/>
    <w:p>
      <w:pPr>
        <w:pStyle w:val="Heading3"/>
      </w:pPr>
      <w:r>
        <w:t xml:space="preserve">5.1.4 Interpretation for Clinical Workflow</w:t>
      </w:r>
    </w:p>
    <w:p>
      <w:pPr>
        <w:pStyle w:val="FirstParagraph"/>
      </w:pPr>
      <w:r>
        <w:t xml:space="preserve">Conformal prediction transforms a point classifier into a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classifier with a statistically grounded refer-to-clinician rule. A set of size 1 is a confident verdict. A set of size 2 (in binary) means the system explicitly cannot decide. An empty set, when it occurs, indicates either an outlier input or a calibration mismatch and should also trigger human review.</w:t>
      </w:r>
    </w:p>
    <w:p>
      <w:pPr>
        <w:pStyle w:val="BodyText"/>
      </w:pPr>
      <w:r>
        <w:t xml:space="preserve">For the screening setting envisaged in this thesis, the most appropriate configuration is</w:t>
      </w:r>
      <w:r>
        <w:t xml:space="preserve"> </w:t>
      </w:r>
      <w:r>
        <w:rPr>
          <w:b/>
          <w:bCs/>
        </w:rPr>
        <w:t xml:space="preserve">APS at α = 0.10</w:t>
      </w:r>
      <w:r>
        <w:t xml:space="preserve"> </w:t>
      </w:r>
      <w:r>
        <w:t xml:space="preserve">with the ensemble or with VGG16: empirical coverage of approximately 90%, single-class verdicts for ~85% of cases, two-class "refer" sets for ~5%, and empty sets for ~10% (which we conservatively also refer). This gives the clinician a reliable triage signal that maps onto the existing referral workflow.</w:t>
      </w:r>
    </w:p>
    <w:bookmarkEnd w:id="12"/>
    <w:bookmarkEnd w:id="13"/>
    <w:bookmarkStart w:id="17" w:name="X8fefb96eb73360760ef42cf9cc120b8d5ae8e7e"/>
    <w:p>
      <w:pPr>
        <w:pStyle w:val="Heading2"/>
      </w:pPr>
      <w:r>
        <w:t xml:space="preserve">5.2 Monte Carlo Dropout</w:t>
      </w:r>
    </w:p>
    <w:bookmarkStart w:id="14" w:name="Xb149f38904f0afab2caf7f768b1eede198edf5c"/>
    <w:p>
      <w:pPr>
        <w:pStyle w:val="Heading3"/>
      </w:pPr>
      <w:r>
        <w:t xml:space="preserve">5.2.1 Architectures and Training</w:t>
      </w:r>
    </w:p>
    <w:p>
      <w:pPr>
        <w:pStyle w:val="FirstParagraph"/>
      </w:pPr>
      <w:r>
        <w:t xml:space="preserve">Two MC Dropout networks were trained with the same Phase 1 pipeline plus dropout layers: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cnn_mcd</w:t>
      </w:r>
      <w:r>
        <w:t xml:space="preserve">: 3-block CNN with</w:t>
      </w:r>
      <w:r>
        <w:t xml:space="preserve"> </w:t>
      </w:r>
      <w:r>
        <w:rPr>
          <w:rStyle w:val="VerbatimChar"/>
        </w:rPr>
        <w:t xml:space="preserve">SpatialDropout2D(0.3)</w:t>
      </w:r>
      <w:r>
        <w:t xml:space="preserve"> </w:t>
      </w:r>
      <w:r>
        <w:t xml:space="preserve">after each conv-pool pair and</w:t>
      </w:r>
      <w:r>
        <w:t xml:space="preserve"> </w:t>
      </w:r>
      <w:r>
        <w:rPr>
          <w:rStyle w:val="VerbatimChar"/>
        </w:rPr>
        <w:t xml:space="preserve">Dropout(0.3)</w:t>
      </w:r>
      <w:r>
        <w:t xml:space="preserve"> </w:t>
      </w:r>
      <w:r>
        <w:t xml:space="preserve">before the classifier.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resnet50_mcd</w:t>
      </w:r>
      <w:r>
        <w:t xml:space="preserve">: ResNet50 transfer learning with</w:t>
      </w:r>
      <w:r>
        <w:t xml:space="preserve"> </w:t>
      </w:r>
      <w:r>
        <w:rPr>
          <w:rStyle w:val="VerbatimChar"/>
        </w:rPr>
        <w:t xml:space="preserve">Dropout(0.3)</w:t>
      </w:r>
      <w:r>
        <w:t xml:space="preserve"> </w:t>
      </w:r>
      <w:r>
        <w:t xml:space="preserve">before the dense head, base frozen.</w:t>
      </w:r>
    </w:p>
    <w:p>
      <w:pPr>
        <w:pStyle w:val="FirstParagraph"/>
      </w:pPr>
      <w:r>
        <w:t xml:space="preserve">Training stopped via early stopping at epoch ~35 for cnn_mcd and ~50 for resnet50_mcd.</w:t>
      </w:r>
    </w:p>
    <w:bookmarkEnd w:id="14"/>
    <w:bookmarkStart w:id="15" w:name="Xd7f19dff11e857149d210d41540c3479afa3e73"/>
    <w:p>
      <w:pPr>
        <w:pStyle w:val="Heading3"/>
      </w:pPr>
      <w:r>
        <w:t xml:space="preserve">5.2.2 Inference and Aggregation</w:t>
      </w:r>
    </w:p>
    <w:p>
      <w:pPr>
        <w:pStyle w:val="FirstParagraph"/>
      </w:pPr>
      <w:r>
        <w:t xml:space="preserve">At inference, T = 30 stochastic forward passes are performed per test image with</w:t>
      </w:r>
      <w:r>
        <w:t xml:space="preserve"> </w:t>
      </w:r>
      <w:r>
        <w:rPr>
          <w:rStyle w:val="VerbatimChar"/>
        </w:rPr>
        <w:t xml:space="preserve">training=True</w:t>
      </w:r>
      <w:r>
        <w:t xml:space="preserve"> </w:t>
      </w:r>
      <w:r>
        <w:t xml:space="preserve">so that dropout remains active. The per-pass probabilities are aggregated into mean, standard deviation, predictive entropy, mean per-pass entropy, and mutual information.</w:t>
      </w:r>
    </w:p>
    <w:p>
      <w:pPr>
        <w:pStyle w:val="BodyText"/>
      </w:pPr>
      <w:r>
        <w:rPr>
          <w:b/>
          <w:bCs/>
        </w:rPr>
        <w:t xml:space="preserve">Table 5.3.</w:t>
      </w:r>
      <w:r>
        <w:t xml:space="preserve"> </w:t>
      </w:r>
      <w:r>
        <w:t xml:space="preserve">MC Dropout results on the 550-image test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Det.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Det.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Det. 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MC 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σ 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σ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cnn_mcd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91.09%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resnet50_mcd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0.130</w:t>
            </w:r>
          </w:p>
        </w:tc>
      </w:tr>
    </w:tbl>
    <w:p>
      <w:pPr>
        <w:pStyle w:val="BodyText"/>
      </w:pPr>
      <w:r>
        <w:t xml:space="preserve">Three observations follow.</w:t>
      </w:r>
    </w:p>
    <w:p>
      <w:pPr>
        <w:pStyle w:val="BodyText"/>
      </w:pPr>
      <w:r>
        <w:rPr>
          <w:b/>
          <w:bCs/>
        </w:rPr>
        <w:t xml:space="preserve">MC averaging gives a small accuracy bump for cnn_mcd</w:t>
      </w:r>
      <w:r>
        <w:t xml:space="preserve"> </w:t>
      </w:r>
      <w:r>
        <w:t xml:space="preserve">(+0.36 pp from 90.73% deterministic to 91.09% MC). The randomised network is essentially an ensemble of many sub-networks; averaging T draws stabilises the prediction. For resnet50_mcd, the deterministic and MC accuracies coincide.</w:t>
      </w:r>
    </w:p>
    <w:p>
      <w:pPr>
        <w:pStyle w:val="BodyText"/>
      </w:pPr>
      <w:r>
        <w:rPr>
          <w:b/>
          <w:bCs/>
        </w:rPr>
        <w:t xml:space="preserve">The σ signal is clearly informative.</w:t>
      </w:r>
      <w:r>
        <w:t xml:space="preserve"> </w:t>
      </w:r>
      <w:r>
        <w:t xml:space="preserve">On wrong predictions, the average MC standard deviation is 3 to 4 times larger than on correct predictions (0.130 vs 0.043 for resnet50_mcd). This means that high σ flags inputs that the system gets wrong — exactly the property needed for a refer-to-clinician decision.</w:t>
      </w:r>
    </w:p>
    <w:p>
      <w:pPr>
        <w:pStyle w:val="BodyText"/>
      </w:pPr>
      <w:r>
        <w:rPr>
          <w:rStyle w:val="VerbatimChar"/>
          <w:b/>
          <w:bCs/>
        </w:rPr>
        <w:t xml:space="preserve">resnet50_mcd</w:t>
      </w:r>
      <w:r>
        <w:rPr>
          <w:b/>
          <w:bCs/>
        </w:rPr>
        <w:t xml:space="preserve"> </w:t>
      </w:r>
      <w:r>
        <w:rPr>
          <w:b/>
          <w:bCs/>
        </w:rPr>
        <w:t xml:space="preserve">is the strongest single model in the thesis</w:t>
      </w:r>
      <w:r>
        <w:t xml:space="preserve"> </w:t>
      </w:r>
      <w:r>
        <w:t xml:space="preserve">at 96.18% test accuracy, narrowly exceeding the non-dropout ResNet50 (95.27%) and matching or beating every other architecture from Chapter 4. The dropout in the head acts as effective regularisation on this small dataset.</w:t>
      </w:r>
    </w:p>
    <w:bookmarkEnd w:id="15"/>
    <w:bookmarkStart w:id="16" w:name="X5cfd8c482b3341d4ad18a9caa93e8d3809ae4b6"/>
    <w:p>
      <w:pPr>
        <w:pStyle w:val="Heading3"/>
      </w:pPr>
      <w:r>
        <w:t xml:space="preserve">5.2.3 Risk-Coverage with MC Signals</w:t>
      </w:r>
    </w:p>
    <w:p>
      <w:pPr>
        <w:pStyle w:val="FirstParagraph"/>
      </w:pPr>
      <w:r>
        <w:t xml:space="preserve">For resnet50_mcd:</w:t>
      </w:r>
    </w:p>
    <w:p>
      <w:pPr>
        <w:pStyle w:val="Compact"/>
        <w:numPr>
          <w:ilvl w:val="0"/>
          <w:numId w:val="1002"/>
        </w:numPr>
      </w:pPr>
      <w:r>
        <w:t xml:space="preserve">Predictive entropy at 90% coverage → 97.78% selective accuracy.</w:t>
      </w:r>
    </w:p>
    <w:p>
      <w:pPr>
        <w:pStyle w:val="Compact"/>
        <w:numPr>
          <w:ilvl w:val="0"/>
          <w:numId w:val="1002"/>
        </w:numPr>
      </w:pPr>
      <w:r>
        <w:t xml:space="preserve">Predictive entropy at 50% coverage → 99.27%.</w:t>
      </w:r>
    </w:p>
    <w:p>
      <w:pPr>
        <w:pStyle w:val="FirstParagraph"/>
      </w:pPr>
      <w:r>
        <w:t xml:space="preserve">For cnn_mcd:</w:t>
      </w:r>
    </w:p>
    <w:p>
      <w:pPr>
        <w:pStyle w:val="Compact"/>
        <w:numPr>
          <w:ilvl w:val="0"/>
          <w:numId w:val="1003"/>
        </w:numPr>
      </w:pPr>
      <w:r>
        <w:t xml:space="preserve">Predictive entropy at 90% coverage → 94.34%.</w:t>
      </w:r>
    </w:p>
    <w:p>
      <w:pPr>
        <w:pStyle w:val="Compact"/>
        <w:numPr>
          <w:ilvl w:val="0"/>
          <w:numId w:val="1003"/>
        </w:numPr>
      </w:pPr>
      <w:r>
        <w:t xml:space="preserve">Predictive entropy at 50% coverage → 98.91%.</w:t>
      </w:r>
    </w:p>
    <w:p>
      <w:pPr>
        <w:pStyle w:val="FirstParagraph"/>
      </w:pPr>
      <w:r>
        <w:t xml:space="preserve">resnet50_mcd dominates: at 50% coverage (the most-confident half of the test set), accuracy is 99.27% — clinical-grade precision while deferring half the cases to human review. This is the strongest selective-prediction result in the thesis.</w:t>
      </w:r>
    </w:p>
    <w:bookmarkEnd w:id="16"/>
    <w:bookmarkEnd w:id="17"/>
    <w:bookmarkStart w:id="21" w:name="X2557429ae32b15bf92f7b979b13de6be6547c9a"/>
    <w:p>
      <w:pPr>
        <w:pStyle w:val="Heading2"/>
      </w:pPr>
      <w:r>
        <w:t xml:space="preserve">5.3 Out-of-Distribution Detection</w:t>
      </w:r>
    </w:p>
    <w:bookmarkStart w:id="18" w:name="X880234d9d6d60a14abec82814f480a82e80f91e"/>
    <w:p>
      <w:pPr>
        <w:pStyle w:val="Heading3"/>
      </w:pPr>
      <w:r>
        <w:t xml:space="preserve">5.3.1 Setup</w:t>
      </w:r>
    </w:p>
    <w:p>
      <w:pPr>
        <w:pStyle w:val="FirstParagraph"/>
      </w:pPr>
      <w:r>
        <w:t xml:space="preserve">In-distribution (ID) inputs are the 550 fundus images of the test set. Out-of-distribution (OOD) inputs are 300 synthetic images of uniform random noise, preprocessed identically to the ID images. DenseNet121 (ImageNet-pretrained, frozen) is used both as the classifier and as the 1024-dim feature extractor for distance-based methods. Per-class means and a shared covariance for Mahalanobis are fitted on the validation set.</w:t>
      </w:r>
    </w:p>
    <w:bookmarkEnd w:id="18"/>
    <w:bookmarkStart w:id="19" w:name="Xb3536d0aef17fd3443766878658a27ff79da789"/>
    <w:p>
      <w:pPr>
        <w:pStyle w:val="Heading3"/>
      </w:pPr>
      <w:r>
        <w:t xml:space="preserve">5.3.2 Results</w:t>
      </w:r>
    </w:p>
    <w:p>
      <w:pPr>
        <w:pStyle w:val="FirstParagraph"/>
      </w:pPr>
      <w:r>
        <w:rPr>
          <w:b/>
          <w:bCs/>
        </w:rPr>
        <w:t xml:space="preserve">Table 5.4.</w:t>
      </w:r>
      <w:r>
        <w:t xml:space="preserve"> </w:t>
      </w:r>
      <w:r>
        <w:t xml:space="preserve">OOD detection metrics. AUROC is the area under the ROC curve for ID-vs-OOD separation; FPR @ TPR=95% is the false-positive rate among ID inputs when 95% of OOD inputs are correctly flagged.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AUROC (ID vs OOD)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FPR @ TPR=95%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Softmax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29.6%</w:t>
            </w:r>
          </w:p>
        </w:tc>
        <w:tc>
          <w:tcPr/>
          <w:p>
            <w:pPr>
              <w:pStyle w:val="Compact"/>
            </w:pPr>
            <w:r>
              <w:t xml:space="preserve">Fails — softmax over-confidence on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Useful, not perfect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Mahalanobis distance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Cosine to ID centroid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Perfect separation</w:t>
            </w:r>
          </w:p>
        </w:tc>
      </w:tr>
    </w:tbl>
    <w:p>
      <w:pPr>
        <w:pStyle w:val="BodyText"/>
      </w:pPr>
      <w:r>
        <w:t xml:space="preserve">Several conclusions follow.</w:t>
      </w:r>
    </w:p>
    <w:p>
      <w:pPr>
        <w:pStyle w:val="BodyText"/>
      </w:pPr>
      <w:r>
        <w:rPr>
          <w:b/>
          <w:bCs/>
        </w:rPr>
        <w:t xml:space="preserve">Output-space methods (MSP) fail.</w:t>
      </w:r>
      <w:r>
        <w:t xml:space="preserve"> </w:t>
      </w:r>
      <w:r>
        <w:t xml:space="preserve">The classifier produces high-confidence predictions even on uniform-noise inputs because the dense head cannot help but produce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probability. MSP is therefore close to chance.</w:t>
      </w:r>
    </w:p>
    <w:p>
      <w:pPr>
        <w:pStyle w:val="BodyText"/>
      </w:pPr>
      <w:r>
        <w:rPr>
          <w:b/>
          <w:bCs/>
        </w:rPr>
        <w:t xml:space="preserve">Energy is useful but not perfect.</w:t>
      </w:r>
      <w:r>
        <w:t xml:space="preserve"> </w:t>
      </w:r>
      <w:r>
        <w:t xml:space="preserve">The unbounded log-sum-exp avoids softmax saturation and pushes ID and OOD distributions apart, but the separation is not complete.</w:t>
      </w:r>
    </w:p>
    <w:p>
      <w:pPr>
        <w:pStyle w:val="BodyText"/>
      </w:pPr>
      <w:r>
        <w:rPr>
          <w:b/>
          <w:bCs/>
        </w:rPr>
        <w:t xml:space="preserve">Feature-space methods are perfect for noise OOD.</w:t>
      </w:r>
      <w:r>
        <w:t xml:space="preserve"> </w:t>
      </w:r>
      <w:r>
        <w:t xml:space="preserve">Random pixels produce CNN features that are very far from the manifold of fundus images in feature space. Mahalanobis distance and cosine distance to the centroid both achieve AUROC = 1.0 with zero false alarms at TPR = 95%.</w:t>
      </w:r>
    </w:p>
    <w:bookmarkEnd w:id="19"/>
    <w:bookmarkStart w:id="20" w:name="X8dd513ebf135cca7bd5b54f51f3b141a103fe55"/>
    <w:p>
      <w:pPr>
        <w:pStyle w:val="Heading3"/>
      </w:pPr>
      <w:r>
        <w:t xml:space="preserve">5.3.3 Caveats</w:t>
      </w:r>
    </w:p>
    <w:p>
      <w:pPr>
        <w:pStyle w:val="FirstParagraph"/>
      </w:pPr>
      <w:r>
        <w:t xml:space="preserve">Synthetic uniform noise is the</w:t>
      </w:r>
      <w:r>
        <w:t xml:space="preserve"> </w:t>
      </w:r>
      <w:r>
        <w:rPr>
          <w:i/>
          <w:iCs/>
        </w:rPr>
        <w:t xml:space="preserve">easy</w:t>
      </w:r>
      <w:r>
        <w:t xml:space="preserve"> </w:t>
      </w:r>
      <w:r>
        <w:t xml:space="preserve">case for OOD detection. Real-world OOD inputs — chest X-rays, fundus images from a different camera, low-quality phone photos — would lie much closer to the training manifold and would likely yield AUROC values in the 0.80 to 0.95 range. A proper cross-dataset evaluation on Messidor-2 or IDRiD is therefore left as future work; the infrastructure to run it is in place (</w:t>
      </w:r>
      <w:r>
        <w:rPr>
          <w:rStyle w:val="VerbatimChar"/>
        </w:rPr>
        <w:t xml:space="preserve">master/run_cross_dataset.py</w:t>
      </w:r>
      <w:r>
        <w:t xml:space="preserve">). The present synthetic-OOD result confirms that the feature-space approach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detect distribution shift in principle, but the magnitude of the effect on real OOD remains to be quantified.</w:t>
      </w:r>
    </w:p>
    <w:bookmarkEnd w:id="20"/>
    <w:bookmarkEnd w:id="21"/>
    <w:bookmarkStart w:id="27" w:name="Xa6b5c49fc56be136fc5713b8fbcf821e7c05140"/>
    <w:p>
      <w:pPr>
        <w:pStyle w:val="Heading2"/>
      </w:pPr>
      <w:r>
        <w:t xml:space="preserve">5.4 K-Fold Cross-Validation of ResNet50</w:t>
      </w:r>
    </w:p>
    <w:bookmarkStart w:id="22" w:name="X120fcc7aee8ce4aea276a0d77973acd4e902b4b"/>
    <w:p>
      <w:pPr>
        <w:pStyle w:val="Heading3"/>
      </w:pPr>
      <w:r>
        <w:t xml:space="preserve">5.4.1 Motivation</w:t>
      </w:r>
    </w:p>
    <w:p>
      <w:pPr>
        <w:pStyle w:val="FirstParagraph"/>
      </w:pPr>
      <w:r>
        <w:t xml:space="preserve">Phase 1 reported a single test estimate of 95.27% for ResNet50, with bootstrap CI [93.45, 97.09]. Two questions remained: how stable is this estimate across different training runs, and how confident can we be that the ensemble's 96.55% is materially different from ResNet50's 95.27%?</w:t>
      </w:r>
    </w:p>
    <w:bookmarkEnd w:id="22"/>
    <w:bookmarkStart w:id="23" w:name="Xc24744af1d418440f9cab98020d2f4f698e82d6"/>
    <w:p>
      <w:pPr>
        <w:pStyle w:val="Heading3"/>
      </w:pPr>
      <w:r>
        <w:t xml:space="preserve">5.4.2 Protocol</w:t>
      </w:r>
    </w:p>
    <w:p>
      <w:pPr>
        <w:pStyle w:val="FirstParagraph"/>
      </w:pPr>
      <w:r>
        <w:t xml:space="preserve">ResNet50 is retrained 5 times on stratified folds of the 3,112-sample train+val pool, with the test set held fixed at 550 images. Each fold trains for up to 30 epochs with early stopping (patience = 6).</w:t>
      </w:r>
    </w:p>
    <w:bookmarkEnd w:id="23"/>
    <w:bookmarkStart w:id="24" w:name="X1d925cb32bae6644ac557e4ed9b8c9c96601239"/>
    <w:p>
      <w:pPr>
        <w:pStyle w:val="Heading3"/>
      </w:pPr>
      <w:r>
        <w:t xml:space="preserve">5.4.3 Per-Fold Results</w:t>
      </w:r>
    </w:p>
    <w:p>
      <w:pPr>
        <w:pStyle w:val="FirstParagraph"/>
      </w:pPr>
      <w:r>
        <w:rPr>
          <w:b/>
          <w:bCs/>
        </w:rPr>
        <w:t xml:space="preserve">Table 5.5.</w:t>
      </w:r>
      <w:r>
        <w:t xml:space="preserve"> </w:t>
      </w:r>
      <w:r>
        <w:t xml:space="preserve">ResNet50 5-fold cross-validation. Each row is one fold; the test set is identical across folds.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val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 time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min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</w:tr>
    </w:tbl>
    <w:bookmarkEnd w:id="24"/>
    <w:bookmarkStart w:id="25" w:name="X035b508c5bd1d3345869f56296919ab9a70a4c9"/>
    <w:p>
      <w:pPr>
        <w:pStyle w:val="Heading3"/>
      </w:pPr>
      <w:r>
        <w:t xml:space="preserve">5.4.4 Aggregate</w:t>
      </w:r>
    </w:p>
    <w:p>
      <w:pPr>
        <w:pStyle w:val="Compact"/>
        <w:numPr>
          <w:ilvl w:val="0"/>
          <w:numId w:val="1004"/>
        </w:numPr>
      </w:pPr>
      <w:r>
        <w:t xml:space="preserve">Test accuracy:</w:t>
      </w:r>
      <w:r>
        <w:t xml:space="preserve"> </w:t>
      </w:r>
      <w:r>
        <w:rPr>
          <w:b/>
          <w:bCs/>
        </w:rPr>
        <w:t xml:space="preserve">95.64% ± 0.18 percentage points</w:t>
      </w:r>
      <w:r>
        <w:t xml:space="preserve"> </w:t>
      </w:r>
      <w:r>
        <w:t xml:space="preserve">(95% CI [95.48, 95.79]).</w:t>
      </w:r>
    </w:p>
    <w:p>
      <w:pPr>
        <w:pStyle w:val="Compact"/>
        <w:numPr>
          <w:ilvl w:val="0"/>
          <w:numId w:val="1004"/>
        </w:numPr>
      </w:pPr>
      <w:r>
        <w:t xml:space="preserve">Test AUC: 0.9890 ± 0.0015.</w:t>
      </w:r>
    </w:p>
    <w:p>
      <w:pPr>
        <w:pStyle w:val="Compact"/>
        <w:numPr>
          <w:ilvl w:val="0"/>
          <w:numId w:val="1004"/>
        </w:numPr>
      </w:pPr>
      <w:r>
        <w:t xml:space="preserve">Best validation accuracy: 97.30% ± 0.81 pp.</w:t>
      </w:r>
    </w:p>
    <w:bookmarkEnd w:id="25"/>
    <w:bookmarkStart w:id="26" w:name="X58b75a00a0d6866a7781c8064cddd8b40cc44b9"/>
    <w:p>
      <w:pPr>
        <w:pStyle w:val="Heading3"/>
      </w:pPr>
      <w:r>
        <w:t xml:space="preserve">5.4.5 Interpretation</w:t>
      </w:r>
    </w:p>
    <w:p>
      <w:pPr>
        <w:pStyle w:val="FirstParagraph"/>
      </w:pPr>
      <w:r>
        <w:rPr>
          <w:b/>
          <w:bCs/>
        </w:rPr>
        <w:t xml:space="preserve">Test accuracy is exceptionally stable.</w:t>
      </w:r>
      <w:r>
        <w:t xml:space="preserve"> </w:t>
      </w:r>
      <w:r>
        <w:t xml:space="preserve">The standard deviation across 5 retrainings is only 0.18 pp — far smaller than the bootstrap CI half-width of 1.8 pp from a single fold. This means that the variance in the Phase 1 estimate is dominated by the</w:t>
      </w:r>
      <w:r>
        <w:t xml:space="preserve"> </w:t>
      </w:r>
      <w:r>
        <w:rPr>
          <w:i/>
          <w:iCs/>
        </w:rPr>
        <w:t xml:space="preserve">test sample</w:t>
      </w:r>
      <w:r>
        <w:t xml:space="preserve"> </w:t>
      </w:r>
      <w:r>
        <w:t xml:space="preserve">rather than by training stochasticity. The Phase 1 single-split estimate of 95.27% is well within the 95% CI of the cross-validated mean (95.48 to 95.79); it is a representative sample, not a particularly lucky or unlucky one.</w:t>
      </w:r>
    </w:p>
    <w:p>
      <w:pPr>
        <w:pStyle w:val="BodyText"/>
      </w:pPr>
      <w:r>
        <w:rPr>
          <w:b/>
          <w:bCs/>
        </w:rPr>
        <w:t xml:space="preserve">Validation accuracy varies more.</w:t>
      </w:r>
      <w:r>
        <w:t xml:space="preserve"> </w:t>
      </w:r>
      <w:r>
        <w:t xml:space="preserve">Best val accuracy has σ = 0.81 pp because validation sets are small (~550 each) and depend on the fold split. Test acc, computed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fixed 550-sample test set across folds, is more stable.</w:t>
      </w:r>
    </w:p>
    <w:p>
      <w:pPr>
        <w:pStyle w:val="BodyText"/>
      </w:pPr>
      <w:r>
        <w:rPr>
          <w:b/>
          <w:bCs/>
        </w:rPr>
        <w:t xml:space="preserve">Resolving the ensemble-vs-ResNet50 question.</w:t>
      </w:r>
      <w:r>
        <w:t xml:space="preserve"> </w:t>
      </w:r>
      <w:r>
        <w:t xml:space="preserve">The ensemble's 96.55% is approximately 5 standard deviations above the ResNet50 mean of 95.64%. While the McNemar test in Chapter 4 was borderline (p = 0.10) due to limited test points, the cross-validated comparison strongly supports the conclusion that the ensemble is genuinely better, not a statistical artifact of a single split.</w:t>
      </w:r>
    </w:p>
    <w:bookmarkEnd w:id="26"/>
    <w:bookmarkEnd w:id="27"/>
    <w:bookmarkStart w:id="28" w:name="X0cf5c09fd0a6119b36288522030e2b21de8b77a"/>
    <w:p>
      <w:pPr>
        <w:pStyle w:val="Heading2"/>
      </w:pPr>
      <w:r>
        <w:t xml:space="preserve">5.5 Lessons from Phase 2</w:t>
      </w:r>
    </w:p>
    <w:p>
      <w:pPr>
        <w:pStyle w:val="FirstParagraph"/>
      </w:pPr>
      <w:r>
        <w:t xml:space="preserve">Phase 2 yields four substantive conclusions.</w:t>
      </w:r>
    </w:p>
    <w:p>
      <w:pPr>
        <w:pStyle w:val="BodyText"/>
      </w:pPr>
      <w:r>
        <w:t xml:space="preserve">First, conformal prediction is essentially a free addition to any trained classifier. It requires only a calibration set, no retraining, and produces a statistically grounded refer-to-clinician rule. The CNN at α = 0.05 with LAC achieves 96% coverage with no abstentions and no empty sets — a near-ideal configuration for clinical deployment.</w:t>
      </w:r>
    </w:p>
    <w:p>
      <w:pPr>
        <w:pStyle w:val="BodyText"/>
      </w:pPr>
      <w:r>
        <w:t xml:space="preserve">Second, MC Dropout is the cheapest Bayesian approximation available. It requires retraining with dropout layers — no architectural overhaul beyond inserting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SpatialDropout2D</w:t>
      </w:r>
      <w:r>
        <w:t xml:space="preserve"> </w:t>
      </w:r>
      <w:r>
        <w:t xml:space="preserve">— and at inference it costs T forward passes per input. The σ across MC samples is 3 to 4× larger on wrong predictions than on correct ones, providing a useful selective-prediction signal. resnet50_mcd is the strongest single model in the thesis at 96.18%.</w:t>
      </w:r>
    </w:p>
    <w:p>
      <w:pPr>
        <w:pStyle w:val="BodyText"/>
      </w:pPr>
      <w:r>
        <w:t xml:space="preserve">Third, K-fold cross-validation costs significant compute (5 trainings of ResNet50 ≈ 2 hours on CPU) but pins down the variance of the test estimate to a tight σ = 0.18 pp. The single-split estimate is reliable; the ensemble's small accuracy advantage is real.</w:t>
      </w:r>
    </w:p>
    <w:p>
      <w:pPr>
        <w:pStyle w:val="BodyText"/>
      </w:pPr>
      <w:r>
        <w:t xml:space="preserve">Fourth, OOD evaluation against synthetic noise is too easy. The feature-space methods achieve perfect AUROC on uniform noise, which is encouraging in principle but does not prove that they will work against real cross-dataset shift. A dedicated cross-dataset study on Messidor-2 or IDRiD is the natural next step.</w:t>
      </w:r>
    </w:p>
    <w:p>
      <w:pPr>
        <w:pStyle w:val="BodyText"/>
      </w:pPr>
      <w:r>
        <w:t xml:space="preserve">Phase 2 thus closes Research Questions 2 and 3 with strong empirical support. The next chapter turns to Research Question 4: extending the same uncertainty machinery to the clinically meaningful 5-stage grading task.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2026-05-05T07:28:05Z</dcterms:created>
  <dcterms:modified xsi:type="dcterms:W3CDTF">2026-05-05T07:28:05Z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