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chapter-7-discussion-and-conclusion"/>
    <w:p>
      <w:pPr>
        <w:pStyle w:val="Heading1"/>
      </w:pPr>
      <w:r>
        <w:t xml:space="preserve">CHAPTER 7: DISCUSSION AND CONCLUSION</w:t>
      </w:r>
    </w:p>
    <w:p>
      <w:pPr>
        <w:pStyle w:val="FirstParagraph"/>
      </w:pPr>
      <w:r>
        <w:t xml:space="preserve">This chapter draws together the experimental findings of the previous three chapters and discusses their implications. Section 7.1 summarises the contributions. Section 7.2 considers clinical implications. Section 7.3 acknowledges limitations. Section 7.4 outlines avenues for future work. Section 7.5 concludes.</w:t>
      </w:r>
    </w:p>
    <w:bookmarkStart w:id="9" w:name="Xb4996ebf205cdfa5183bdf55bff6bf4de9b5399"/>
    <w:p>
      <w:pPr>
        <w:pStyle w:val="Heading2"/>
      </w:pPr>
      <w:r>
        <w:t xml:space="preserve">7.1 Summary of Contributions</w:t>
      </w:r>
    </w:p>
    <w:p>
      <w:pPr>
        <w:pStyle w:val="FirstParagraph"/>
      </w:pPr>
      <w:r>
        <w:t xml:space="preserve">This thesis set out to transform a bachelor-level binary classifier for diabetic retinopathy into a clinically grounded, statistically rigorous, uncertainty-aware multi-class grading system. Three phases of work were carried out.</w:t>
      </w:r>
    </w:p>
    <w:p>
      <w:pPr>
        <w:pStyle w:val="BodyText"/>
      </w:pPr>
      <w:r>
        <w:rPr>
          <w:b/>
          <w:bCs/>
        </w:rPr>
        <w:t xml:space="preserve">Phase 1 (Chapter 4)</w:t>
      </w:r>
      <w:r>
        <w:t xml:space="preserve"> </w:t>
      </w:r>
      <w:r>
        <w:t xml:space="preserve">rebuilt the binary classification pipeline with stratified train/validation/test splits, architecture-specific input preprocessing, balanced class weighting, and unified training callbacks. The five strong architectures cluster between 95.27% and 96.00% test accuracy and are statistically indistinguishable from one another (every pairwise McNemar p &gt; 0.5). The CNN(Tanh+ReLU) variant, accepted as competitive in the bachelor work, is shown to be significantly worse (p &lt; 0.05 against every strong model). A heterogeneous ensemble across all six binary architectures achieves 96.55% test accuracy, marginally beating any individual member. Calibration analysis reveals that all models are reasonably well-calibrated (ECE &lt; 5%), with VGG16 benefiting most from temperature scaling (40% relative ECE reduction). At 90% coverage, ensemble selective prediction lifts accuracy from 96.55% to 98.18%.</w:t>
      </w:r>
    </w:p>
    <w:p>
      <w:pPr>
        <w:pStyle w:val="BodyText"/>
      </w:pPr>
      <w:r>
        <w:rPr>
          <w:b/>
          <w:bCs/>
        </w:rPr>
        <w:t xml:space="preserve">Phase 2 (Chapter 5)</w:t>
      </w:r>
      <w:r>
        <w:t xml:space="preserve"> </w:t>
      </w:r>
      <w:r>
        <w:t xml:space="preserve">introduced four advanced uncertainty mechanisms. Split conformal prediction with both LAC and APS scores produced empirical coverage that tracks the prescribed targets at α = 0.10 and α = 0.05. The CNN at α = 0.05 achieves 96% coverage with no abstentions and zero empty sets, the cleanest configuration of any model. Two Monte Carlo Dropout networks were retrained: cnn_mcd reached 91.09% test accuracy after T = 30 stochastic forward passes, and resnet50_mcd reached 96.18% — the highest accuracy of any single model in the thesis. The MC standard deviation is 3 to 4 times larger on incorrect predictions than on correct ones, providing a strong selective-prediction signal. A 5-fold cross-validation of ResNet50 gave a tight estimate of 95.64 ± 0.18 percentage points, ruling out single-split luck. Out-of-distribution detection against synthetic noise inputs showed that feature-space methods (Mahalanobis distance, cosine to centroid) achieve perfect separation (AUROC = 1.0), while output-space MSP is essentially chance (AUROC = 0.59).</w:t>
      </w:r>
    </w:p>
    <w:p>
      <w:pPr>
        <w:pStyle w:val="BodyText"/>
      </w:pPr>
      <w:r>
        <w:rPr>
          <w:b/>
          <w:bCs/>
        </w:rPr>
        <w:t xml:space="preserve">Phase 3 (Chapter 6)</w:t>
      </w:r>
      <w:r>
        <w:t xml:space="preserve"> </w:t>
      </w:r>
      <w:r>
        <w:t xml:space="preserve">reformulated the task to the original 5-stage clinical scale. The ResNet50 multi-class model reached</w:t>
      </w:r>
      <w:r>
        <w:t xml:space="preserve"> </w:t>
      </w:r>
      <w:r>
        <w:rPr>
          <w:b/>
          <w:bCs/>
        </w:rPr>
        <w:t xml:space="preserve">QWK = 0.847</w:t>
      </w:r>
      <w:r>
        <w:t xml:space="preserve">, a "near-perfect" agreement on the Cohen scale and competitive with the upper third of the public APTOS 2019 Kaggle leaderboard. Mean ordinal distance was 0.329, indicating that misclassifications are typically only one severity class away from the true label. Multi-class conformal prediction at α = 0.10 with APS produced a marginal coverage of 89.45% and a balanced per-class conditional coverage of [91, 82, 89, 90, 93]%. The implied clinical workflow — auto-classify 71% of cases, refer 29% to a specialist — matches the way ophthalmologists already triage in tele-screening programmes.</w:t>
      </w:r>
    </w:p>
    <w:bookmarkEnd w:id="9"/>
    <w:bookmarkStart w:id="10" w:name="X13f6e7962e4374786260d1ebcbf3948c8a062b3"/>
    <w:p>
      <w:pPr>
        <w:pStyle w:val="Heading2"/>
      </w:pPr>
      <w:r>
        <w:t xml:space="preserve">7.2 Clinical Implications</w:t>
      </w:r>
    </w:p>
    <w:p>
      <w:pPr>
        <w:pStyle w:val="FirstParagraph"/>
      </w:pPr>
      <w:r>
        <w:t xml:space="preserve">The most important conclusion of the thesis is that a screening tool deployed in clinical practice should not return a single argmax verdict. It should return:</w:t>
      </w:r>
    </w:p>
    <w:p>
      <w:pPr>
        <w:pStyle w:val="Compact"/>
        <w:numPr>
          <w:ilvl w:val="0"/>
          <w:numId w:val="1001"/>
        </w:numPr>
      </w:pPr>
      <w:r>
        <w:t xml:space="preserve">A calibrated probability over the five severity classes.</w:t>
      </w:r>
    </w:p>
    <w:p>
      <w:pPr>
        <w:pStyle w:val="Compact"/>
        <w:numPr>
          <w:ilvl w:val="0"/>
          <w:numId w:val="1001"/>
        </w:numPr>
      </w:pPr>
      <w:r>
        <w:t xml:space="preserve">A conformal prediction set whose coverage rate is configurable to the clinical risk tolerance (typically 90% to 95%).</w:t>
      </w:r>
    </w:p>
    <w:p>
      <w:pPr>
        <w:pStyle w:val="Compact"/>
        <w:numPr>
          <w:ilvl w:val="0"/>
          <w:numId w:val="1001"/>
        </w:numPr>
      </w:pPr>
      <w:r>
        <w:t xml:space="preserve">An out-of-distribution flag that triggers when the input is not a fundus image, when image quality is too low, or when the input lies outside the training distribution.</w:t>
      </w:r>
    </w:p>
    <w:p>
      <w:pPr>
        <w:pStyle w:val="Compact"/>
        <w:numPr>
          <w:ilvl w:val="0"/>
          <w:numId w:val="1001"/>
        </w:numPr>
      </w:pPr>
      <w:r>
        <w:t xml:space="preserve">A clear refer-to-clinician recommendation when any of the above signals warrant human review.</w:t>
      </w:r>
    </w:p>
    <w:p>
      <w:pPr>
        <w:pStyle w:val="FirstParagraph"/>
      </w:pPr>
      <w:r>
        <w:t xml:space="preserve">The infrastructure developed in this thesis — and the open-source Streamlit application that exposes all four signals — demonstrates that this is feasible without retraining state-of-the-art models. The marginal cost of uncertainty quantification, once the model is trained, is small: temperature scaling fits a single scalar; conformal prediction fits a single threshold; MC Dropout requires retraining with dropout layers but no architectural overhaul. Compared with the cost of a clinical study, these are negligible.</w:t>
      </w:r>
    </w:p>
    <w:p>
      <w:pPr>
        <w:pStyle w:val="BodyText"/>
      </w:pPr>
      <w:r>
        <w:t xml:space="preserve">The implied division of labour with a screening programme is also worth noting. With APS at α = 0.10 producing a 71%/29% auto-classify/refer split, an ophthalmologist embedded in a screening programme would handle only the 29% genuinely ambiguous cases — a substantial reduction in workload that could enable screening at scale in low-resource settings.</w:t>
      </w:r>
    </w:p>
    <w:bookmarkEnd w:id="10"/>
    <w:bookmarkStart w:id="11" w:name="Xa1f68581b03a0c51264e50414528e13a03470db"/>
    <w:p>
      <w:pPr>
        <w:pStyle w:val="Heading2"/>
      </w:pPr>
      <w:r>
        <w:t xml:space="preserve">7.3 Limitations</w:t>
      </w:r>
    </w:p>
    <w:p>
      <w:pPr>
        <w:pStyle w:val="FirstParagraph"/>
      </w:pPr>
      <w:r>
        <w:t xml:space="preserve">The thesis has several limitations that should be made explicit.</w:t>
      </w:r>
    </w:p>
    <w:p>
      <w:pPr>
        <w:pStyle w:val="BodyText"/>
      </w:pPr>
      <w:r>
        <w:rPr>
          <w:b/>
          <w:bCs/>
        </w:rPr>
        <w:t xml:space="preserve">Single dataset.</w:t>
      </w:r>
      <w:r>
        <w:t xml:space="preserve"> </w:t>
      </w:r>
      <w:r>
        <w:t xml:space="preserve">All experiments were performed on APTOS 2019. Real-world deployment requires evaluation across multiple data sources — different cameras, different patient populations, different screening protocols. The scaffolding for cross-dataset evaluation is in place (</w:t>
      </w:r>
      <w:r>
        <w:rPr>
          <w:rStyle w:val="VerbatimChar"/>
        </w:rPr>
        <w:t xml:space="preserve">master/run_cross_dataset.py</w:t>
      </w:r>
      <w:r>
        <w:t xml:space="preserve">) but the experiments themselves are left for future work, since they require downloading and curating Messidor-2 or IDRiD.</w:t>
      </w:r>
    </w:p>
    <w:p>
      <w:pPr>
        <w:pStyle w:val="BodyText"/>
      </w:pPr>
      <w:r>
        <w:rPr>
          <w:b/>
          <w:bCs/>
        </w:rPr>
        <w:t xml:space="preserve">Synthetic OOD only.</w:t>
      </w:r>
      <w:r>
        <w:t xml:space="preserve"> </w:t>
      </w:r>
      <w:r>
        <w:t xml:space="preserve">The OOD detection experiments in Section 5.3 used uniform-noise inputs as the OOD source. This is the</w:t>
      </w:r>
      <w:r>
        <w:t xml:space="preserve"> </w:t>
      </w:r>
      <w:r>
        <w:rPr>
          <w:i/>
          <w:iCs/>
        </w:rPr>
        <w:t xml:space="preserve">easy</w:t>
      </w:r>
      <w:r>
        <w:t xml:space="preserve"> </w:t>
      </w:r>
      <w:r>
        <w:t xml:space="preserve">case for distance-based methods. Realistic OOD scenarios — chest X-rays, low-quality phone photos, fundus images from a different camera — would lie much closer to the training manifold and would likely yield AUROC values in the 0.80 to 0.95 range rather than the 1.00 reported here. A targeted study on real OOD inputs is the natural next step.</w:t>
      </w:r>
    </w:p>
    <w:p>
      <w:pPr>
        <w:pStyle w:val="BodyText"/>
      </w:pPr>
      <w:r>
        <w:rPr>
          <w:b/>
          <w:bCs/>
        </w:rPr>
        <w:t xml:space="preserve">Minority class performance is weak.</w:t>
      </w:r>
      <w:r>
        <w:t xml:space="preserve"> </w:t>
      </w:r>
      <w:r>
        <w:t xml:space="preserve">The 5-class model has F1 = 0.37 on Severe and F1 = 0.44 on PDR. With only 29 and 44 test images respectively, the per-class metrics also have wide confidence intervals. A larger and more balanced dataset would substantially improve these numbers.</w:t>
      </w:r>
    </w:p>
    <w:p>
      <w:pPr>
        <w:pStyle w:val="BodyText"/>
      </w:pPr>
      <w:r>
        <w:rPr>
          <w:b/>
          <w:bCs/>
        </w:rPr>
        <w:t xml:space="preserve">CPU-only training.</w:t>
      </w:r>
      <w:r>
        <w:t xml:space="preserve"> </w:t>
      </w:r>
      <w:r>
        <w:t xml:space="preserve">All experiments ran on a CPU laptop, which constrained the architectures and training regimes that were feasible. State-of-the-art APTOS submissions use heavy ensembling, test-time augmentation, and external pretraining, none of which were attempted here. The relative advantage of the present pipeline lies in its uncertainty quantification, not in raw accuracy.</w:t>
      </w:r>
    </w:p>
    <w:p>
      <w:pPr>
        <w:pStyle w:val="BodyText"/>
      </w:pPr>
      <w:r>
        <w:rPr>
          <w:b/>
          <w:bCs/>
        </w:rPr>
        <w:t xml:space="preserve">Single random seed for splits.</w:t>
      </w:r>
      <w:r>
        <w:t xml:space="preserve"> </w:t>
      </w:r>
      <w:r>
        <w:t xml:space="preserve">The train/val/test split uses a fixed</w:t>
      </w:r>
      <w:r>
        <w:t xml:space="preserve"> </w:t>
      </w:r>
      <w:r>
        <w:rPr>
          <w:rStyle w:val="VerbatimChar"/>
        </w:rPr>
        <w:t xml:space="preserve">random_state = 123</w:t>
      </w:r>
      <w:r>
        <w:t xml:space="preserve">. While the 5-fold CV of ResNet50 confirmed that the test estimate is stable across training-data perturbations, the test set itself is fixed. A more thorough study would use multiple test splits as well.</w:t>
      </w:r>
    </w:p>
    <w:p>
      <w:pPr>
        <w:pStyle w:val="BodyText"/>
      </w:pPr>
      <w:r>
        <w:rPr>
          <w:b/>
          <w:bCs/>
        </w:rPr>
        <w:t xml:space="preserve">No clinician validation.</w:t>
      </w:r>
      <w:r>
        <w:t xml:space="preserve"> </w:t>
      </w:r>
      <w:r>
        <w:t xml:space="preserve">The "refer-to-clinician" decisions implied by the conformal-set policy have not been validated by an actual clinician. A retrospective study in which an ophthalmologist reviews the deferred 29% would establish whether the system's notion of "ambiguous" matches clinical intuition.</w:t>
      </w:r>
    </w:p>
    <w:bookmarkEnd w:id="11"/>
    <w:bookmarkStart w:id="12" w:name="X9222b9094e9eadf8fa22b4806ab8d7f82c6a027"/>
    <w:p>
      <w:pPr>
        <w:pStyle w:val="Heading2"/>
      </w:pPr>
      <w:r>
        <w:t xml:space="preserve">7.4 Future Work</w:t>
      </w:r>
    </w:p>
    <w:p>
      <w:pPr>
        <w:pStyle w:val="FirstParagraph"/>
      </w:pPr>
      <w:r>
        <w:t xml:space="preserve">Several extensions of the present work would substantially strengthen its clinical case.</w:t>
      </w:r>
    </w:p>
    <w:p>
      <w:pPr>
        <w:pStyle w:val="BodyText"/>
      </w:pPr>
      <w:r>
        <w:rPr>
          <w:b/>
          <w:bCs/>
        </w:rPr>
        <w:t xml:space="preserve">Cross-dataset evaluation.</w:t>
      </w:r>
      <w:r>
        <w:t xml:space="preserve"> </w:t>
      </w:r>
      <w:r>
        <w:t xml:space="preserve">The infrastructure is in place; the next concrete step is to download Messidor-2 or IDRiD, place it under</w:t>
      </w:r>
      <w:r>
        <w:t xml:space="preserve"> </w:t>
      </w:r>
      <w:r>
        <w:rPr>
          <w:rStyle w:val="VerbatimChar"/>
        </w:rPr>
        <w:t xml:space="preserve">inputs/cross_dataset/</w:t>
      </w:r>
      <w:r>
        <w:t xml:space="preserve">, and run</w:t>
      </w:r>
      <w:r>
        <w:t xml:space="preserve"> </w:t>
      </w:r>
      <w:r>
        <w:rPr>
          <w:rStyle w:val="VerbatimChar"/>
        </w:rPr>
        <w:t xml:space="preserve">python -m master.run_cross_dataset --models resnet50_5class</w:t>
      </w:r>
      <w:r>
        <w:t xml:space="preserve">. Reporting QWK and conformal coverage on the second dataset will establish the system's domain-shift robustness.</w:t>
      </w:r>
    </w:p>
    <w:p>
      <w:pPr>
        <w:pStyle w:val="BodyText"/>
      </w:pPr>
      <w:r>
        <w:rPr>
          <w:b/>
          <w:bCs/>
        </w:rPr>
        <w:t xml:space="preserve">Clinician-in-the-loop validation.</w:t>
      </w:r>
      <w:r>
        <w:t xml:space="preserve"> </w:t>
      </w:r>
      <w:r>
        <w:t xml:space="preserve">A retrospective study in which an ophthalmologist reviews the deferred cases would establish whether the conformal-set policy correctly identifies clinically ambiguous inputs. This study should also collect inter-rater agreement statistics on the deferred cases, which often have weak ground truth in any case.</w:t>
      </w:r>
    </w:p>
    <w:p>
      <w:pPr>
        <w:pStyle w:val="BodyText"/>
      </w:pPr>
      <w:r>
        <w:rPr>
          <w:b/>
          <w:bCs/>
        </w:rPr>
        <w:t xml:space="preserve">Active learning.</w:t>
      </w:r>
      <w:r>
        <w:t xml:space="preserve"> </w:t>
      </w:r>
      <w:r>
        <w:t xml:space="preserve">The conformal abstention set is a natural candidate for active learning: query labels for the most ambiguous cases first, retrain, and iterate. Initial experiments could be run on the existing dataset by withholding a fraction of training labels and using the conformal sets to drive a labelling sequence.</w:t>
      </w:r>
    </w:p>
    <w:p>
      <w:pPr>
        <w:pStyle w:val="BodyText"/>
      </w:pPr>
      <w:r>
        <w:rPr>
          <w:b/>
          <w:bCs/>
        </w:rPr>
        <w:t xml:space="preserve">Multi-task learning with lesion segmentation.</w:t>
      </w:r>
      <w:r>
        <w:t xml:space="preserve"> </w:t>
      </w:r>
      <w:r>
        <w:t xml:space="preserve">IDRiD provides pixel-level annotations of microaneurysms, hemorrhages, and exudates. A multi-task model that simultaneously predicts severity grade and segments lesions could exploit these annotations to learn richer representations and produce explanations that ophthalmologists can verify.</w:t>
      </w:r>
    </w:p>
    <w:p>
      <w:pPr>
        <w:pStyle w:val="BodyText"/>
      </w:pPr>
      <w:r>
        <w:rPr>
          <w:b/>
          <w:bCs/>
        </w:rPr>
        <w:t xml:space="preserve">Federated learning.</w:t>
      </w:r>
      <w:r>
        <w:t xml:space="preserve"> </w:t>
      </w:r>
      <w:r>
        <w:t xml:space="preserve">Privacy-preserving training across multiple clinics is a logical next step for a deployable system. The conformal threshold is per-clinic by construction (it is fitted on a calibration set), so the system already adapts to each deployment site without sharing raw data.</w:t>
      </w:r>
    </w:p>
    <w:p>
      <w:pPr>
        <w:pStyle w:val="BodyText"/>
      </w:pPr>
      <w:r>
        <w:rPr>
          <w:b/>
          <w:bCs/>
        </w:rPr>
        <w:t xml:space="preserve">Vision transformers and self-supervised pretraining.</w:t>
      </w:r>
      <w:r>
        <w:t xml:space="preserve"> </w:t>
      </w:r>
      <w:r>
        <w:t xml:space="preserve">ViT, Swin Transformer, and DINO-style self-supervised pretraining on unlabelled retinal images are likely to outperform the convolutional backbones used here. The uncertainty machinery developed in this thesis is architecture-agnostic and would transfer directly.</w:t>
      </w:r>
    </w:p>
    <w:p>
      <w:pPr>
        <w:pStyle w:val="BodyText"/>
      </w:pPr>
      <w:r>
        <w:rPr>
          <w:b/>
          <w:bCs/>
        </w:rPr>
        <w:t xml:space="preserve">Calibration drift monitoring.</w:t>
      </w:r>
      <w:r>
        <w:t xml:space="preserve"> </w:t>
      </w:r>
      <w:r>
        <w:t xml:space="preserve">A deployed system needs to monitor calibration over time to detect distribution shift, model degradation, or population drift. The reliability-diagram and ECE infrastructure developed here can be re-run on a rolling production set to flag drift.</w:t>
      </w:r>
    </w:p>
    <w:bookmarkEnd w:id="12"/>
    <w:bookmarkStart w:id="13" w:name="X4c317c89f2a50e6e16f7d805a79f24a321905e5"/>
    <w:p>
      <w:pPr>
        <w:pStyle w:val="Heading2"/>
      </w:pPr>
      <w:r>
        <w:t xml:space="preserve">7.5 Conclusion</w:t>
      </w:r>
    </w:p>
    <w:p>
      <w:pPr>
        <w:pStyle w:val="FirstParagraph"/>
      </w:pPr>
      <w:r>
        <w:t xml:space="preserve">The thesis demonstrates that a from-scratch CNN and a transfer-learning ResNet50 on APTOS 2019, combined with split conformal prediction, Monte Carlo Dropout, and feature-space out-of-distribution detection, form a complete clinical decision-support pipeline. Individual model accuracy improvements over the bachelor work are modest, in the 1 to 2 percentage-point range, and the headline binary accuracy is statistically indistinguishable across the five strong architectures. The substantive contribution lies elsewhere: in the addition of statistical guarantees on prediction-set coverage, of calibration analysis, of multi-class severity grading at QWK 0.847, of disagreement-based and Bayesian uncertainty signals, and of an explicit refer-to-specialist rule that maps onto the existing screening workflow.</w:t>
      </w:r>
    </w:p>
    <w:p>
      <w:pPr>
        <w:pStyle w:val="BodyText"/>
      </w:pPr>
      <w:r>
        <w:t xml:space="preserve">The cumulative effect is a transition from a black-box classifier reporting a single accuracy figure to a transparent, statistically grounded triage system that knows when it does not know — and communicates that to the clinician.</w:t>
      </w:r>
    </w:p>
    <w:p>
      <w:pPr>
        <w:pStyle w:val="BodyText"/>
      </w:pPr>
      <w:r>
        <w:t xml:space="preserve">Modern medical AI must do more than maximise accuracy. It must know when to defer.</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2026-05-05T07:28:05Z</dcterms:created>
  <dcterms:modified xsi:type="dcterms:W3CDTF">2026-05-05T07:28:05Z</dcterms:modified>
</cp:coreProperties>
</file>

<file path=docProps/custom.xml><?xml version="1.0" encoding="utf-8"?>
<Properties xmlns="http://schemas.openxmlformats.org/officeDocument/2006/custom-properties" xmlns:vt="http://schemas.openxmlformats.org/officeDocument/2006/docPropsVTypes"/>
</file>