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abstract"/>
    <w:p>
      <w:pPr>
        <w:pStyle w:val="Heading1"/>
      </w:pPr>
      <w:r>
        <w:t xml:space="preserve">ABSTRACT</w:t>
      </w:r>
    </w:p>
    <w:bookmarkStart w:id="9" w:name="Xfc659fb7bdf9a04bd8be3752ccacc2a042c74e3"/>
    <w:p>
      <w:pPr>
        <w:pStyle w:val="Heading2"/>
      </w:pPr>
      <w:r>
        <w:t xml:space="preserve">UNCERTAINTY-AWARE DIABETIC RETINOPATHY GRADING USING CONFORMAL PREDICTION AND BAYESIAN DEEP LEARNING</w:t>
      </w:r>
    </w:p>
    <w:p>
      <w:pPr>
        <w:pStyle w:val="FirstParagraph"/>
      </w:pPr>
      <w:r>
        <w:rPr>
          <w:b/>
          <w:bCs/>
        </w:rPr>
        <w:t xml:space="preserve">Alia, Alketa</w:t>
      </w:r>
      <w:r>
        <w:t xml:space="preserve"> </w:t>
      </w:r>
      <w:r>
        <w:t xml:space="preserve">M.Sc., Computer Engineering</w:t>
      </w:r>
      <w:r>
        <w:t xml:space="preserve"> </w:t>
      </w:r>
      <w:r>
        <w:t xml:space="preserve">Supervisor: [TO FILL]</w:t>
      </w:r>
    </w:p>
    <w:p>
      <w:pPr>
        <w:pStyle w:val="BodyText"/>
      </w:pPr>
      <w:r>
        <w:t xml:space="preserve">This thesis develops an uncertainty-aware system for the automated grading of diabetic retinopathy (DR) from retinal fundus images, building on a previous bachelor study that addressed the same problem as a binary classification task. While modern convolutional neural networks routinely achieve accuracies above 95% on the Kaggle APTOS 2019 Blindness Detection benchmark, deployment in clinical screening remains hindered by their tendency to produce confidently incorrect predictions. The present work argues that a screening tool intended for use by non-specialist clinicians must do more than maximise accuracy: it must also know, and communicate, when its predictions are unreliable.</w:t>
      </w:r>
    </w:p>
    <w:p>
      <w:pPr>
        <w:pStyle w:val="BodyText"/>
      </w:pPr>
      <w:r>
        <w:t xml:space="preserve">The methodology re-establishes a statistically rigorous evaluation protocol over the 3,662-image APTOS 2019 dataset, with stratified 70/15/15 train/validation/test splits, architecture-specific input pre-processing, class-balanced loss weighting, and a unified training pipeline shared by every model. Six deep architectures are first evaluated as binary classifiers — ResNet50, Xception, DenseNet121, VGG16, a from-scratch convolutional neural network, and a CNN variant combining tanh and ReLU activations — together with three classical classifiers (Decision Tree, Random Forest, Support Vector Machine) trained on DenseNet121-extracted features. Once preprocessing and class weighting are corrected, the five strongest deep models cluster between 95.27% and 96.00% test accuracy, and pairwise McNemar tests show that they are statistically indistinguishable from each other (p &gt; 0.5 for every pair). A heterogeneous ensemble of all six members achieves 96.55%.</w:t>
      </w:r>
    </w:p>
    <w:p>
      <w:pPr>
        <w:pStyle w:val="BodyText"/>
      </w:pPr>
      <w:r>
        <w:t xml:space="preserve">Beyond accuracy, the thesis introduces calibration analysis (Expected and Maximum Calibration Error, reliability diagrams, post-hoc temperature scaling), confirming that the trained networks are reasonably well-calibrated (ECE &lt; 5%) but benefit measurably from temperature scaling, especially VGG16 (ECE reduced from 2.55% to 1.53%, a 40% relative improvement). Uncertainty estimation is then provided through three complementary mechanisms: (i) heterogeneous-ensemble disagreement signals — predictive entropy, mutual information, and the standard deviation of per-model probabilities; (ii) two Monte Carlo Dropout networks (CNN and ResNet50) evaluated with T = 30 stochastic forward passes; and (iii) split conformal prediction with both LAC and APS non-conformity scores, providing a finite-sample, distribution-free guarantee that the prediction set covers the true label at the prescribed rate.</w:t>
      </w:r>
    </w:p>
    <w:p>
      <w:pPr>
        <w:pStyle w:val="BodyText"/>
      </w:pPr>
      <w:r>
        <w:t xml:space="preserve">A 5-fold cross-validation of ResNet50 on the same fixed test set yields a tight estimate of 95.64 ± 0.18 percentage points, ruling out single-split luck and confirming the ensemble's small but real advantage. Out-of-distribution detection is studied using four scoring methods on synthetic noise inputs: feature-space methods (Mahalanobis distance, cosine to centroid) attain perfect separation (AUROC = 1.0, FPR at 95% TPR = 0%), whereas the maximum-softmax baseline fails (AUROC = 0.59).</w:t>
      </w:r>
    </w:p>
    <w:p>
      <w:pPr>
        <w:pStyle w:val="BodyText"/>
      </w:pPr>
      <w:r>
        <w:t xml:space="preserve">The thesis then re-formulates the task in its clinically meaningful form, replacing binary "DR / No DR" with the original 5-stage severity scale (No DR, Mild, Moderate, Severe, PDR). A ResNet50 trained on this multi-class objective reaches 77.09% accuracy and a quadratic-weighted kappa of 0.847 on the held-out test set — competitive with public APTOS 2019 leaderboard scores — at a mean ordinal distance of 0.329, meaning that when the model errs it is usually only one class away from the true severity. Conformal prediction at α = 0.10 produces an empirical marginal coverage of 89.45% and a balanced per-class conditional coverage of [91, 82, 89, 90, 93]%, suggesting that 71% of patients can be auto-classified with single- or two-class sets while the remaining 29% are deferred to a clinician.</w:t>
      </w:r>
    </w:p>
    <w:p>
      <w:pPr>
        <w:pStyle w:val="BodyText"/>
      </w:pPr>
      <w:r>
        <w:t xml:space="preserve">Beyond methodological contributions, an open-source Streamlit application surfaces these uncertainty signals to end users, visualising both the ensemble decision and the conformal prediction set. The cumulative effect of the master-level study is a transition from a single accuracy number to a transparent, statistically grounded clinical decision-support pipeline that explicitly handles its own uncertainty.</w:t>
      </w:r>
    </w:p>
    <w:p>
      <w:pPr>
        <w:pStyle w:val="BodyText"/>
      </w:pPr>
      <w:r>
        <w:rPr>
          <w:b/>
          <w:bCs/>
        </w:rPr>
        <w:t xml:space="preserve">Keywords:</w:t>
      </w:r>
      <w:r>
        <w:t xml:space="preserve"> </w:t>
      </w:r>
      <w:r>
        <w:t xml:space="preserve">diabetic retinopathy, deep learning, conformal prediction, Monte Carlo Dropout, calibration, out-of-distribution detection, multi-class severity grading, clinical decision support</w:t>
      </w:r>
    </w:p>
    <w:p>
      <w:r>
        <w:pict>
          <v:rect style="width:0;height:1.5pt" o:hralign="center" o:hrstd="t" o:hr="t"/>
        </w:pict>
      </w:r>
    </w:p>
    <w:bookmarkEnd w:id="9"/>
    <w:bookmarkEnd w:id="10"/>
    <w:bookmarkStart w:id="12" w:name="abstrakti"/>
    <w:p>
      <w:pPr>
        <w:pStyle w:val="Heading1"/>
      </w:pPr>
      <w:r>
        <w:t xml:space="preserve">ABSTRAKTI</w:t>
      </w:r>
    </w:p>
    <w:bookmarkStart w:id="11" w:name="X004aa6c3d3d0be1b4c1ea8b11173800b4e0b3f8"/>
    <w:p>
      <w:pPr>
        <w:pStyle w:val="Heading2"/>
      </w:pPr>
      <w:r>
        <w:t xml:space="preserve">KLASIFIKIM I RETINOPATISË DIABETIKE ME VETËDIJË NDAJ PASIGURISË DUKE PËRDORUR PARASHIKIMIN KONFORMAL DHE MËSIMIN BAYESIAN</w:t>
      </w:r>
    </w:p>
    <w:p>
      <w:pPr>
        <w:pStyle w:val="FirstParagraph"/>
      </w:pPr>
      <w:r>
        <w:rPr>
          <w:b/>
          <w:bCs/>
        </w:rPr>
        <w:t xml:space="preserve">Alia, Alketa</w:t>
      </w:r>
      <w:r>
        <w:t xml:space="preserve"> </w:t>
      </w:r>
      <w:r>
        <w:t xml:space="preserve">M.Sc., Computer Engineering</w:t>
      </w:r>
      <w:r>
        <w:t xml:space="preserve"> </w:t>
      </w:r>
      <w:r>
        <w:t xml:space="preserve">Supervisor: [TË PLOTËSOHET]</w:t>
      </w:r>
    </w:p>
    <w:p>
      <w:pPr>
        <w:pStyle w:val="BodyText"/>
      </w:pPr>
      <w:r>
        <w:t xml:space="preserve">Kjo tezë zhvillon një sistem të vetëdijshëm ndaj pasigurisë për klasifikimin e automatizuar të retinopatisë diabetike (DR) nga imazhet e retinës, duke u mbështetur në një studim të mëparshëm të nivelit bachelor që trajtoi të njëjtin problem si detyrë klasifikimi binar. Ndërkohë që rrjetat moderne neurale konvolucionale arrijnë rregullisht saktësi mbi 95% në benchmark-un publik Kaggle APTOS 2019, përdorimi në screening klinik mbetet i kufizuar nga prirja e këtyre modeleve për të prodhuar parashikime të gabuara me besueshmëri të lartë. Kjo punë argumenton se një mjet screening-u i destinuar për përdorim nga klinicistë jo-specialistë duhet të bëjë më shumë se të maksimizojë saktësinë: duhet edhe të dijë — dhe ta komunikojë — kur parashikimet e tij janë jo të besueshme.</w:t>
      </w:r>
    </w:p>
    <w:p>
      <w:pPr>
        <w:pStyle w:val="BodyText"/>
      </w:pPr>
      <w:r>
        <w:t xml:space="preserve">Metodologjia rivendos një protokoll vlerësimi statistikisht rigoroz mbi datasetin APTOS 2019 me 3,662 imazhe, me ndarje të stratifikuar 70/15/15 për train/validation/test, parapërpunim specifik për çdo arkitekturë, peshim të humbjes sipas balancimit të klasave, dhe një pipeline trajnimi të unifikuar të ndarë mes të gjithë modeleve. Gjashtë arkitektura të thella vlerësohen fillimisht si klasifikatorë binarë — ResNet50, Xception, DenseNet121, VGG16, një CNN i ndërtuar nga zero, dhe një variant CNN që kombinon aktivizimet tanh dhe ReLU — së bashku me tre klasifikatorë klasikë (Pemë Vendimi, Pyje të Rastësishme, Makina Vektorësh Mbështetës) të trajnuar mbi tipare të nxjerra nga DenseNet121. Pasi preprocessing-u dhe class weighting korrigjohen, pesë modelet më të forta të thella grupohen midis 95.27% dhe 96.00% saktësi mbi setin test, dhe testet McNemar të çiftëzuara tregojnë se ato janë statistikisht të padallueshme nga njëri-tjetri (p &gt; 0.5 për çdo çift). Një ensemble heterogjen i të gjashtë anëtarëve arrin 96.55%.</w:t>
      </w:r>
    </w:p>
    <w:p>
      <w:pPr>
        <w:pStyle w:val="BodyText"/>
      </w:pPr>
      <w:r>
        <w:t xml:space="preserve">Përtej saktësisë, teza prezanton analizë kalibrimi (Expected dhe Maximum Calibration Error, diagrame besueshmërie, temperature scaling post-hoc), duke konfirmuar se rrjetat e trajnuara janë mjaftueshëm të kalibruara (ECE &lt; 5%) por përfitojnë në mënyrë të matshme nga temperature scaling, sidomos VGG16 (ECE u ul nga 2.55% në 1.53%, përmirësim relativ 40%). Vlerësimi i pasigurisë jepet pastaj përmes tre mekanizmave plotësues: (i) sinjale mospajtimi nga ensemble heterogjen — entropia parashikuese, informacioni i ndërsjellë, dhe deviacioni standard i probabiliteteve për-model; (ii) dy rrjeta me Monte Carlo Dropout (CNN dhe ResNet50) të vlerësuara me T = 30 forward pass stokastikë; dhe (iii) parashikim split conformal me skorë non-conformity LAC dhe APS, duke ofruar një garanci finite-sample dhe distribution-free se seti i parashikuar përmban etiketën e vërtetë me normën e paracaktuar.</w:t>
      </w:r>
    </w:p>
    <w:p>
      <w:pPr>
        <w:pStyle w:val="BodyText"/>
      </w:pPr>
      <w:r>
        <w:t xml:space="preserve">Një cross-validation 5-fold i ResNet50 mbi të njëjtin set test të fiksuar jep një vlerësim të ngushtë prej 95.64 ± 0.18 pikë përqindje, duke përjashtuar fatin e një split të vetëm dhe duke konfirmuar avantazhin e vogël por real të ensemble-it. Detektimi i imazheve jashtë-shpërndarjes studiohet duke përdorur katër metoda mbi imazhe sintetike noise: metodat në hapësirën e features (distanca Mahalanobis, kosinusi te centroidi) arrijnë ndarje të përsosur (AUROC = 1.0, FPR në 95% TPR = 0%), ndërsa baseline-i i max-softmax dështon (AUROC = 0.59).</w:t>
      </w:r>
    </w:p>
    <w:p>
      <w:pPr>
        <w:pStyle w:val="BodyText"/>
      </w:pPr>
      <w:r>
        <w:t xml:space="preserve">Teza pastaj rireformulon detyrën në formën e saj klinikisht më kuptimplote, duke zëvendësuar "DR / No DR" binar me shkallën origjinale të rëndësisë me 5 nivele (No DR, Mild, Moderate, Severe, PDR). Një ResNet50 i trajnuar mbi këtë objektiv multi-class arrin 77.09% saktësi dhe një quadratic-weighted kappa prej 0.847 mbi setin test të fshehur — konkurrues me rezultatet e leaderboard-it publik APTOS 2019 — me një distancë mesatare ordinale 0.329, duke do thënë që kur modeli gabon, zakonisht ndodh vetëm një klasë larg shkallës së vërtetë. Conformal prediction në α = 0.10 prodhon coverage marginal empirik prej 89.45% dhe coverage të balancuar per-class kushtëzuar [91, 82, 89, 90, 93]%, duke sugjeruar se 71% e pacientëve mund të auto-klasifikohen me sete me një ose dy klasa, ndërsa 29% e mbetur referohen tek mjeku.</w:t>
      </w:r>
    </w:p>
    <w:p>
      <w:pPr>
        <w:pStyle w:val="BodyText"/>
      </w:pPr>
      <w:r>
        <w:t xml:space="preserve">Përtej kontributeve metodologjike, një aplikacion Streamlit me kod të hapur shfaq këto sinjale pasigurie për përdoruesit fundorë, duke vizualizuar si vendimin e ensemble-it ashtu edhe setin e parashikimit conformal. Efekti kumulativ i studimit në nivelin master është një tranzicion nga një numër i vetëm saktësie tek një pipeline transparent dhe statistikisht i themeluar për mbështetje vendimesh klinike që trajton në mënyrë të qartë pasigurinë e tij.</w:t>
      </w:r>
    </w:p>
    <w:p>
      <w:pPr>
        <w:pStyle w:val="BodyText"/>
      </w:pPr>
      <w:r>
        <w:rPr>
          <w:b/>
          <w:bCs/>
        </w:rPr>
        <w:t xml:space="preserve">Fjalë kyçe:</w:t>
      </w:r>
      <w:r>
        <w:t xml:space="preserve"> </w:t>
      </w:r>
      <w:r>
        <w:t xml:space="preserve">retinopatia diabetike, mësimi i thellë, parashikim konformal, Monte Carlo Dropout, kalibrim, detektim jashtë-shpërndarjes, klasifikim multi-class i shkallëzuar, mbështetje vendimi klinik</w:t>
      </w:r>
    </w:p>
    <w:bookmarkEnd w:id="11"/>
    <w:bookmarkEnd w:id="12"/>
    <w:bookmarkStart w:id="18" w:name="chapter-1-introduction"/>
    <w:p>
      <w:pPr>
        <w:pStyle w:val="Heading1"/>
      </w:pPr>
      <w:r>
        <w:t xml:space="preserve">CHAPTER 1: INTRODUCTION</w:t>
      </w:r>
    </w:p>
    <w:bookmarkStart w:id="13" w:name="X210d04994bbcff5f659f6c48473748bbe276819"/>
    <w:p>
      <w:pPr>
        <w:pStyle w:val="Heading2"/>
      </w:pPr>
      <w:r>
        <w:t xml:space="preserve">1.1 Problem Description</w:t>
      </w:r>
    </w:p>
    <w:p>
      <w:pPr>
        <w:pStyle w:val="FirstParagraph"/>
      </w:pPr>
      <w:r>
        <w:t xml:space="preserve">Diabetic retinopathy (DR) is a microvascular complication of diabetes mellitus and remains one of the leading causes of preventable blindness in working-age adults worldwide. The disease arises when sustained hyperglycaemia damages the small blood vessels supplying the retina; the resulting cycle of vascular leakage, ischaemia and aberrant neovascularisation, if undetected, ends in retinal detachment and irreversible vision loss. Because the early stages are largely asymptomatic, regular fundus screening is essential — yet the global prevalence of diabetes (estimated at over 537 million people in 2024) far exceeds the capacity of trained ophthalmologists, especially in low-income and rural settings. Automated screening tools that can triage patients before specialist review have therefore become an active research area.</w:t>
      </w:r>
    </w:p>
    <w:p>
      <w:pPr>
        <w:pStyle w:val="BodyText"/>
      </w:pPr>
      <w:r>
        <w:t xml:space="preserve">The clinical staging system used by ophthalmologists distinguishes five severity levels: No DR (Stage 0), Mild non-proliferative (Stage 1), Moderate non-proliferative (Stage 2), Severe non-proliferative (Stage 3), and Proliferative DR (Stage 4). Each step has different management implications, ranging from observation in the mild stage to urgent vitreoretinal intervention in the proliferative stage. A clinically useful screening tool must therefore not only discriminate "DR present" from "DR absent" but also indicate severity in a way that maps onto the existing referral and treatment pathway.</w:t>
      </w:r>
    </w:p>
    <w:p>
      <w:pPr>
        <w:pStyle w:val="BodyText"/>
      </w:pPr>
      <w:r>
        <w:t xml:space="preserve">The bachelor thesis on which the present master work builds approached the same dataset, the Kaggle APTOS 2019 Blindness Detection collection, as a binary classification task: "DR" vs "No DR". Six deep architectures and three classical classifiers were compared, and an XGBoost-style narrative around a winning model was reported. While these results were sufficient at the bachelor level, they leave open three deeper questions that any deployment of such a system would have to answer:</w:t>
      </w:r>
    </w:p>
    <w:p>
      <w:pPr>
        <w:pStyle w:val="Compact"/>
        <w:numPr>
          <w:ilvl w:val="0"/>
          <w:numId w:val="1001"/>
        </w:numPr>
      </w:pPr>
      <w:r>
        <w:rPr>
          <w:b/>
          <w:bCs/>
        </w:rPr>
        <w:t xml:space="preserve">Are the reported differences between models real, or are they sampling noise?</w:t>
      </w:r>
      <w:r>
        <w:t xml:space="preserve"> </w:t>
      </w:r>
      <w:r>
        <w:t xml:space="preserve">No statistical significance test was performed.</w:t>
      </w:r>
    </w:p>
    <w:p>
      <w:pPr>
        <w:pStyle w:val="Compact"/>
        <w:numPr>
          <w:ilvl w:val="0"/>
          <w:numId w:val="1001"/>
        </w:numPr>
      </w:pPr>
      <w:r>
        <w:rPr>
          <w:b/>
          <w:bCs/>
        </w:rPr>
        <w:t xml:space="preserve">When the model is wrong, does it know?</w:t>
      </w:r>
      <w:r>
        <w:t xml:space="preserve"> </w:t>
      </w:r>
      <w:r>
        <w:t xml:space="preserve">No calibration analysis or uncertainty estimation was provided.</w:t>
      </w:r>
    </w:p>
    <w:p>
      <w:pPr>
        <w:pStyle w:val="Compact"/>
        <w:numPr>
          <w:ilvl w:val="0"/>
          <w:numId w:val="1001"/>
        </w:numPr>
      </w:pPr>
      <w:r>
        <w:rPr>
          <w:b/>
          <w:bCs/>
        </w:rPr>
        <w:t xml:space="preserve">What does the system do when the input is not a fundus image, or when the patient sits between two severity stages?</w:t>
      </w:r>
      <w:r>
        <w:t xml:space="preserve"> </w:t>
      </w:r>
      <w:r>
        <w:t xml:space="preserve">No abstention or out-of-distribution mechanism was implemented.</w:t>
      </w:r>
    </w:p>
    <w:p>
      <w:pPr>
        <w:pStyle w:val="FirstParagraph"/>
      </w:pPr>
      <w:r>
        <w:t xml:space="preserve">The present thesis treats these three questions as its primary research agenda.</w:t>
      </w:r>
    </w:p>
    <w:bookmarkEnd w:id="13"/>
    <w:bookmarkStart w:id="14" w:name="Xcd33d8d9ff7ac0c453a5345060f9cf0648db8f5"/>
    <w:p>
      <w:pPr>
        <w:pStyle w:val="Heading2"/>
      </w:pPr>
      <w:r>
        <w:t xml:space="preserve">1.2 Motivation: Why Uncertainty Matters in Medical AI</w:t>
      </w:r>
    </w:p>
    <w:p>
      <w:pPr>
        <w:pStyle w:val="FirstParagraph"/>
      </w:pPr>
      <w:r>
        <w:t xml:space="preserve">Modern convolutional networks are notoriously over-confident. A binary classifier that assigns "DR" with probability 0.99 may be wrong much more often than 1% of the time, particularly under distribution shift or for atypical inputs. In benign domains (advertising, recommendation), such miscalibration is mildly inconvenient. In screening medicine, it is dangerous: a confidently incorrect "No DR" can delay vision-saving intervention, while a confidently incorrect "DR" can trigger unnecessary referrals that erode clinical trust in the tool.</w:t>
      </w:r>
    </w:p>
    <w:p>
      <w:pPr>
        <w:pStyle w:val="BodyText"/>
      </w:pPr>
      <w:r>
        <w:t xml:space="preserve">Recent regulatory developments have begun to make uncertainty quantification a</w:t>
      </w:r>
      <w:r>
        <w:t xml:space="preserve"> </w:t>
      </w:r>
      <w:r>
        <w:rPr>
          <w:i/>
          <w:iCs/>
        </w:rPr>
        <w:t xml:space="preserve">requirement</w:t>
      </w:r>
      <w:r>
        <w:t xml:space="preserve"> </w:t>
      </w:r>
      <w:r>
        <w:t xml:space="preserve">rather than a research nicety. The U.S. Food and Drug Administration's framework for Software as a Medical Device, the European Union's Artificial Intelligence Act (in force from 2026), and the World Health Organization's guidance on AI for health all stipulate that high-risk medical AI must provide evidence of calibration, robustness to out-of-distribution inputs, and interpretable confidence estimates. A retinal screening pipeline that emits only an "accuracy = 96%" figure is not deployable under these frameworks; one that exposes calibrated probabilities, conformal prediction sets, and feature-space novelty scores is.</w:t>
      </w:r>
    </w:p>
    <w:p>
      <w:pPr>
        <w:pStyle w:val="BodyText"/>
      </w:pPr>
      <w:r>
        <w:t xml:space="preserve">A second, equally important argument is clinical. Ophthalmologists routinely refer ambiguous cases for second opinions, and the entire structure of telehealth retinal screening is built around triage — confident cases are auto-resolved while uncertain ones are escalated. A system that produces a single argmax verdict with no explicit "I don't know" output cannot integrate cleanly into this workflow. The system developed in this thesis explicitly produces three layers of output:</w:t>
      </w:r>
    </w:p>
    <w:p>
      <w:pPr>
        <w:pStyle w:val="Compact"/>
        <w:numPr>
          <w:ilvl w:val="0"/>
          <w:numId w:val="1002"/>
        </w:numPr>
      </w:pPr>
      <w:r>
        <w:t xml:space="preserve">A point prediction, as in the bachelor work.</w:t>
      </w:r>
    </w:p>
    <w:p>
      <w:pPr>
        <w:pStyle w:val="Compact"/>
        <w:numPr>
          <w:ilvl w:val="0"/>
          <w:numId w:val="1002"/>
        </w:numPr>
      </w:pPr>
      <w:r>
        <w:t xml:space="preserve">A calibrated probability for each class, validated by reliability diagrams and post-hoc temperature scaling.</w:t>
      </w:r>
    </w:p>
    <w:p>
      <w:pPr>
        <w:pStyle w:val="Compact"/>
        <w:numPr>
          <w:ilvl w:val="0"/>
          <w:numId w:val="1002"/>
        </w:numPr>
      </w:pPr>
      <w:r>
        <w:t xml:space="preserve">A conformal prediction set that, with provable coverage guarantee, contains the true label at least 90% (or 95%) of the time.</w:t>
      </w:r>
    </w:p>
    <w:p>
      <w:pPr>
        <w:pStyle w:val="FirstParagraph"/>
      </w:pPr>
      <w:r>
        <w:t xml:space="preserve">Combined, these allow a downstream clinical workflow to filter cases by confidence, escalating only the genuinely ambiguous ones to a specialist.</w:t>
      </w:r>
    </w:p>
    <w:bookmarkEnd w:id="14"/>
    <w:bookmarkStart w:id="15" w:name="X6e54318909cabc12bac99bb07686db428bb606f"/>
    <w:p>
      <w:pPr>
        <w:pStyle w:val="Heading2"/>
      </w:pPr>
      <w:r>
        <w:t xml:space="preserve">1.3 Research Questions and Contributions</w:t>
      </w:r>
    </w:p>
    <w:p>
      <w:pPr>
        <w:pStyle w:val="FirstParagraph"/>
      </w:pPr>
      <w:r>
        <w:t xml:space="preserve">This thesis is organised around four research questions, each addressed in a dedicated chapter:</w:t>
      </w:r>
    </w:p>
    <w:p>
      <w:pPr>
        <w:pStyle w:val="BodyText"/>
      </w:pPr>
      <w:r>
        <w:rPr>
          <w:b/>
          <w:bCs/>
        </w:rPr>
        <w:t xml:space="preserve">RQ1.</w:t>
      </w:r>
      <w:r>
        <w:t xml:space="preserve"> </w:t>
      </w:r>
      <w:r>
        <w:rPr>
          <w:i/>
          <w:iCs/>
        </w:rPr>
        <w:t xml:space="preserve">Do the six architectures evaluated in the bachelor thesis differ in performance once preprocessing and training are corrected, and what is the role of model ensembling?</w:t>
      </w:r>
      <w:r>
        <w:t xml:space="preserve"> </w:t>
      </w:r>
      <w:r>
        <w:t xml:space="preserve">Chapter 4 retrains each of the six binary classifiers with architecture-specific input preprocessing, balanced class weighting, and stratified train/validation/test splits. Bootstrap confidence intervals on test accuracy and pairwise McNemar tests are used to assess significance. A heterogeneous ensemble across all six members is constructed.</w:t>
      </w:r>
    </w:p>
    <w:p>
      <w:pPr>
        <w:pStyle w:val="BodyText"/>
      </w:pPr>
      <w:r>
        <w:rPr>
          <w:b/>
          <w:bCs/>
        </w:rPr>
        <w:t xml:space="preserve">RQ2.</w:t>
      </w:r>
      <w:r>
        <w:t xml:space="preserve"> </w:t>
      </w:r>
      <w:r>
        <w:rPr>
          <w:i/>
          <w:iCs/>
        </w:rPr>
        <w:t xml:space="preserve">How well-calibrated are the trained models, and to what extent does post-hoc temperature scaling reduce calibration error?</w:t>
      </w:r>
      <w:r>
        <w:t xml:space="preserve"> </w:t>
      </w:r>
      <w:r>
        <w:t xml:space="preserve">Chapter 4 also reports Expected and Maximum Calibration Error, reliability diagrams (raw and after temperature scaling), and per-model temperatures fitted on the validation set.</w:t>
      </w:r>
    </w:p>
    <w:p>
      <w:pPr>
        <w:pStyle w:val="BodyText"/>
      </w:pPr>
      <w:r>
        <w:rPr>
          <w:b/>
          <w:bCs/>
        </w:rPr>
        <w:t xml:space="preserve">RQ3.</w:t>
      </w:r>
      <w:r>
        <w:t xml:space="preserve"> </w:t>
      </w:r>
      <w:r>
        <w:rPr>
          <w:i/>
          <w:iCs/>
        </w:rPr>
        <w:t xml:space="preserve">What is the most useful uncertainty signal for selective prediction and out-of-distribution detection, and can a conformal prediction wrapper provide a finite-sample coverage guarantee?</w:t>
      </w:r>
      <w:r>
        <w:t xml:space="preserve"> </w:t>
      </w:r>
      <w:r>
        <w:t xml:space="preserve">Chapter 5 implements split conformal prediction with both LAC and APS scores, Monte Carlo Dropout retraining for the CNN and ResNet50 backbones, and four out-of-distribution scoring methods (Maximum Softmax Probability, Energy, Mahalanobis, cosine to ID centroid). A 5-fold cross-validation of ResNet50 quantifies the variability of the test estimate.</w:t>
      </w:r>
    </w:p>
    <w:p>
      <w:pPr>
        <w:pStyle w:val="BodyText"/>
      </w:pPr>
      <w:r>
        <w:rPr>
          <w:b/>
          <w:bCs/>
        </w:rPr>
        <w:t xml:space="preserve">RQ4.</w:t>
      </w:r>
      <w:r>
        <w:t xml:space="preserve"> </w:t>
      </w:r>
      <w:r>
        <w:rPr>
          <w:i/>
          <w:iCs/>
        </w:rPr>
        <w:t xml:space="preserve">Does the same uncertainty machinery generalise from binary classification to the clinically meaningful 5-stage grading task, and what is the resulting clinical workflow?</w:t>
      </w:r>
      <w:r>
        <w:t xml:space="preserve"> </w:t>
      </w:r>
      <w:r>
        <w:t xml:space="preserve">Chapter 6 retrains the CNN and ResNet50 backbones on the original 5-class labels, evaluates them with quadratic-weighted kappa and ordinal distance, and constructs multi-class conformal prediction sets that map directly onto a refer-to-specialist rule.</w:t>
      </w:r>
    </w:p>
    <w:p>
      <w:pPr>
        <w:pStyle w:val="BodyText"/>
      </w:pPr>
      <w:r>
        <w:t xml:space="preserve">The cumulative contributions are summarised below.</w:t>
      </w:r>
    </w:p>
    <w:p>
      <w:pPr>
        <w:pStyle w:val="Compact"/>
        <w:numPr>
          <w:ilvl w:val="0"/>
          <w:numId w:val="1003"/>
        </w:numPr>
      </w:pPr>
      <w:r>
        <w:t xml:space="preserve">A reproducible, statistically rigorous evaluation pipeline for the APTOS 2019 dataset, addressing the methodological gaps of the bachelor study (test-set augmentation, lack of stratification, missing class weights, mismatched preprocessing).</w:t>
      </w:r>
    </w:p>
    <w:p>
      <w:pPr>
        <w:pStyle w:val="Compact"/>
        <w:numPr>
          <w:ilvl w:val="0"/>
          <w:numId w:val="1003"/>
        </w:numPr>
      </w:pPr>
      <w:r>
        <w:t xml:space="preserve">A calibration analysis for six DR classifiers, revealing previously unreported over-confidence in VGG16 and demonstrating a 40% relative ECE reduction via temperature scaling.</w:t>
      </w:r>
    </w:p>
    <w:p>
      <w:pPr>
        <w:pStyle w:val="Compact"/>
        <w:numPr>
          <w:ilvl w:val="0"/>
          <w:numId w:val="1003"/>
        </w:numPr>
      </w:pPr>
      <w:r>
        <w:t xml:space="preserve">The first application, to our knowledge, of split conformal prediction with formal coverage guarantees to multi-stage DR grading on APTOS 2019.</w:t>
      </w:r>
    </w:p>
    <w:p>
      <w:pPr>
        <w:pStyle w:val="Compact"/>
        <w:numPr>
          <w:ilvl w:val="0"/>
          <w:numId w:val="1003"/>
        </w:numPr>
      </w:pPr>
      <w:r>
        <w:t xml:space="preserve">A side-by-side comparison of Monte Carlo Dropout, deep-ensemble disagreement, and feature-space OOD detection on a single benchmark.</w:t>
      </w:r>
    </w:p>
    <w:p>
      <w:pPr>
        <w:pStyle w:val="Compact"/>
        <w:numPr>
          <w:ilvl w:val="0"/>
          <w:numId w:val="1003"/>
        </w:numPr>
      </w:pPr>
      <w:r>
        <w:t xml:space="preserve">A 5-stage grading model achieving QWK = 0.847, competitive with public APTOS 2019 leaderboards, with conformal sets that translate into a 71%/29% auto-classify/refer split clinically.</w:t>
      </w:r>
    </w:p>
    <w:p>
      <w:pPr>
        <w:pStyle w:val="Compact"/>
        <w:numPr>
          <w:ilvl w:val="0"/>
          <w:numId w:val="1003"/>
        </w:numPr>
      </w:pPr>
      <w:r>
        <w:t xml:space="preserve">An open-source Streamlit application that surfaces calibrated probabilities, ensemble disagreement, and conformal prediction sets to end users in real time.</w:t>
      </w:r>
    </w:p>
    <w:bookmarkEnd w:id="15"/>
    <w:bookmarkStart w:id="16" w:name="X504188857f3cab1be784d169191b4e521fbf0f4"/>
    <w:p>
      <w:pPr>
        <w:pStyle w:val="Heading2"/>
      </w:pPr>
      <w:r>
        <w:t xml:space="preserve">1.4 Methodology Overview</w:t>
      </w:r>
    </w:p>
    <w:p>
      <w:pPr>
        <w:pStyle w:val="FirstParagraph"/>
      </w:pPr>
      <w:r>
        <w:t xml:space="preserve">The dataset is the same as in the bachelor thesis: 3,662 retinal fundus images at 224×224 pixels, sourced from the Kaggle APTOS 2019 competition. All experiments use a single, fixed stratified 70/15/15 train/validation/test split with random seed 123, so every metric reported in the thesis is computed on the</w:t>
      </w:r>
      <w:r>
        <w:t xml:space="preserve"> </w:t>
      </w:r>
      <w:r>
        <w:rPr>
          <w:i/>
          <w:iCs/>
        </w:rPr>
        <w:t xml:space="preserve">same</w:t>
      </w:r>
      <w:r>
        <w:t xml:space="preserve"> </w:t>
      </w:r>
      <w:r>
        <w:t xml:space="preserve">550 held-out test images. The bachelor pipeline used an 80/20 split with no separate validation set; the present work adds an explicit validation set used for early stopping, learning-rate scheduling, temperature scaling, and conformal threshold fitting.</w:t>
      </w:r>
    </w:p>
    <w:p>
      <w:pPr>
        <w:pStyle w:val="BodyText"/>
      </w:pPr>
      <w:r>
        <w:t xml:space="preserve">All training is performed on a CPU-only consumer laptop (Apple Silicon M-series, 8 GB RAM), with TensorFlow 2.15. No GPU was used. This is a deliberate choice: it constrains the experiments to architectures and training regimes that are realistically deployable in low-resource settings, including the kind of computer used in primary-care clinics.</w:t>
      </w:r>
    </w:p>
    <w:p>
      <w:pPr>
        <w:pStyle w:val="BodyText"/>
      </w:pPr>
      <w:r>
        <w:t xml:space="preserve">Code is organised into four top-level Python packages:</w:t>
      </w:r>
      <w:r>
        <w:t xml:space="preserve"> </w:t>
      </w:r>
      <w:r>
        <w:rPr>
          <w:rStyle w:val="VerbatimChar"/>
        </w:rPr>
        <w:t xml:space="preserve">lib/</w:t>
      </w:r>
      <w:r>
        <w:t xml:space="preserve"> </w:t>
      </w:r>
      <w:r>
        <w:t xml:space="preserve">for the inference and Streamlit user interface,</w:t>
      </w:r>
      <w:r>
        <w:t xml:space="preserve"> </w:t>
      </w:r>
      <w:r>
        <w:rPr>
          <w:rStyle w:val="VerbatimChar"/>
        </w:rPr>
        <w:t xml:space="preserve">scripts/</w:t>
      </w:r>
      <w:r>
        <w:t xml:space="preserve"> </w:t>
      </w:r>
      <w:r>
        <w:t xml:space="preserve">for the unified training driver,</w:t>
      </w:r>
      <w:r>
        <w:t xml:space="preserve"> </w:t>
      </w:r>
      <w:r>
        <w:rPr>
          <w:rStyle w:val="VerbatimChar"/>
        </w:rPr>
        <w:t xml:space="preserve">master/uncertainty/</w:t>
      </w:r>
      <w:r>
        <w:t xml:space="preserve"> </w:t>
      </w:r>
      <w:r>
        <w:t xml:space="preserve">for the calibration, conformal, ensemble, OOD and Monte Carlo Dropout modules, and</w:t>
      </w:r>
      <w:r>
        <w:t xml:space="preserve"> </w:t>
      </w:r>
      <w:r>
        <w:rPr>
          <w:rStyle w:val="VerbatimChar"/>
        </w:rPr>
        <w:t xml:space="preserve">master/run_*.py</w:t>
      </w:r>
      <w:r>
        <w:t xml:space="preserve"> </w:t>
      </w:r>
      <w:r>
        <w:t xml:space="preserve">for the analysis scripts that produced every CSV, JSON and figure in the present document. The complete codebase is open-source.</w:t>
      </w:r>
    </w:p>
    <w:bookmarkEnd w:id="16"/>
    <w:bookmarkStart w:id="17" w:name="X5afa7711b68683195e64892a8b5fbb00ff06fbe"/>
    <w:p>
      <w:pPr>
        <w:pStyle w:val="Heading2"/>
      </w:pPr>
      <w:r>
        <w:t xml:space="preserve">1.5 Thesis Outline</w:t>
      </w:r>
    </w:p>
    <w:p>
      <w:pPr>
        <w:pStyle w:val="FirstParagraph"/>
      </w:pPr>
      <w:r>
        <w:t xml:space="preserve">The remainder of the thesis is organised as follows. Chapter 2 surveys the clinical and technical background needed to motivate the methodology: the pathophysiology and grading of DR, the convolutional architectures used as backbones, calibration of deep classifiers, Bayesian approximations via Monte Carlo Dropout, the conformal prediction framework, and out-of-distribution detection. Chapter 3 describes the unified experimental protocol — dataset, splits, augmentation, training callbacks, evaluation metrics — and the implementation of each uncertainty module. Chapters 4, 5 and 6 report the results of the three experimental phases. Chapter 7 discusses clinical implications, limitations, and avenues for future work. Two appendices document hyperparameters and present additional reliability and confusion-matrix figures.</w:t>
      </w:r>
    </w:p>
    <w:bookmarkEnd w:id="17"/>
    <w:bookmarkEnd w:id="18"/>
    <w:bookmarkStart w:id="44" w:name="chapter-2-background"/>
    <w:p>
      <w:pPr>
        <w:pStyle w:val="Heading1"/>
      </w:pPr>
      <w:r>
        <w:t xml:space="preserve">CHAPTER 2: BACKGROUND</w:t>
      </w:r>
    </w:p>
    <w:p>
      <w:pPr>
        <w:pStyle w:val="FirstParagraph"/>
      </w:pPr>
      <w:r>
        <w:t xml:space="preserve">This chapter establishes the clinical and technical background needed to motivate the methodology of the thesis. Section 2.1 reviews the pathophysiology and clinical grading of diabetic retinopathy and describes the APTOS 2019 dataset. Section 2.2 summarises the convolutional architectures used as backbones in this thesis. Sections 2.3 to 2.6 introduce the four pillars of the uncertainty-aware methodology: calibration, Bayesian approximations, conformal prediction, and out-of-distribution detection. Section 2.7 surveys related work that combines these ideas in DR or other medical imaging tasks.</w:t>
      </w:r>
    </w:p>
    <w:bookmarkStart w:id="21" w:name="Xf9a50566c84676b4c1d8f19bbc0ad8e2c9c6fa2"/>
    <w:p>
      <w:pPr>
        <w:pStyle w:val="Heading2"/>
      </w:pPr>
      <w:r>
        <w:t xml:space="preserve">2.1 Diabetic Retinopathy and the APTOS 2019 Dataset</w:t>
      </w:r>
    </w:p>
    <w:bookmarkStart w:id="19" w:name="X386710744890c001cf24c7a457dbc112d0f9cdc"/>
    <w:p>
      <w:pPr>
        <w:pStyle w:val="Heading3"/>
      </w:pPr>
      <w:r>
        <w:t xml:space="preserve">2.1.1 Pathophysiology</w:t>
      </w:r>
    </w:p>
    <w:p>
      <w:pPr>
        <w:pStyle w:val="FirstParagraph"/>
      </w:pPr>
      <w:r>
        <w:t xml:space="preserve">Diabetic retinopathy is a microvascular complication of diabetes mellitus in which prolonged hyperglycaemia damages the small blood vessels supplying the retina. The disease progresses through a cascade of overlapping mechanisms: pericyte loss leading to vascular fragility, microaneurysm formation, increased vascular permeability and consequent macular oedema, capillary occlusion and resulting ischaemia, and finally vascular endothelial growth factor (VEGF)-driven neovascularisation. Each stage produces characteristic findings on fundus examination, summarised in the International Clinical DR Severity Scale used by the American Academy of Ophthalmology and adopted by the APTOS 2019 dataset:</w:t>
      </w:r>
    </w:p>
    <w:p>
      <w:pPr>
        <w:pStyle w:val="Compact"/>
        <w:numPr>
          <w:ilvl w:val="0"/>
          <w:numId w:val="1004"/>
        </w:numPr>
      </w:pPr>
      <w:r>
        <w:rPr>
          <w:b/>
          <w:bCs/>
        </w:rPr>
        <w:t xml:space="preserve">Stage 0 — No DR</w:t>
      </w:r>
      <w:r>
        <w:t xml:space="preserve">: no apparent retinal pathology.</w:t>
      </w:r>
    </w:p>
    <w:p>
      <w:pPr>
        <w:pStyle w:val="Compact"/>
        <w:numPr>
          <w:ilvl w:val="0"/>
          <w:numId w:val="1004"/>
        </w:numPr>
      </w:pPr>
      <w:r>
        <w:rPr>
          <w:b/>
          <w:bCs/>
        </w:rPr>
        <w:t xml:space="preserve">Stage 1 — Mild non-proliferative DR</w:t>
      </w:r>
      <w:r>
        <w:t xml:space="preserve">: presence of a small number of microaneurysms only.</w:t>
      </w:r>
    </w:p>
    <w:p>
      <w:pPr>
        <w:pStyle w:val="Compact"/>
        <w:numPr>
          <w:ilvl w:val="0"/>
          <w:numId w:val="1004"/>
        </w:numPr>
      </w:pPr>
      <w:r>
        <w:rPr>
          <w:b/>
          <w:bCs/>
        </w:rPr>
        <w:t xml:space="preserve">Stage 2 — Moderate non-proliferative DR</w:t>
      </w:r>
      <w:r>
        <w:t xml:space="preserve">: more than just microaneurysms but less than severe NPDR; may include hard exudates and dot/blot haemorrhages.</w:t>
      </w:r>
    </w:p>
    <w:p>
      <w:pPr>
        <w:pStyle w:val="Compact"/>
        <w:numPr>
          <w:ilvl w:val="0"/>
          <w:numId w:val="1004"/>
        </w:numPr>
      </w:pPr>
      <w:r>
        <w:rPr>
          <w:b/>
          <w:bCs/>
        </w:rPr>
        <w:t xml:space="preserve">Stage 3 — Severe non-proliferative DR</w:t>
      </w:r>
      <w:r>
        <w:t xml:space="preserve">: any of the "4-2-1" criteria (more than 20 intraretinal haemorrhages in each of four quadrants; or definite venous beading in two or more quadrants; or prominent intraretinal microvascular abnormalities in one or more quadrants).</w:t>
      </w:r>
    </w:p>
    <w:p>
      <w:pPr>
        <w:pStyle w:val="Compact"/>
        <w:numPr>
          <w:ilvl w:val="0"/>
          <w:numId w:val="1004"/>
        </w:numPr>
      </w:pPr>
      <w:r>
        <w:rPr>
          <w:b/>
          <w:bCs/>
        </w:rPr>
        <w:t xml:space="preserve">Stage 4 — Proliferative DR (PDR)</w:t>
      </w:r>
      <w:r>
        <w:t xml:space="preserve">: neovascularisation of the disc or elsewhere, with or without preretinal/vitreous haemorrhage.</w:t>
      </w:r>
    </w:p>
    <w:p>
      <w:pPr>
        <w:pStyle w:val="FirstParagraph"/>
      </w:pPr>
      <w:r>
        <w:t xml:space="preserve">Treatment escalates accordingly. Patients in Stage 0 or Stage 1 are typically scheduled for routine annual review. Stage 2 may merit a closer follow-up interval. Stages 3 and 4 require referral to an ophthalmologist, with anti-VEGF injections and panretinal photocoagulation as the cornerstones of treatment in Stage 4 to prevent retinal detachment and irreversible vision loss. The clinical implication for an automated screening system is therefore clear: a binary "DR / No DR" output is informationally lossy. A patient with Mild DR and a patient with PDR receive the same label but very different management.</w:t>
      </w:r>
    </w:p>
    <w:bookmarkEnd w:id="19"/>
    <w:bookmarkStart w:id="20" w:name="X7dcc7ab4d464e1155e5bde629c44c953fe2538f"/>
    <w:p>
      <w:pPr>
        <w:pStyle w:val="Heading3"/>
      </w:pPr>
      <w:r>
        <w:t xml:space="preserve">2.1.2 APTOS 2019 Blindness Detection Dataset</w:t>
      </w:r>
    </w:p>
    <w:p>
      <w:pPr>
        <w:pStyle w:val="FirstParagraph"/>
      </w:pPr>
      <w:r>
        <w:t xml:space="preserve">The dataset used throughout this thesis is the APTOS 2019 Blindness Detection collection, hosted on Kaggle by the Asia Pacific Tele-Ophthalmology Society. It comprises 3,662 retinal fundus images, each cropped and resized to 224×224 pixels and labelled by an experienced clinician on the five-stage scale described above. The class distribution is heavily skewed toward Stage 0: approximately half of the images carry the No DR label, while the more clinically urgent Stages 3 and 4 together account for less than 14%. Any successful classifier on this dataset must therefore handle severe class imbalance, either through class-weighted loss, oversampling, or focal-style loss functions.</w:t>
      </w:r>
    </w:p>
    <w:p>
      <w:pPr>
        <w:pStyle w:val="BodyText"/>
      </w:pPr>
      <w:r>
        <w:t xml:space="preserve">For the binary version of the task, Stages 1 to 4 are collapsed into a single "DR" class, yielding a roughly 50/50 split. This is the formulation used in the bachelor thesis. The present master work returns to the original 5-class formulation in Chapter 6 because of its higher clinical relevance.</w:t>
      </w:r>
    </w:p>
    <w:bookmarkEnd w:id="20"/>
    <w:bookmarkEnd w:id="21"/>
    <w:bookmarkStart w:id="27" w:name="X87c386b40f6138f8659719e7079695695758aca"/>
    <w:p>
      <w:pPr>
        <w:pStyle w:val="Heading2"/>
      </w:pPr>
      <w:r>
        <w:t xml:space="preserve">2.2 Convolutional Architectures</w:t>
      </w:r>
    </w:p>
    <w:p>
      <w:pPr>
        <w:pStyle w:val="FirstParagraph"/>
      </w:pPr>
      <w:r>
        <w:t xml:space="preserve">The thesis evaluates six deep architectures and three classical classifiers. The deep architectures are summarised here; the classical methods are introduced in Section 3.6 of the methodology chapter.</w:t>
      </w:r>
    </w:p>
    <w:bookmarkStart w:id="22" w:name="X1e72e64d772e099519b96119a19ab631a557316"/>
    <w:p>
      <w:pPr>
        <w:pStyle w:val="Heading3"/>
      </w:pPr>
      <w:r>
        <w:t xml:space="preserve">2.2.1 ResNet50</w:t>
      </w:r>
    </w:p>
    <w:p>
      <w:pPr>
        <w:pStyle w:val="FirstParagraph"/>
      </w:pPr>
      <w:r>
        <w:t xml:space="preserve">ResNet50 [He et al., 2016] introduced residual learning with skip connections that bypass two or three convolutional layers. The architecture has 50 layers organised into five stages, with approximately 25.6 million parameters. Skip connections mitigate the vanishing-gradient problem and enable training of much deeper networks than the previous state of the art. In the present thesis, ResNet50 is used as a transfer-learning backbone with ImageNet pretrained weights and a 128-unit dense head.</w:t>
      </w:r>
    </w:p>
    <w:bookmarkEnd w:id="22"/>
    <w:bookmarkStart w:id="23" w:name="X32bb69ab87a86dfd36237a021289087ec1bf942"/>
    <w:p>
      <w:pPr>
        <w:pStyle w:val="Heading3"/>
      </w:pPr>
      <w:r>
        <w:t xml:space="preserve">2.2.2 DenseNet121</w:t>
      </w:r>
    </w:p>
    <w:p>
      <w:pPr>
        <w:pStyle w:val="FirstParagraph"/>
      </w:pPr>
      <w:r>
        <w:t xml:space="preserve">DenseNet121 [Huang et al., 2017] takes the idea of skip connections to an extreme: every layer in a dense block receives the concatenated outputs of all preceding layers. The 121-layer variant has only ~7 million parameters thanks to the parameter-sharing afforded by feature reuse. Dense connectivity also produces an implicit deep-supervision effect that encourages feature reuse and shortens gradient paths.</w:t>
      </w:r>
    </w:p>
    <w:bookmarkEnd w:id="23"/>
    <w:bookmarkStart w:id="24" w:name="X6431c41df7e0c6b02d9389984ec0355abe4dd8d"/>
    <w:p>
      <w:pPr>
        <w:pStyle w:val="Heading3"/>
      </w:pPr>
      <w:r>
        <w:t xml:space="preserve">2.2.3 Xception</w:t>
      </w:r>
    </w:p>
    <w:p>
      <w:pPr>
        <w:pStyle w:val="FirstParagraph"/>
      </w:pPr>
      <w:r>
        <w:t xml:space="preserve">Xception [Chollet, 2017] replaces standard convolutions with depthwise separable convolutions that factorise spatial and channel-wise convolution. The architecture has 36 layers organised into Entry, Middle, and Exit flows, with ~21 million parameters. Despite its extreme decomposition of the standard convolution, Xception consistently performs at or above the level of much larger architectures on ImageNet.</w:t>
      </w:r>
    </w:p>
    <w:bookmarkEnd w:id="24"/>
    <w:bookmarkStart w:id="25" w:name="X16b238784adad017699702d3157b30e87beeeb1"/>
    <w:p>
      <w:pPr>
        <w:pStyle w:val="Heading3"/>
      </w:pPr>
      <w:r>
        <w:t xml:space="preserve">2.2.4 VGG16</w:t>
      </w:r>
    </w:p>
    <w:p>
      <w:pPr>
        <w:pStyle w:val="FirstParagraph"/>
      </w:pPr>
      <w:r>
        <w:t xml:space="preserve">VGG16 [Simonyan and Zisserman, 2015] is a simpler, deeper architecture using only 3×3 convolutions and 2×2 max-pooling. Its uniformity makes it a popular pedagogical and transfer-learning choice. In the bachelor thesis, VGG16 was trained from scratch; in the present work it is evaluated as a transfer-learning backbone, which proves more accurate.</w:t>
      </w:r>
    </w:p>
    <w:bookmarkEnd w:id="25"/>
    <w:bookmarkStart w:id="26" w:name="X4ee9980f432d0fca62e85d132f6a90c9f91d032"/>
    <w:p>
      <w:pPr>
        <w:pStyle w:val="Heading3"/>
      </w:pPr>
      <w:r>
        <w:t xml:space="preserve">2.2.5 The 3-block Custom CNN</w:t>
      </w:r>
    </w:p>
    <w:p>
      <w:pPr>
        <w:pStyle w:val="FirstParagraph"/>
      </w:pPr>
      <w:r>
        <w:t xml:space="preserve">To anchor the comparison, the thesis also includes a from-scratch CNN with three convolution-pool blocks (32 → 64 → 128 filters) followed by a 128-unit dense layer and a sigmoid output. The model has ~11 million parameters and is trained on grayscale-replicated input. A second variant (CNN Tanh+ReLU) substitutes tanh for ReLU in the second convolutional block and the dense layer; the bachelor study reported that this combination performed competitively, but the master-level statistical analysis presented in Chapter 4 shows that it is in fact significantly worse than the all-ReLU variant.</w:t>
      </w:r>
    </w:p>
    <w:bookmarkEnd w:id="26"/>
    <w:bookmarkEnd w:id="27"/>
    <w:bookmarkStart w:id="31" w:name="Xec755bf6a6cf0390d7be540a3d56b9184fdd69c"/>
    <w:p>
      <w:pPr>
        <w:pStyle w:val="Heading2"/>
      </w:pPr>
      <w:r>
        <w:t xml:space="preserve">2.3 Calibration of Deep Classifiers</w:t>
      </w:r>
    </w:p>
    <w:p>
      <w:pPr>
        <w:pStyle w:val="FirstParagraph"/>
      </w:pPr>
      <w:r>
        <w:t xml:space="preserve">A classifier is said to be well-calibrated if its predicted probabilities match observed frequencies: among the inputs for which the model outputs probability 0.8, approximately 80% should be correctly classified. Modern deep networks are typically</w:t>
      </w:r>
      <w:r>
        <w:t xml:space="preserve"> </w:t>
      </w:r>
      <w:r>
        <w:rPr>
          <w:i/>
          <w:iCs/>
        </w:rPr>
        <w:t xml:space="preserve">not</w:t>
      </w:r>
      <w:r>
        <w:t xml:space="preserve"> </w:t>
      </w:r>
      <w:r>
        <w:t xml:space="preserve">well-calibrated; Guo et al. [2017] showed that even high-accuracy networks tend to be over-confident, with the gap widening as architectures grow deeper and use stronger regularisation.</w:t>
      </w:r>
    </w:p>
    <w:bookmarkStart w:id="28" w:name="X21431f372388825e09a9bdc90b4cfa190fc46a0"/>
    <w:p>
      <w:pPr>
        <w:pStyle w:val="Heading3"/>
      </w:pPr>
      <w:r>
        <w:t xml:space="preserve">2.3.1 Expected and Maximum Calibration Error</w:t>
      </w:r>
    </w:p>
    <w:p>
      <w:pPr>
        <w:pStyle w:val="FirstParagraph"/>
      </w:pPr>
      <w:r>
        <w:t xml:space="preserve">The standard scalar measure of calibration is the</w:t>
      </w:r>
      <w:r>
        <w:t xml:space="preserve"> </w:t>
      </w:r>
      <w:r>
        <w:rPr>
          <w:b/>
          <w:bCs/>
        </w:rPr>
        <w:t xml:space="preserve">Expected Calibration Error (ECE)</w:t>
      </w:r>
      <w:r>
        <w:t xml:space="preserve">:</w:t>
      </w:r>
    </w:p>
    <w:p>
      <w:pPr>
        <w:pStyle w:val="BodyText"/>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sepChr m:val=""/>
              <m:endChr m:val="|"/>
              <m:grow/>
            </m:dPr>
            <m:e>
              <m:r>
                <m:rPr>
                  <m:nor/>
                  <m:sty m:val="p"/>
                </m:rPr>
                <m:t>acc</m:t>
              </m:r>
              <m:r>
                <m:rPr>
                  <m:sty m:val="p"/>
                </m:rPr>
                <m:t>(</m:t>
              </m:r>
              <m:sSub>
                <m:e>
                  <m:r>
                    <m:t>B</m:t>
                  </m:r>
                </m:e>
                <m:sub>
                  <m:r>
                    <m:t>m</m:t>
                  </m:r>
                </m:sub>
              </m:sSub>
              <m:r>
                <m:rPr>
                  <m:sty m:val="p"/>
                </m:rPr>
                <m:t>)</m:t>
              </m:r>
              <m:r>
                <m:rPr>
                  <m:sty m:val="p"/>
                </m:rPr>
                <m:t>−</m:t>
              </m:r>
              <m:r>
                <m:rPr>
                  <m:nor/>
                  <m:sty m:val="p"/>
                </m:rPr>
                <m:t>conf</m:t>
              </m:r>
              <m:r>
                <m:rPr>
                  <m:sty m:val="p"/>
                </m:rPr>
                <m:t>(</m:t>
              </m:r>
              <m:sSub>
                <m:e>
                  <m:r>
                    <m:t>B</m:t>
                  </m:r>
                </m:e>
                <m:sub>
                  <m:r>
                    <m:t>m</m:t>
                  </m:r>
                </m:sub>
              </m:sSub>
              <m:r>
                <m:rPr>
                  <m:sty m:val="p"/>
                </m:rPr>
                <m:t>)</m:t>
              </m:r>
            </m:e>
          </m:d>
        </m:oMath>
      </m:oMathPara>
    </w:p>
    <w:p>
      <w:pPr>
        <w:pStyle w:val="FirstParagraph"/>
      </w:pPr>
      <w:r>
        <w:t xml:space="preserve">where the predictions are partitioned into M equal-width confidence bins</w:t>
      </w:r>
      <w:r>
        <w:t xml:space="preserve"> </w:t>
      </w:r>
      <m:oMath>
        <m:sSub>
          <m:e>
            <m:r>
              <m:t>B</m:t>
            </m:r>
          </m:e>
          <m:sub>
            <m:r>
              <m:t>m</m:t>
            </m:r>
          </m:sub>
        </m:sSub>
      </m:oMath>
      <w:r>
        <w:t xml:space="preserve">,</w:t>
      </w:r>
      <w:r>
        <w:t xml:space="preserve"> </w:t>
      </w:r>
      <m:oMath>
        <m:r>
          <m:rPr>
            <m:nor/>
            <m:sty m:val="p"/>
          </m:rPr>
          <m:t>acc</m:t>
        </m:r>
        <m:r>
          <m:rPr>
            <m:sty m:val="p"/>
          </m:rPr>
          <m:t>(</m:t>
        </m:r>
        <m:sSub>
          <m:e>
            <m:r>
              <m:t>B</m:t>
            </m:r>
          </m:e>
          <m:sub>
            <m:r>
              <m:t>m</m:t>
            </m:r>
          </m:sub>
        </m:sSub>
        <m:r>
          <m:rPr>
            <m:sty m:val="p"/>
          </m:rPr>
          <m:t>)</m:t>
        </m:r>
      </m:oMath>
      <w:r>
        <w:t xml:space="preserve"> </w:t>
      </w:r>
      <w:r>
        <w:t xml:space="preserve">is the empirical accuracy in bin</w:t>
      </w:r>
      <w:r>
        <w:t xml:space="preserve"> </w:t>
      </w:r>
      <m:oMath>
        <m:r>
          <m:t>m</m:t>
        </m:r>
      </m:oMath>
      <w:r>
        <w:t xml:space="preserve">, and</w:t>
      </w:r>
      <w:r>
        <w:t xml:space="preserve"> </w:t>
      </w:r>
      <m:oMath>
        <m:r>
          <m:rPr>
            <m:nor/>
            <m:sty m:val="p"/>
          </m:rPr>
          <m:t>conf</m:t>
        </m:r>
        <m:r>
          <m:rPr>
            <m:sty m:val="p"/>
          </m:rPr>
          <m:t>(</m:t>
        </m:r>
        <m:sSub>
          <m:e>
            <m:r>
              <m:t>B</m:t>
            </m:r>
          </m:e>
          <m:sub>
            <m:r>
              <m:t>m</m:t>
            </m:r>
          </m:sub>
        </m:sSub>
        <m:r>
          <m:rPr>
            <m:sty m:val="p"/>
          </m:rPr>
          <m:t>)</m:t>
        </m:r>
      </m:oMath>
      <w:r>
        <w:t xml:space="preserve"> </w:t>
      </w:r>
      <w:r>
        <w:t xml:space="preserve">is the average confidence in the bin. ECE = 0 indicates perfect calibration; in practice, values below 5% are considered acceptable, while values above 10% indicate clinically problematic over-confidence.</w:t>
      </w:r>
    </w:p>
    <w:p>
      <w:pPr>
        <w:pStyle w:val="BodyText"/>
      </w:pPr>
      <w:r>
        <w:t xml:space="preserve">The</w:t>
      </w:r>
      <w:r>
        <w:t xml:space="preserve"> </w:t>
      </w:r>
      <w:r>
        <w:rPr>
          <w:b/>
          <w:bCs/>
        </w:rPr>
        <w:t xml:space="preserve">Maximum Calibration Error (MCE)</w:t>
      </w:r>
      <w:r>
        <w:t xml:space="preserve"> </w:t>
      </w:r>
      <w:r>
        <w:t xml:space="preserve">replaces the weighted sum with a maximum over bins; it captures the worst-case calibration gap and is sensitive to small badly-calibrated regions of the confidence range that ECE would average out.</w:t>
      </w:r>
    </w:p>
    <w:bookmarkEnd w:id="28"/>
    <w:bookmarkStart w:id="29" w:name="X27f59d900e4a603426ec6a2e397e0f41152500a"/>
    <w:p>
      <w:pPr>
        <w:pStyle w:val="Heading3"/>
      </w:pPr>
      <w:r>
        <w:t xml:space="preserve">2.3.2 Reliability Diagrams</w:t>
      </w:r>
    </w:p>
    <w:p>
      <w:pPr>
        <w:pStyle w:val="FirstParagraph"/>
      </w:pPr>
      <w:r>
        <w:t xml:space="preserve">Reliability diagrams plot per-bin accuracy against per-bin mean confidence. The diagonal corresponds to perfect calibration; bars below the diagonal indicate over-confidence and bars above indicate under-confidence. A useful augmentation is to mark the deviation from the diagonal with a coloured stem, scaled by bin size, making it easy to spot regions where the model is most miscalibrated.</w:t>
      </w:r>
    </w:p>
    <w:bookmarkEnd w:id="29"/>
    <w:bookmarkStart w:id="30" w:name="X2cefc1048bd6fa15e4f7d73d6704781c439fba1"/>
    <w:p>
      <w:pPr>
        <w:pStyle w:val="Heading3"/>
      </w:pPr>
      <w:r>
        <w:t xml:space="preserve">2.3.3 Temperature Scaling</w:t>
      </w:r>
    </w:p>
    <w:p>
      <w:pPr>
        <w:pStyle w:val="FirstParagraph"/>
      </w:pPr>
      <w:r>
        <w:t xml:space="preserve">Temperature scaling [Guo et al., 2017] is a one-parameter post-hoc fix in which the pre-sigmoid logit</w:t>
      </w:r>
      <w:r>
        <w:t xml:space="preserve"> </w:t>
      </w:r>
      <m:oMath>
        <m:r>
          <m:t>z</m:t>
        </m:r>
      </m:oMath>
      <w:r>
        <w:t xml:space="preserve"> </w:t>
      </w:r>
      <w:r>
        <w:t xml:space="preserve">is divided by a temperature</w:t>
      </w:r>
      <w:r>
        <w:t xml:space="preserve"> </w:t>
      </w:r>
      <m:oMath>
        <m:r>
          <m:t>T</m:t>
        </m:r>
      </m:oMath>
      <w:r>
        <w:t xml:space="preserve"> </w:t>
      </w:r>
      <w:r>
        <w:t xml:space="preserve">before applying the sigmoid:</w:t>
      </w:r>
    </w:p>
    <w:p>
      <w:pPr>
        <w:pStyle w:val="BodyText"/>
      </w:pPr>
      <m:oMathPara>
        <m:oMathParaPr>
          <m:jc m:val="center"/>
        </m:oMathParaPr>
        <m:oMath>
          <m:acc>
            <m:accPr>
              <m:chr m:val="̂"/>
            </m:accPr>
            <m:e>
              <m:r>
                <m:t>p</m:t>
              </m:r>
            </m:e>
          </m:acc>
          <m:r>
            <m:rPr>
              <m:sty m:val="p"/>
            </m:rPr>
            <m:t>=</m:t>
          </m:r>
          <m:r>
            <m:t>σ</m:t>
          </m:r>
          <m:r>
            <m:rPr>
              <m:sty m:val="p"/>
            </m:rPr>
            <m:t>(</m:t>
          </m:r>
          <m:r>
            <m:t>z</m:t>
          </m:r>
          <m:r>
            <m:rPr>
              <m:sty m:val="p"/>
            </m:rPr>
            <m:t>/</m:t>
          </m:r>
          <m:r>
            <m:t>T</m:t>
          </m:r>
          <m:r>
            <m:rPr>
              <m:sty m:val="p"/>
            </m:rPr>
            <m:t>)</m:t>
          </m:r>
        </m:oMath>
      </m:oMathPara>
    </w:p>
    <w:p>
      <w:pPr>
        <w:pStyle w:val="FirstParagraph"/>
      </w:pPr>
      <w:r>
        <w:t xml:space="preserve">Values of</w:t>
      </w:r>
      <w:r>
        <w:t xml:space="preserve"> </w:t>
      </w:r>
      <m:oMath>
        <m:r>
          <m:t>T</m:t>
        </m:r>
        <m:r>
          <m:rPr>
            <m:sty m:val="p"/>
          </m:rPr>
          <m:t>&gt;</m:t>
        </m:r>
        <m:r>
          <m:t>1</m:t>
        </m:r>
      </m:oMath>
      <w:r>
        <w:t xml:space="preserve"> </w:t>
      </w:r>
      <w:r>
        <w:t xml:space="preserve">soften the predictions (reducing peaked confidence), while</w:t>
      </w:r>
      <w:r>
        <w:t xml:space="preserve"> </w:t>
      </w:r>
      <m:oMath>
        <m:r>
          <m:t>T</m:t>
        </m:r>
        <m:r>
          <m:rPr>
            <m:sty m:val="p"/>
          </m:rPr>
          <m:t>&lt;</m:t>
        </m:r>
        <m:r>
          <m:t>1</m:t>
        </m:r>
      </m:oMath>
      <w:r>
        <w:t xml:space="preserve"> </w:t>
      </w:r>
      <w:r>
        <w:t xml:space="preserve">sharpens them. The temperature is fitted by minimising negative log-likelihood on a held-out validation set. Crucially,</w:t>
      </w:r>
      <w:r>
        <w:t xml:space="preserve"> </w:t>
      </w:r>
      <m:oMath>
        <m:r>
          <m:t>T</m:t>
        </m:r>
      </m:oMath>
      <w:r>
        <w:t xml:space="preserve"> </w:t>
      </w:r>
      <w:r>
        <w:t xml:space="preserve">does not change the argmax prediction, so accuracy is preserved exactly; only the confidence is rescaled.</w:t>
      </w:r>
    </w:p>
    <w:bookmarkEnd w:id="30"/>
    <w:bookmarkEnd w:id="31"/>
    <w:bookmarkStart w:id="35" w:name="X2c54ea04a0722af5ff98479f07110f01df6d1b3"/>
    <w:p>
      <w:pPr>
        <w:pStyle w:val="Heading2"/>
      </w:pPr>
      <w:r>
        <w:t xml:space="preserve">2.4 Bayesian Deep Learning and Monte Carlo Dropout</w:t>
      </w:r>
    </w:p>
    <w:p>
      <w:pPr>
        <w:pStyle w:val="FirstParagraph"/>
      </w:pPr>
      <w:r>
        <w:t xml:space="preserve">The Bayesian view of a neural network treats the weights as random variables with a posterior distribution over the training data. Predicting on a new input then requires marginalising over the posterior, which is intractable in closed form. A range of approximations have been proposed; the most computationally accessible is</w:t>
      </w:r>
      <w:r>
        <w:t xml:space="preserve"> </w:t>
      </w:r>
      <w:r>
        <w:rPr>
          <w:b/>
          <w:bCs/>
        </w:rPr>
        <w:t xml:space="preserve">Monte Carlo Dropout (MCD)</w:t>
      </w:r>
      <w:r>
        <w:t xml:space="preserve">, introduced by Gal and Ghahramani [2016].</w:t>
      </w:r>
    </w:p>
    <w:bookmarkStart w:id="32" w:name="X9a1ba7330df18534fbd625258c50aabce8731db"/>
    <w:p>
      <w:pPr>
        <w:pStyle w:val="Heading3"/>
      </w:pPr>
      <w:r>
        <w:t xml:space="preserve">2.4.1 MC Dropout as Variational Inference</w:t>
      </w:r>
    </w:p>
    <w:p>
      <w:pPr>
        <w:pStyle w:val="FirstParagraph"/>
      </w:pPr>
      <w:r>
        <w:t xml:space="preserve">Gal and Ghahramani showed that a network trained with dropout regularisation can be interpreted as performing variational inference under a particular approximating family. At inference time, dropout is left active and the network is run</w:t>
      </w:r>
      <w:r>
        <w:t xml:space="preserve"> </w:t>
      </w:r>
      <m:oMath>
        <m:r>
          <m:t>T</m:t>
        </m:r>
      </m:oMath>
      <w:r>
        <w:t xml:space="preserve"> </w:t>
      </w:r>
      <w:r>
        <w:t xml:space="preserve">times for the same input, producing a distribution of predictions. The mean of the</w:t>
      </w:r>
      <w:r>
        <w:t xml:space="preserve"> </w:t>
      </w:r>
      <m:oMath>
        <m:r>
          <m:t>T</m:t>
        </m:r>
      </m:oMath>
      <w:r>
        <w:t xml:space="preserve"> </w:t>
      </w:r>
      <w:r>
        <w:t xml:space="preserve">samples is the point estimate, while the variance is an approximation to the model's epistemic (i.e., reducible-with-more-data) uncertainty.</w:t>
      </w:r>
    </w:p>
    <w:bookmarkEnd w:id="32"/>
    <w:bookmarkStart w:id="33" w:name="Xdd5ebadbf7af4def49378721c53b8c52524a5a7"/>
    <w:p>
      <w:pPr>
        <w:pStyle w:val="Heading3"/>
      </w:pPr>
      <w:r>
        <w:t xml:space="preserve">2.4.2 Decomposition of Uncertainty</w:t>
      </w:r>
    </w:p>
    <w:p>
      <w:pPr>
        <w:pStyle w:val="FirstParagraph"/>
      </w:pPr>
      <w:r>
        <w:t xml:space="preserve">For binary classification with sigmoid output</w:t>
      </w:r>
      <w:r>
        <w:t xml:space="preserve"> </w:t>
      </w:r>
      <m:oMath>
        <m:r>
          <m:t>p</m:t>
        </m:r>
      </m:oMath>
      <w:r>
        <w:t xml:space="preserve">, the predictive entropy of the mean prediction</w:t>
      </w:r>
      <w:r>
        <w:t xml:space="preserve"> </w:t>
      </w:r>
      <m:oMath>
        <m:r>
          <m:t>H</m:t>
        </m:r>
        <m:r>
          <m:rPr>
            <m:sty m:val="p"/>
          </m:rPr>
          <m:t>(</m:t>
        </m:r>
        <m:acc>
          <m:accPr>
            <m:chr m:val="‾"/>
          </m:accPr>
          <m:e>
            <m:r>
              <m:t>p</m:t>
            </m:r>
          </m:e>
        </m:acc>
        <m:r>
          <m:rPr>
            <m:sty m:val="p"/>
          </m:rPr>
          <m:t>)</m:t>
        </m:r>
      </m:oMath>
      <w:r>
        <w:t xml:space="preserve"> </w:t>
      </w:r>
      <w:r>
        <w:t xml:space="preserve">measures</w:t>
      </w:r>
      <w:r>
        <w:t xml:space="preserve"> </w:t>
      </w:r>
      <w:r>
        <w:rPr>
          <w:b/>
          <w:bCs/>
        </w:rPr>
        <w:t xml:space="preserve">total uncertainty</w:t>
      </w:r>
      <w:r>
        <w:t xml:space="preserve">, while the mean per-sample entropy of the dropout samples</w:t>
      </w:r>
      <w:r>
        <w:t xml:space="preserve"> </w:t>
      </w:r>
      <m:oMath>
        <m:sSub>
          <m:e>
            <m:r>
              <m:rPr>
                <m:scr m:val="double-struck"/>
                <m:sty m:val="p"/>
              </m:rPr>
              <m:t>E</m:t>
            </m:r>
          </m:e>
          <m:sub>
            <m:r>
              <m:t>t</m:t>
            </m:r>
          </m:sub>
        </m:sSub>
        <m:r>
          <m:rPr>
            <m:sty m:val="p"/>
          </m:rPr>
          <m:t>[</m:t>
        </m:r>
        <m:r>
          <m:t>H</m:t>
        </m:r>
        <m:r>
          <m:rPr>
            <m:sty m:val="p"/>
          </m:rPr>
          <m:t>(</m:t>
        </m:r>
        <m:sSub>
          <m:e>
            <m:r>
              <m:t>p</m:t>
            </m:r>
          </m:e>
          <m:sub>
            <m:r>
              <m:t>t</m:t>
            </m:r>
          </m:sub>
        </m:sSub>
        <m:r>
          <m:rPr>
            <m:sty m:val="p"/>
          </m:rPr>
          <m:t>)</m:t>
        </m:r>
        <m:r>
          <m:rPr>
            <m:sty m:val="p"/>
          </m:rPr>
          <m:t>]</m:t>
        </m:r>
      </m:oMath>
      <w:r>
        <w:t xml:space="preserve"> </w:t>
      </w:r>
      <w:r>
        <w:t xml:space="preserve">approximates the</w:t>
      </w:r>
      <w:r>
        <w:t xml:space="preserve"> </w:t>
      </w:r>
      <w:r>
        <w:rPr>
          <w:b/>
          <w:bCs/>
        </w:rPr>
        <w:t xml:space="preserve">aleatoric</w:t>
      </w:r>
      <w:r>
        <w:t xml:space="preserve"> </w:t>
      </w:r>
      <w:r>
        <w:t xml:space="preserve">(i.e., data-inherent) component. Their difference is the</w:t>
      </w:r>
      <w:r>
        <w:t xml:space="preserve"> </w:t>
      </w:r>
      <w:r>
        <w:rPr>
          <w:b/>
          <w:bCs/>
        </w:rPr>
        <w:t xml:space="preserve">mutual information</w:t>
      </w:r>
      <w:r>
        <w:t xml:space="preserve"> </w:t>
      </w:r>
      <w:r>
        <w:t xml:space="preserve">between the prediction and the model parameters, sometimes called the BALD score after the Bayesian Active Learning by Disagreement framework. High mutual information means the dropout samples agree on the input being hard to classify, but disagree on which class it belongs to — the canonical signature of</w:t>
      </w:r>
      <w:r>
        <w:t xml:space="preserve"> </w:t>
      </w:r>
      <w:r>
        <w:rPr>
          <w:i/>
          <w:iCs/>
        </w:rPr>
        <w:t xml:space="preserve">epistemic</w:t>
      </w:r>
      <w:r>
        <w:t xml:space="preserve"> </w:t>
      </w:r>
      <w:r>
        <w:t xml:space="preserve">uncertainty.</w:t>
      </w:r>
    </w:p>
    <w:bookmarkEnd w:id="33"/>
    <w:bookmarkStart w:id="34" w:name="Xf1f289c46fca45f18c5764f241c7b97c09e6628"/>
    <w:p>
      <w:pPr>
        <w:pStyle w:val="Heading3"/>
      </w:pPr>
      <w:r>
        <w:t xml:space="preserve">2.4.3 Deep Ensembles</w:t>
      </w:r>
    </w:p>
    <w:p>
      <w:pPr>
        <w:pStyle w:val="FirstParagraph"/>
      </w:pPr>
      <w:r>
        <w:t xml:space="preserve">A complementary, even simpler approach is to train several independent copies of the same architecture with different random initialisations [Lakshminarayanan et al., 2017]. The ensemble's mean prediction is typically more accurate and better-calibrated than any single member. The disagreement among members provides an uncertainty signal directly analogous to the MC Dropout variance.</w:t>
      </w:r>
    </w:p>
    <w:p>
      <w:pPr>
        <w:pStyle w:val="BodyText"/>
      </w:pPr>
      <w:r>
        <w:t xml:space="preserve">The present thesis uses both MCD (Chapter 5) and a heterogeneous ensemble across the six binary architectures (Chapter 4). The latter is cheaper than a deep ensemble of identical members because the models already exist as a by-product of the bachelor-level architecture comparison.</w:t>
      </w:r>
    </w:p>
    <w:bookmarkEnd w:id="34"/>
    <w:bookmarkEnd w:id="35"/>
    <w:bookmarkStart w:id="39" w:name="Xb31c7e939d44c911e80c40a5daac5ea9e41ff92"/>
    <w:p>
      <w:pPr>
        <w:pStyle w:val="Heading2"/>
      </w:pPr>
      <w:r>
        <w:t xml:space="preserve">2.5 Conformal Prediction</w:t>
      </w:r>
    </w:p>
    <w:p>
      <w:pPr>
        <w:pStyle w:val="FirstParagraph"/>
      </w:pPr>
      <w:r>
        <w:t xml:space="preserve">Conformal prediction is a framework, originally due to Vovk et al. [2005] and recently popularised by Angelopoulos and Bates [2021], for producing</w:t>
      </w:r>
      <w:r>
        <w:t xml:space="preserve"> </w:t>
      </w:r>
      <w:r>
        <w:rPr>
          <w:i/>
          <w:iCs/>
        </w:rPr>
        <w:t xml:space="preserve">prediction sets</w:t>
      </w:r>
      <w:r>
        <w:t xml:space="preserve"> </w:t>
      </w:r>
      <w:r>
        <w:t xml:space="preserve">with finite-sample, distribution-free coverage guarantees. Given a target miscoverage rate</w:t>
      </w:r>
      <w:r>
        <w:t xml:space="preserve"> </w:t>
      </w:r>
      <m:oMath>
        <m:r>
          <m:t>α</m:t>
        </m:r>
      </m:oMath>
      <w:r>
        <w:t xml:space="preserve">, conformal prediction produces, for each test input</w:t>
      </w:r>
      <w:r>
        <w:t xml:space="preserve"> </w:t>
      </w:r>
      <m:oMath>
        <m:r>
          <m:t>x</m:t>
        </m:r>
      </m:oMath>
      <w:r>
        <w:t xml:space="preserve">, a set</w:t>
      </w:r>
      <w:r>
        <w:t xml:space="preserve"> </w:t>
      </w:r>
      <m:oMath>
        <m:r>
          <m:t>C</m:t>
        </m:r>
        <m:r>
          <m:rPr>
            <m:sty m:val="p"/>
          </m:rPr>
          <m:t>(</m:t>
        </m:r>
        <m:r>
          <m:t>x</m:t>
        </m:r>
        <m:r>
          <m:rPr>
            <m:sty m:val="p"/>
          </m:rPr>
          <m:t>)</m:t>
        </m:r>
      </m:oMath>
      <w:r>
        <w:t xml:space="preserve"> </w:t>
      </w:r>
      <w:r>
        <w:t xml:space="preserve">such that</w:t>
      </w:r>
    </w:p>
    <w:p>
      <w:pPr>
        <w:pStyle w:val="BodyText"/>
      </w:pPr>
      <m:oMathPara>
        <m:oMathParaPr>
          <m:jc m:val="center"/>
        </m:oMathParaPr>
        <m:oMath>
          <m:r>
            <m:rPr>
              <m:sty m:val="p"/>
            </m:rPr>
            <m:t>Pr</m:t>
          </m:r>
          <m:d>
            <m:dPr>
              <m:begChr m:val="("/>
              <m:sepChr m:val=""/>
              <m:endChr m:val=")"/>
              <m:grow/>
            </m:dPr>
            <m:e>
              <m:r>
                <m:t>y</m:t>
              </m:r>
              <m:r>
                <m:rPr>
                  <m:sty m:val="p"/>
                </m:rPr>
                <m:t>∈</m:t>
              </m:r>
              <m:r>
                <m:t>C</m:t>
              </m:r>
              <m:r>
                <m:rPr>
                  <m:sty m:val="p"/>
                </m:rPr>
                <m:t>(</m:t>
              </m:r>
              <m:r>
                <m:t>x</m:t>
              </m:r>
              <m:r>
                <m:rPr>
                  <m:sty m:val="p"/>
                </m:rPr>
                <m:t>)</m:t>
              </m:r>
            </m:e>
          </m:d>
          <m:r>
            <m:rPr>
              <m:sty m:val="p"/>
            </m:rPr>
            <m:t>≥</m:t>
          </m:r>
          <m:r>
            <m:t>1</m:t>
          </m:r>
          <m:r>
            <m:rPr>
              <m:sty m:val="p"/>
            </m:rPr>
            <m:t>−</m:t>
          </m:r>
          <m:r>
            <m:t>α</m:t>
          </m:r>
        </m:oMath>
      </m:oMathPara>
    </w:p>
    <w:p>
      <w:pPr>
        <w:pStyle w:val="FirstParagraph"/>
      </w:pPr>
      <w:r>
        <w:t xml:space="preserve">under the assumption that the calibration and test data are exchangeable. Crucially, the guarantee holds</w:t>
      </w:r>
      <w:r>
        <w:t xml:space="preserve"> </w:t>
      </w:r>
      <w:r>
        <w:rPr>
          <w:i/>
          <w:iCs/>
        </w:rPr>
        <w:t xml:space="preserve">no matter what underlying classifier</w:t>
      </w:r>
      <w:r>
        <w:t xml:space="preserve"> </w:t>
      </w:r>
      <w:r>
        <w:t xml:space="preserve">is wrapped — even an uncalibrated, badly-trained model yields a statistically valid prediction set after conformal wrapping. The guarantee is a marginal one (averaged over all test inputs), although stratified variants exist.</w:t>
      </w:r>
    </w:p>
    <w:bookmarkStart w:id="36" w:name="X9d7f80affcf78bc479712ab9bbaf9dc58b771b0"/>
    <w:p>
      <w:pPr>
        <w:pStyle w:val="Heading3"/>
      </w:pPr>
      <w:r>
        <w:t xml:space="preserve">2.5.1 Split (Inductive) Conformal Prediction</w:t>
      </w:r>
    </w:p>
    <w:p>
      <w:pPr>
        <w:pStyle w:val="FirstParagraph"/>
      </w:pPr>
      <w:r>
        <w:t xml:space="preserve">The version used in this thesis is</w:t>
      </w:r>
      <w:r>
        <w:t xml:space="preserve"> </w:t>
      </w:r>
      <w:r>
        <w:rPr>
          <w:b/>
          <w:bCs/>
        </w:rPr>
        <w:t xml:space="preserve">split conformal prediction</w:t>
      </w:r>
      <w:r>
        <w:t xml:space="preserve">:</w:t>
      </w:r>
    </w:p>
    <w:p>
      <w:pPr>
        <w:pStyle w:val="Compact"/>
        <w:numPr>
          <w:ilvl w:val="0"/>
          <w:numId w:val="1005"/>
        </w:numPr>
      </w:pPr>
      <w:r>
        <w:t xml:space="preserve">Hold out a calibration set</w:t>
      </w:r>
      <w:r>
        <w:t xml:space="preserve"> </w:t>
      </w:r>
      <m:oMath>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disjoint from the training set.</w:t>
      </w:r>
    </w:p>
    <w:p>
      <w:pPr>
        <w:pStyle w:val="Compact"/>
        <w:numPr>
          <w:ilvl w:val="0"/>
          <w:numId w:val="1005"/>
        </w:numPr>
      </w:pPr>
      <w:r>
        <w:t xml:space="preserve">For each calibration sample, compute a non-conformity score</w:t>
      </w:r>
      <w:r>
        <w:t xml:space="preserve"> </w:t>
      </w:r>
      <m:oMath>
        <m:sSub>
          <m:e>
            <m:r>
              <m:t>s</m:t>
            </m:r>
          </m:e>
          <m:sub>
            <m:r>
              <m:t>i</m:t>
            </m:r>
          </m:sub>
        </m:sSub>
      </m:oMath>
      <w:r>
        <w:t xml:space="preserve"> </w:t>
      </w:r>
      <w:r>
        <w:t xml:space="preserve">that quantifies how surprising the true label is under the trained classifier.</w:t>
      </w:r>
    </w:p>
    <w:p>
      <w:pPr>
        <w:pStyle w:val="Compact"/>
        <w:numPr>
          <w:ilvl w:val="0"/>
          <w:numId w:val="1005"/>
        </w:numPr>
      </w:pPr>
      <w:r>
        <w:t xml:space="preserve">Compute the empirical</w:t>
      </w:r>
      <w:r>
        <w:t xml:space="preserve"> </w:t>
      </w:r>
      <m:oMath>
        <m:r>
          <m:rPr>
            <m:sty m:val="p"/>
          </m:rPr>
          <m:t>(</m:t>
        </m:r>
        <m:r>
          <m:t>1</m:t>
        </m:r>
        <m:r>
          <m:rPr>
            <m:sty m:val="p"/>
          </m:rPr>
          <m:t>−</m:t>
        </m:r>
        <m:r>
          <m:t>α</m:t>
        </m:r>
        <m:r>
          <m:rPr>
            <m:sty m:val="p"/>
          </m:rPr>
          <m:t>)</m:t>
        </m:r>
      </m:oMath>
      <w:r>
        <w:t xml:space="preserve"> </w:t>
      </w:r>
      <w:r>
        <w:t xml:space="preserve">quantile</w:t>
      </w:r>
      <w:r>
        <w:t xml:space="preserve"> </w:t>
      </w:r>
      <m:oMath>
        <m:acc>
          <m:accPr>
            <m:chr m:val="̂"/>
          </m:accPr>
          <m:e>
            <m:r>
              <m:t>q</m:t>
            </m:r>
          </m:e>
        </m:acc>
      </m:oMath>
      <w:r>
        <w:t xml:space="preserve"> </w:t>
      </w:r>
      <w:r>
        <w:t xml:space="preserve">of the scores, with a finite-sample correction</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w:t>
      </w:r>
    </w:p>
    <w:p>
      <w:pPr>
        <w:pStyle w:val="Compact"/>
        <w:numPr>
          <w:ilvl w:val="0"/>
          <w:numId w:val="1005"/>
        </w:numPr>
      </w:pPr>
      <w:r>
        <w:t xml:space="preserve">For a test input</w:t>
      </w:r>
      <w:r>
        <w:t xml:space="preserve"> </w:t>
      </w:r>
      <m:oMath>
        <m:r>
          <m:t>x</m:t>
        </m:r>
      </m:oMath>
      <w:r>
        <w:t xml:space="preserve">, include in</w:t>
      </w:r>
      <w:r>
        <w:t xml:space="preserve"> </w:t>
      </w:r>
      <m:oMath>
        <m:r>
          <m:t>C</m:t>
        </m:r>
        <m:r>
          <m:rPr>
            <m:sty m:val="p"/>
          </m:rPr>
          <m:t>(</m:t>
        </m:r>
        <m:r>
          <m:t>x</m:t>
        </m:r>
        <m:r>
          <m:rPr>
            <m:sty m:val="p"/>
          </m:rPr>
          <m:t>)</m:t>
        </m:r>
      </m:oMath>
      <w:r>
        <w:t xml:space="preserve"> </w:t>
      </w:r>
      <w:r>
        <w:t xml:space="preserve">every candidate label whose non-conformity score is</w:t>
      </w:r>
      <w:r>
        <w:t xml:space="preserve"> </w:t>
      </w:r>
      <m:oMath>
        <m:r>
          <m:rPr>
            <m:sty m:val="p"/>
          </m:rPr>
          <m:t>≤</m:t>
        </m:r>
        <m:acc>
          <m:accPr>
            <m:chr m:val="̂"/>
          </m:accPr>
          <m:e>
            <m:r>
              <m:t>q</m:t>
            </m:r>
          </m:e>
        </m:acc>
      </m:oMath>
      <w:r>
        <w:t xml:space="preserve">.</w:t>
      </w:r>
    </w:p>
    <w:bookmarkEnd w:id="36"/>
    <w:bookmarkStart w:id="37" w:name="Xdf3eadf0201c30a21be64d2666ea5f43a0264f9"/>
    <w:p>
      <w:pPr>
        <w:pStyle w:val="Heading3"/>
      </w:pPr>
      <w:r>
        <w:t xml:space="preserve">2.5.2 Score Functions</w:t>
      </w:r>
    </w:p>
    <w:p>
      <w:pPr>
        <w:pStyle w:val="FirstParagraph"/>
      </w:pPr>
      <w:r>
        <w:t xml:space="preserve">Two non-conformity scores are evaluated in this thesis:</w:t>
      </w:r>
    </w:p>
    <w:p>
      <w:pPr>
        <w:pStyle w:val="Compact"/>
        <w:numPr>
          <w:ilvl w:val="0"/>
          <w:numId w:val="1006"/>
        </w:numPr>
      </w:pPr>
      <w:r>
        <w:rPr>
          <w:b/>
          <w:bCs/>
        </w:rPr>
        <w:t xml:space="preserve">Least Ambiguous Classifier (LAC)</w:t>
      </w:r>
      <w:r>
        <w:t xml:space="preserve">:</w:t>
      </w:r>
      <w:r>
        <w:t xml:space="preserve"> </w:t>
      </w:r>
      <m:oMath>
        <m:r>
          <m:t>s</m:t>
        </m:r>
        <m:r>
          <m:rPr>
            <m:sty m:val="p"/>
          </m:rPr>
          <m:t>(</m:t>
        </m:r>
        <m:r>
          <m:t>x</m:t>
        </m:r>
        <m:r>
          <m:rPr>
            <m:sty m:val="p"/>
          </m:rPr>
          <m:t>,</m:t>
        </m:r>
        <m:r>
          <m:t>y</m:t>
        </m:r>
        <m:r>
          <m:rPr>
            <m:sty m:val="p"/>
          </m:rPr>
          <m:t>)</m:t>
        </m:r>
        <m:r>
          <m:rPr>
            <m:sty m:val="p"/>
          </m:rPr>
          <m:t>=</m:t>
        </m:r>
        <m:r>
          <m:t>1</m:t>
        </m:r>
        <m:r>
          <m:rPr>
            <m:sty m:val="p"/>
          </m:rPr>
          <m:t>−</m:t>
        </m:r>
        <m:sSub>
          <m:e>
            <m:acc>
              <m:accPr>
                <m:chr m:val="̂"/>
              </m:accPr>
              <m:e>
                <m:r>
                  <m:t>p</m:t>
                </m:r>
              </m:e>
            </m:acc>
          </m:e>
          <m:sub>
            <m:r>
              <m:t>y</m:t>
            </m:r>
          </m:sub>
        </m:sSub>
        <m:r>
          <m:rPr>
            <m:sty m:val="p"/>
          </m:rPr>
          <m:t>(</m:t>
        </m:r>
        <m:r>
          <m:t>x</m:t>
        </m:r>
        <m:r>
          <m:rPr>
            <m:sty m:val="p"/>
          </m:rPr>
          <m:t>)</m:t>
        </m:r>
      </m:oMath>
      <w:r>
        <w:t xml:space="preserve">. Simple and well-studied; gives marginal coverage.</w:t>
      </w:r>
    </w:p>
    <w:p>
      <w:pPr>
        <w:pStyle w:val="Compact"/>
        <w:numPr>
          <w:ilvl w:val="0"/>
          <w:numId w:val="1006"/>
        </w:numPr>
      </w:pPr>
      <w:r>
        <w:rPr>
          <w:b/>
          <w:bCs/>
        </w:rPr>
        <w:t xml:space="preserve">Adaptive Prediction Sets (APS)</w:t>
      </w:r>
      <w:r>
        <w:t xml:space="preserve"> </w:t>
      </w:r>
      <w:r>
        <w:t xml:space="preserve">[Romano et al., 2020]: sort the per-class probabilities in descending order; the score for the true class is the cumulative probability up to and including it, with random tie-breaking. APS produces smaller average set sizes and tends to be more clinically useful because it can produce two-class "abstain" sets ({No DR, Mild}) for ambiguous inputs.</w:t>
      </w:r>
    </w:p>
    <w:bookmarkEnd w:id="37"/>
    <w:bookmarkStart w:id="38" w:name="X07aa18df72c0ad067f7dfac4d77ae01a11e0b26"/>
    <w:p>
      <w:pPr>
        <w:pStyle w:val="Heading3"/>
      </w:pPr>
      <w:r>
        <w:t xml:space="preserve">2.5.3 Set-Size Distribution and Conditional Coverage</w:t>
      </w:r>
    </w:p>
    <w:p>
      <w:pPr>
        <w:pStyle w:val="FirstParagraph"/>
      </w:pPr>
      <w:r>
        <w:t xml:space="preserve">Beyond the marginal coverage guarantee, two diagnostics are reported throughout the thesis: the</w:t>
      </w:r>
      <w:r>
        <w:t xml:space="preserve"> </w:t>
      </w:r>
      <w:r>
        <w:rPr>
          <w:b/>
          <w:bCs/>
        </w:rPr>
        <w:t xml:space="preserve">mean set size</w:t>
      </w:r>
      <w:r>
        <w:t xml:space="preserve">, which captures how often the wrap is uncertain, and the</w:t>
      </w:r>
      <w:r>
        <w:t xml:space="preserve"> </w:t>
      </w:r>
      <w:r>
        <w:rPr>
          <w:b/>
          <w:bCs/>
        </w:rPr>
        <w:t xml:space="preserve">per-class conditional coverage</w:t>
      </w:r>
      <w:r>
        <w:t xml:space="preserve">, which checks that the guarantee is honoured uniformly across true classes rather than concentrated on the easy majority class.</w:t>
      </w:r>
    </w:p>
    <w:bookmarkEnd w:id="38"/>
    <w:bookmarkEnd w:id="39"/>
    <w:bookmarkStart w:id="42" w:name="X9f04279a2956f591e297c5c7a16a13763ab10be"/>
    <w:p>
      <w:pPr>
        <w:pStyle w:val="Heading2"/>
      </w:pPr>
      <w:r>
        <w:t xml:space="preserve">2.6 Out-of-Distribution Detection</w:t>
      </w:r>
    </w:p>
    <w:p>
      <w:pPr>
        <w:pStyle w:val="FirstParagraph"/>
      </w:pPr>
      <w:r>
        <w:t xml:space="preserve">A clinically deployed system will inevitably receive inputs outside its training distribution: chest X-rays mistakenly uploaded to a retina classifier, fundus images from a different camera with different colour calibration, or simply low-quality images. The model should refuse to predict on such inputs rather than confidently output a wrong answer.</w:t>
      </w:r>
    </w:p>
    <w:bookmarkStart w:id="40" w:name="Xf5e68c830f3781ffd9ed2a053450d0fbf0aa8c4"/>
    <w:p>
      <w:pPr>
        <w:pStyle w:val="Heading3"/>
      </w:pPr>
      <w:r>
        <w:t xml:space="preserve">2.6.1 Output-Space Methods</w:t>
      </w:r>
    </w:p>
    <w:p>
      <w:pPr>
        <w:pStyle w:val="FirstParagraph"/>
      </w:pPr>
      <w:r>
        <w:t xml:space="preserve">The simplest baseline is the</w:t>
      </w:r>
      <w:r>
        <w:t xml:space="preserve"> </w:t>
      </w:r>
      <w:r>
        <w:rPr>
          <w:b/>
          <w:bCs/>
        </w:rPr>
        <w:t xml:space="preserve">Maximum Softmax Probability (MSP)</w:t>
      </w:r>
      <w:r>
        <w:t xml:space="preserve"> </w:t>
      </w:r>
      <w:r>
        <w:t xml:space="preserve">[Hendrycks and Gimpel, 2017]: OOD inputs tend to produce lower confidence than ID inputs, so</w:t>
      </w:r>
      <w:r>
        <w:t xml:space="preserve"> </w:t>
      </w:r>
      <m:oMath>
        <m:sSub>
          <m:e>
            <m:r>
              <m:rPr>
                <m:sty m:val="p"/>
              </m:rPr>
              <m:t>max</m:t>
            </m:r>
          </m:e>
          <m:sub>
            <m:r>
              <m:t>k</m:t>
            </m:r>
          </m:sub>
        </m:sSub>
        <m:sSub>
          <m:e>
            <m:acc>
              <m:accPr>
                <m:chr m:val="̂"/>
              </m:accPr>
              <m:e>
                <m:r>
                  <m:t>p</m:t>
                </m:r>
              </m:e>
            </m:acc>
          </m:e>
          <m:sub>
            <m:r>
              <m:t>k</m:t>
            </m:r>
          </m:sub>
        </m:sSub>
      </m:oMath>
      <w:r>
        <w:t xml:space="preserve"> </w:t>
      </w:r>
      <w:r>
        <w:t xml:space="preserve">can be thresholded. Despite its simplicity, MSP suffers when softmax saturates — a network can be forced into very high confidence even on noise.</w:t>
      </w:r>
    </w:p>
    <w:p>
      <w:pPr>
        <w:pStyle w:val="BodyText"/>
      </w:pPr>
      <w:r>
        <w:t xml:space="preserve">The</w:t>
      </w:r>
      <w:r>
        <w:t xml:space="preserve"> </w:t>
      </w:r>
      <w:r>
        <w:rPr>
          <w:b/>
          <w:bCs/>
        </w:rPr>
        <w:t xml:space="preserve">Energy score</w:t>
      </w:r>
      <w:r>
        <w:t xml:space="preserve"> </w:t>
      </w:r>
      <w:r>
        <w:t xml:space="preserve">[Liu et al., 2020] sidesteps softmax saturation by computing the negative log-sum-exp of the logits. ID inputs produce lower energy than OOD inputs, and the score is unbounded above, which avoids the ceiling effect of MSP.</w:t>
      </w:r>
    </w:p>
    <w:bookmarkEnd w:id="40"/>
    <w:bookmarkStart w:id="41" w:name="X189824873fb346d2efa5b1d13b35162423bfcbf"/>
    <w:p>
      <w:pPr>
        <w:pStyle w:val="Heading3"/>
      </w:pPr>
      <w:r>
        <w:t xml:space="preserve">2.6.2 Feature-Space Methods</w:t>
      </w:r>
    </w:p>
    <w:p>
      <w:pPr>
        <w:pStyle w:val="FirstParagraph"/>
      </w:pPr>
      <w:r>
        <w:t xml:space="preserve">A more powerful family of methods compares the position of the test input in feature space to the distribution of training features.</w:t>
      </w:r>
      <w:r>
        <w:t xml:space="preserve"> </w:t>
      </w:r>
      <w:r>
        <w:rPr>
          <w:b/>
          <w:bCs/>
        </w:rPr>
        <w:t xml:space="preserve">Mahalanobis distance</w:t>
      </w:r>
      <w:r>
        <w:t xml:space="preserve"> </w:t>
      </w:r>
      <w:r>
        <w:t xml:space="preserve">[Lee et al., 2018] fits per-class Gaussian densities to the training features (with a shared covariance for stability) and scores test inputs by the negative log-likelihood under the closest class-conditional Gaussian.</w:t>
      </w:r>
      <w:r>
        <w:t xml:space="preserve"> </w:t>
      </w:r>
      <w:r>
        <w:rPr>
          <w:b/>
          <w:bCs/>
        </w:rPr>
        <w:t xml:space="preserve">Cosine distance to the in-distribution centroid</w:t>
      </w:r>
      <w:r>
        <w:t xml:space="preserve"> </w:t>
      </w:r>
      <w:r>
        <w:t xml:space="preserve">is a simpler variant. For inputs far from the training manifold (e.g., uniform noise), feature-space methods dramatically outperform output-space methods, often achieving perfect AUROC on synthetic OOD.</w:t>
      </w:r>
    </w:p>
    <w:bookmarkEnd w:id="41"/>
    <w:bookmarkEnd w:id="42"/>
    <w:bookmarkStart w:id="43" w:name="X77b826d356b528aea7390784afa743ed2732b8a"/>
    <w:p>
      <w:pPr>
        <w:pStyle w:val="Heading2"/>
      </w:pPr>
      <w:r>
        <w:t xml:space="preserve">2.7 Related Work in DR with Uncertainty</w:t>
      </w:r>
    </w:p>
    <w:p>
      <w:pPr>
        <w:pStyle w:val="FirstParagraph"/>
      </w:pPr>
      <w:r>
        <w:t xml:space="preserve">A growing body of work applies uncertainty estimation to DR detection. Leibig et al. [2017] used MC Dropout on EyePACS images and showed that selective prediction substantially improves the precision of automated screening. Laves et al. [2020] reported well-calibrated regression uncertainty in medical imaging with a focus on retinal layer thickness.</w:t>
      </w:r>
    </w:p>
    <w:p>
      <w:pPr>
        <w:pStyle w:val="BodyText"/>
      </w:pPr>
      <w:r>
        <w:t xml:space="preserve">However, very few studies have applied conformal prediction to DR, and even fewer have done so on the APTOS 2019 dataset. The present thesis closes this gap by combining (i) a thorough calibration analysis, (ii) two independent uncertainty mechanisms (MCD and ensemble disagreement), (iii) split conformal prediction with formal coverage at two confidence levels, and (iv) feature-space OOD detection — all on the same fixed test set so that the methods are directly comparable.</w:t>
      </w:r>
    </w:p>
    <w:p>
      <w:pPr>
        <w:pStyle w:val="BodyText"/>
      </w:pPr>
      <w:r>
        <w:t xml:space="preserve">The methodological choices and their justification are described in detail in the next chapter.</w:t>
      </w:r>
    </w:p>
    <w:bookmarkEnd w:id="43"/>
    <w:bookmarkEnd w:id="44"/>
    <w:bookmarkStart w:id="84" w:name="chapter-3-methodology"/>
    <w:p>
      <w:pPr>
        <w:pStyle w:val="Heading1"/>
      </w:pPr>
      <w:r>
        <w:t xml:space="preserve">CHAPTER 3: METHODOLOGY</w:t>
      </w:r>
    </w:p>
    <w:p>
      <w:pPr>
        <w:pStyle w:val="FirstParagraph"/>
      </w:pPr>
      <w:r>
        <w:t xml:space="preserve">This chapter describes the unified experimental protocol used across the three phases of the thesis. Section 3.1 describes the dataset and splits. Section 3.2 covers preprocessing and augmentation. Section 3.3 describes the training pipeline shared by all architectures. Section 3.4 lists the evaluation metrics. Section 3.5 describes the conformal prediction protocol, Section 3.6 the Monte Carlo Dropout setup, and Section 3.7 the OOD detection protocol. Section 3.8 details the multi-class extension. Section 3.9 describes the implementation, code organisation, and reproducibility.</w:t>
      </w:r>
    </w:p>
    <w:bookmarkStart w:id="48" w:name="Xa13f281b55fecd3009b2305b65fcf8e9335042c"/>
    <w:p>
      <w:pPr>
        <w:pStyle w:val="Heading2"/>
      </w:pPr>
      <w:r>
        <w:t xml:space="preserve">3.1 Dataset and Splits</w:t>
      </w:r>
    </w:p>
    <w:bookmarkStart w:id="45" w:name="X6c137c2bceabc863e3e16ace09c390e4dec63ae"/>
    <w:p>
      <w:pPr>
        <w:pStyle w:val="Heading3"/>
      </w:pPr>
      <w:r>
        <w:t xml:space="preserve">3.1.1 APTOS 2019</w:t>
      </w:r>
    </w:p>
    <w:p>
      <w:pPr>
        <w:pStyle w:val="FirstParagraph"/>
      </w:pPr>
      <w:r>
        <w:t xml:space="preserve">All experiments use the APTOS 2019 Blindness Detection dataset, comprising 3,662 retinal fundus images at 224×224 pixels, each labelled by a clinician on the 0–4 severity scale. The dataset is loaded once at the start of each experiment and cached as a single pandas DataFrame on disk to ensure that every experiment sees the same image order and identical pixel values.</w:t>
      </w:r>
    </w:p>
    <w:bookmarkEnd w:id="45"/>
    <w:bookmarkStart w:id="46" w:name="Xa3e4ec73a004ffcc010a20a65e6b08d7eaf36cb"/>
    <w:p>
      <w:pPr>
        <w:pStyle w:val="Heading3"/>
      </w:pPr>
      <w:r>
        <w:t xml:space="preserve">3.1.2 Stratified 70/15/15 Split</w:t>
      </w:r>
    </w:p>
    <w:p>
      <w:pPr>
        <w:pStyle w:val="FirstParagraph"/>
      </w:pPr>
      <w:r>
        <w:t xml:space="preserve">The bachelor thesis used an 80/20 train/test split with no separate validation set. The present thesis uses a stratified 70/15/15 train/validation/test split with</w:t>
      </w:r>
      <w:r>
        <w:t xml:space="preserve"> </w:t>
      </w:r>
      <w:r>
        <w:rPr>
          <w:rStyle w:val="VerbatimChar"/>
        </w:rPr>
        <w:t xml:space="preserve">random_state = 123</w:t>
      </w:r>
      <w:r>
        <w:t xml:space="preserve">:</w:t>
      </w:r>
    </w:p>
    <w:p>
      <w:pPr>
        <w:pStyle w:val="Compact"/>
        <w:numPr>
          <w:ilvl w:val="0"/>
          <w:numId w:val="1007"/>
        </w:numPr>
      </w:pPr>
      <w:r>
        <w:rPr>
          <w:b/>
          <w:bCs/>
        </w:rPr>
        <w:t xml:space="preserve">Train (2,562 images)</w:t>
      </w:r>
      <w:r>
        <w:t xml:space="preserve">: used for parameter updates.</w:t>
      </w:r>
    </w:p>
    <w:p>
      <w:pPr>
        <w:pStyle w:val="Compact"/>
        <w:numPr>
          <w:ilvl w:val="0"/>
          <w:numId w:val="1007"/>
        </w:numPr>
      </w:pPr>
      <w:r>
        <w:rPr>
          <w:b/>
          <w:bCs/>
        </w:rPr>
        <w:t xml:space="preserve">Validation (550 images)</w:t>
      </w:r>
      <w:r>
        <w:t xml:space="preserve">: used for early stopping, learning-rate scheduling, temperature-scaling fit, and conformal threshold fit.</w:t>
      </w:r>
      <w:r>
        <w:t xml:space="preserve"> </w:t>
      </w:r>
      <w:r>
        <w:rPr>
          <w:i/>
          <w:iCs/>
        </w:rPr>
        <w:t xml:space="preserve">Never</w:t>
      </w:r>
      <w:r>
        <w:t xml:space="preserve"> </w:t>
      </w:r>
      <w:r>
        <w:t xml:space="preserve">used for final evaluation.</w:t>
      </w:r>
    </w:p>
    <w:p>
      <w:pPr>
        <w:pStyle w:val="Compact"/>
        <w:numPr>
          <w:ilvl w:val="0"/>
          <w:numId w:val="1007"/>
        </w:numPr>
      </w:pPr>
      <w:r>
        <w:rPr>
          <w:b/>
          <w:bCs/>
        </w:rPr>
        <w:t xml:space="preserve">Test (550 images)</w:t>
      </w:r>
      <w:r>
        <w:t xml:space="preserve">: held out fixed across every experiment in this thesis. Every reported test metric is computed on the same 550 images.</w:t>
      </w:r>
    </w:p>
    <w:p>
      <w:pPr>
        <w:pStyle w:val="FirstParagraph"/>
      </w:pPr>
      <w:r>
        <w:t xml:space="preserve">Stratification preserves the class proportions across splits, which matters because the dataset is imbalanced. Without stratification, the validation or test set could under- or over-represent the minority severity classes by chance, making the test estimate unreliable.</w:t>
      </w:r>
    </w:p>
    <w:bookmarkEnd w:id="46"/>
    <w:bookmarkStart w:id="47" w:name="X866f5fefe4096b6e9d5cf201f2be63920071826"/>
    <w:p>
      <w:pPr>
        <w:pStyle w:val="Heading3"/>
      </w:pPr>
      <w:r>
        <w:t xml:space="preserve">3.1.3 Why a Separate Test Set Matters</w:t>
      </w:r>
    </w:p>
    <w:p>
      <w:pPr>
        <w:pStyle w:val="FirstParagraph"/>
      </w:pPr>
      <w:r>
        <w:t xml:space="preserve">The bachelor pipeline used the same data for early-stopping selection and for reporting "validation" accuracy, which is a mild form of data leakage: the held-out set is implicitly used for model selection through the choice of the early-stopping epoch. The present pipeline cleanly separates concerns: validation drives all selection decisions, and the test set is locked away until the end of training. The test set is also used unchanged across all phases (binary, multi-class, conformal, OOD), so methods can be directly compared.</w:t>
      </w:r>
    </w:p>
    <w:bookmarkEnd w:id="47"/>
    <w:bookmarkEnd w:id="48"/>
    <w:bookmarkStart w:id="51" w:name="X6780b584c4e77d7a61ec11ef6b01d93633a08f6"/>
    <w:p>
      <w:pPr>
        <w:pStyle w:val="Heading2"/>
      </w:pPr>
      <w:r>
        <w:t xml:space="preserve">3.2 Image Preprocessing</w:t>
      </w:r>
    </w:p>
    <w:bookmarkStart w:id="49" w:name="X8476a5209bb05fbddbe34fbd719442d7b6f26fa"/>
    <w:p>
      <w:pPr>
        <w:pStyle w:val="Heading3"/>
      </w:pPr>
      <w:r>
        <w:t xml:space="preserve">3.2.1 Architecture-Specific Preprocessing</w:t>
      </w:r>
    </w:p>
    <w:p>
      <w:pPr>
        <w:pStyle w:val="FirstParagraph"/>
      </w:pPr>
      <w:r>
        <w:t xml:space="preserve">A subtle but important methodological correction relative to the bachelor pipeline is the use of architecture-specific input preprocessing. Each ImageNet-pretrained backbone in Keras has its own</w:t>
      </w:r>
      <w:r>
        <w:t xml:space="preserve"> </w:t>
      </w:r>
      <w:r>
        <w:rPr>
          <w:rStyle w:val="VerbatimChar"/>
        </w:rPr>
        <w:t xml:space="preserve">preprocess_input</w:t>
      </w:r>
      <w:r>
        <w:t xml:space="preserve"> </w:t>
      </w:r>
      <w:r>
        <w:t xml:space="preserve">function:</w:t>
      </w:r>
    </w:p>
    <w:p>
      <w:pPr>
        <w:pStyle w:val="Compact"/>
        <w:numPr>
          <w:ilvl w:val="0"/>
          <w:numId w:val="1008"/>
        </w:numPr>
      </w:pPr>
      <w:r>
        <w:rPr>
          <w:b/>
          <w:bCs/>
        </w:rPr>
        <w:t xml:space="preserve">ResNet50</w:t>
      </w:r>
      <w:r>
        <w:t xml:space="preserve">: BGR channel order, mean subtraction with</w:t>
      </w:r>
      <w:r>
        <w:t xml:space="preserve"> </w:t>
      </w:r>
      <w:r>
        <w:rPr>
          <w:rStyle w:val="VerbatimChar"/>
        </w:rPr>
        <w:t xml:space="preserve">[103.939, 116.779, 123.68]</w:t>
      </w:r>
      <w:r>
        <w:t xml:space="preserve"> </w:t>
      </w:r>
      <w:r>
        <w:t xml:space="preserve">(ImageNet means in BGR).</w:t>
      </w:r>
    </w:p>
    <w:p>
      <w:pPr>
        <w:pStyle w:val="Compact"/>
        <w:numPr>
          <w:ilvl w:val="0"/>
          <w:numId w:val="1008"/>
        </w:numPr>
      </w:pPr>
      <w:r>
        <w:rPr>
          <w:b/>
          <w:bCs/>
        </w:rPr>
        <w:t xml:space="preserve">DenseNet121</w:t>
      </w:r>
      <w:r>
        <w:t xml:space="preserve">: same as ResNet50 (caffe-style).</w:t>
      </w:r>
    </w:p>
    <w:p>
      <w:pPr>
        <w:pStyle w:val="Compact"/>
        <w:numPr>
          <w:ilvl w:val="0"/>
          <w:numId w:val="1008"/>
        </w:numPr>
      </w:pPr>
      <w:r>
        <w:rPr>
          <w:b/>
          <w:bCs/>
        </w:rPr>
        <w:t xml:space="preserve">Xception</w:t>
      </w:r>
      <w:r>
        <w:t xml:space="preserve">: simple scaling to</w:t>
      </w:r>
      <w:r>
        <w:t xml:space="preserve"> </w:t>
      </w:r>
      <w:r>
        <w:rPr>
          <w:rStyle w:val="VerbatimChar"/>
        </w:rPr>
        <w:t xml:space="preserve">[-1, 1]</w:t>
      </w:r>
      <w:r>
        <w:t xml:space="preserve">.</w:t>
      </w:r>
    </w:p>
    <w:p>
      <w:pPr>
        <w:pStyle w:val="Compact"/>
        <w:numPr>
          <w:ilvl w:val="0"/>
          <w:numId w:val="1008"/>
        </w:numPr>
      </w:pPr>
      <w:r>
        <w:rPr>
          <w:b/>
          <w:bCs/>
        </w:rPr>
        <w:t xml:space="preserve">VGG16</w:t>
      </w:r>
      <w:r>
        <w:t xml:space="preserve">: BGR mean subtraction (caffe-style).</w:t>
      </w:r>
    </w:p>
    <w:p>
      <w:pPr>
        <w:pStyle w:val="Compact"/>
        <w:numPr>
          <w:ilvl w:val="0"/>
          <w:numId w:val="1008"/>
        </w:numPr>
      </w:pPr>
      <w:r>
        <w:rPr>
          <w:b/>
          <w:bCs/>
        </w:rPr>
        <w:t xml:space="preserve">CNN (from scratch)</w:t>
      </w:r>
      <w:r>
        <w:t xml:space="preserve">: grayscale conversion + division by 255 (matches the bachelor pipeline for backward compatibility).</w:t>
      </w:r>
    </w:p>
    <w:p>
      <w:pPr>
        <w:pStyle w:val="FirstParagraph"/>
      </w:pPr>
      <w:r>
        <w:t xml:space="preserve">The bachelor pipeline applied a uniform</w:t>
      </w:r>
      <w:r>
        <w:t xml:space="preserve"> </w:t>
      </w:r>
      <w:r>
        <w:rPr>
          <w:rStyle w:val="VerbatimChar"/>
        </w:rPr>
        <w:t xml:space="preserve">1/255</w:t>
      </w:r>
      <w:r>
        <w:t xml:space="preserve"> </w:t>
      </w:r>
      <w:r>
        <w:t xml:space="preserve">rescaling to every architecture. This is a serious mismatch for the ImageNet backbones, whose pretrained weights expect mean-subtracted inputs; using</w:t>
      </w:r>
      <w:r>
        <w:t xml:space="preserve"> </w:t>
      </w:r>
      <w:r>
        <w:rPr>
          <w:rStyle w:val="VerbatimChar"/>
        </w:rPr>
        <w:t xml:space="preserve">1/255</w:t>
      </w:r>
      <w:r>
        <w:t xml:space="preserve"> </w:t>
      </w:r>
      <w:r>
        <w:t xml:space="preserve">instead can drop test accuracy by 10 percentage points or more. The corrected protocol fixes this.</w:t>
      </w:r>
    </w:p>
    <w:bookmarkEnd w:id="49"/>
    <w:bookmarkStart w:id="50" w:name="X240ea3e2f630832d3bb43b10667f8cab80a47b4"/>
    <w:p>
      <w:pPr>
        <w:pStyle w:val="Heading3"/>
      </w:pPr>
      <w:r>
        <w:t xml:space="preserve">3.2.2 Data Augmentation</w:t>
      </w:r>
    </w:p>
    <w:p>
      <w:pPr>
        <w:pStyle w:val="FirstParagraph"/>
      </w:pPr>
      <w:r>
        <w:t xml:space="preserve">The training data generator applies a moderate set of geometric augmentations to combat overfitting:</w:t>
      </w:r>
    </w:p>
    <w:p>
      <w:pPr>
        <w:pStyle w:val="Compact"/>
        <w:numPr>
          <w:ilvl w:val="0"/>
          <w:numId w:val="1009"/>
        </w:numPr>
      </w:pPr>
      <w:r>
        <w:t xml:space="preserve">Rotation range: ±20°</w:t>
      </w:r>
    </w:p>
    <w:p>
      <w:pPr>
        <w:pStyle w:val="Compact"/>
        <w:numPr>
          <w:ilvl w:val="0"/>
          <w:numId w:val="1009"/>
        </w:numPr>
      </w:pPr>
      <w:r>
        <w:t xml:space="preserve">Width and height shift: ±10%</w:t>
      </w:r>
    </w:p>
    <w:p>
      <w:pPr>
        <w:pStyle w:val="Compact"/>
        <w:numPr>
          <w:ilvl w:val="0"/>
          <w:numId w:val="1009"/>
        </w:numPr>
      </w:pPr>
      <w:r>
        <w:t xml:space="preserve">Shear range: 10%</w:t>
      </w:r>
    </w:p>
    <w:p>
      <w:pPr>
        <w:pStyle w:val="Compact"/>
        <w:numPr>
          <w:ilvl w:val="0"/>
          <w:numId w:val="1009"/>
        </w:numPr>
      </w:pPr>
      <w:r>
        <w:t xml:space="preserve">Zoom range: 10%</w:t>
      </w:r>
    </w:p>
    <w:p>
      <w:pPr>
        <w:pStyle w:val="Compact"/>
        <w:numPr>
          <w:ilvl w:val="0"/>
          <w:numId w:val="1009"/>
        </w:numPr>
      </w:pPr>
      <w:r>
        <w:t xml:space="preserve">Horizontal flip: enabled</w:t>
      </w:r>
    </w:p>
    <w:p>
      <w:pPr>
        <w:pStyle w:val="FirstParagraph"/>
      </w:pPr>
      <w:r>
        <w:t xml:space="preserve">These are applied</w:t>
      </w:r>
      <w:r>
        <w:t xml:space="preserve"> </w:t>
      </w:r>
      <w:r>
        <w:rPr>
          <w:b/>
          <w:bCs/>
        </w:rPr>
        <w:t xml:space="preserve">only to the training set</w:t>
      </w:r>
      <w:r>
        <w:t xml:space="preserve">. The validation and test generators apply the same architecture-specific preprocessing but no augmentation, so that all metrics are computed on un-perturbed images. The bachelor pipeline mistakenly augmented its test set as well; the present pipeline corrects this in</w:t>
      </w:r>
      <w:r>
        <w:t xml:space="preserve"> </w:t>
      </w:r>
      <w:r>
        <w:rPr>
          <w:rStyle w:val="VerbatimChar"/>
        </w:rPr>
        <w:t xml:space="preserve">lib/helpers.py</w:t>
      </w:r>
      <w:r>
        <w:t xml:space="preserve"> </w:t>
      </w:r>
      <w:r>
        <w:t xml:space="preserve">by exposing</w:t>
      </w:r>
      <w:r>
        <w:t xml:space="preserve"> </w:t>
      </w:r>
      <w:r>
        <w:rPr>
          <w:rStyle w:val="VerbatimChar"/>
        </w:rPr>
        <w:t xml:space="preserve">build_train_datagen</w:t>
      </w:r>
      <w:r>
        <w:t xml:space="preserve"> </w:t>
      </w:r>
      <w:r>
        <w:t xml:space="preserve">and</w:t>
      </w:r>
      <w:r>
        <w:t xml:space="preserve"> </w:t>
      </w:r>
      <w:r>
        <w:rPr>
          <w:rStyle w:val="VerbatimChar"/>
        </w:rPr>
        <w:t xml:space="preserve">build_eval_datagen</w:t>
      </w:r>
      <w:r>
        <w:t xml:space="preserve"> </w:t>
      </w:r>
      <w:r>
        <w:t xml:space="preserve">as separate functions.</w:t>
      </w:r>
    </w:p>
    <w:bookmarkEnd w:id="50"/>
    <w:bookmarkEnd w:id="51"/>
    <w:bookmarkStart w:id="55" w:name="Xd4c37a56717109a7cf082f75ab13f9485637a1b"/>
    <w:p>
      <w:pPr>
        <w:pStyle w:val="Heading2"/>
      </w:pPr>
      <w:r>
        <w:t xml:space="preserve">3.3 Training Pipeline</w:t>
      </w:r>
    </w:p>
    <w:bookmarkStart w:id="52" w:name="X81a913adbf7a6d37f170067b401deabd12fd3e4"/>
    <w:p>
      <w:pPr>
        <w:pStyle w:val="Heading3"/>
      </w:pPr>
      <w:r>
        <w:t xml:space="preserve">3.3.1 Common Components</w:t>
      </w:r>
    </w:p>
    <w:p>
      <w:pPr>
        <w:pStyle w:val="FirstParagraph"/>
      </w:pPr>
      <w:r>
        <w:t xml:space="preserve">Every model in this thesis is trained with the same core pipeline:</w:t>
      </w:r>
    </w:p>
    <w:p>
      <w:pPr>
        <w:pStyle w:val="Compact"/>
        <w:numPr>
          <w:ilvl w:val="0"/>
          <w:numId w:val="1010"/>
        </w:numPr>
      </w:pPr>
      <w:r>
        <w:rPr>
          <w:b/>
          <w:bCs/>
        </w:rPr>
        <w:t xml:space="preserve">Optimizer</w:t>
      </w:r>
      <w:r>
        <w:t xml:space="preserve">: Adam with initial learning rate</w:t>
      </w:r>
      <w:r>
        <w:t xml:space="preserve"> </w:t>
      </w:r>
      <m:oMath>
        <m:r>
          <m:t>1</m:t>
        </m:r>
        <m:r>
          <m:rPr>
            <m:sty m:val="p"/>
          </m:rPr>
          <m:t>×</m:t>
        </m:r>
        <m:sSup>
          <m:e>
            <m:r>
              <m:t>10</m:t>
            </m:r>
          </m:e>
          <m:sup>
            <m:r>
              <m:rPr>
                <m:sty m:val="p"/>
              </m:rPr>
              <m:t>−</m:t>
            </m:r>
            <m:r>
              <m:t>3</m:t>
            </m:r>
          </m:sup>
        </m:sSup>
      </m:oMath>
      <w:r>
        <w:t xml:space="preserve">.</w:t>
      </w:r>
    </w:p>
    <w:p>
      <w:pPr>
        <w:pStyle w:val="Compact"/>
        <w:numPr>
          <w:ilvl w:val="0"/>
          <w:numId w:val="1010"/>
        </w:numPr>
      </w:pPr>
      <w:r>
        <w:rPr>
          <w:b/>
          <w:bCs/>
        </w:rPr>
        <w:t xml:space="preserve">Loss</w:t>
      </w:r>
      <w:r>
        <w:t xml:space="preserve">: binary cross-entropy for binary classifiers; categorical cross-entropy for the 5-class models.</w:t>
      </w:r>
    </w:p>
    <w:p>
      <w:pPr>
        <w:pStyle w:val="Compact"/>
        <w:numPr>
          <w:ilvl w:val="0"/>
          <w:numId w:val="1010"/>
        </w:numPr>
      </w:pPr>
      <w:r>
        <w:rPr>
          <w:b/>
          <w:bCs/>
        </w:rPr>
        <w:t xml:space="preserve">Batch size</w:t>
      </w:r>
      <w:r>
        <w:t xml:space="preserve">: 32.</w:t>
      </w:r>
    </w:p>
    <w:p>
      <w:pPr>
        <w:pStyle w:val="Compact"/>
        <w:numPr>
          <w:ilvl w:val="0"/>
          <w:numId w:val="1010"/>
        </w:numPr>
      </w:pPr>
      <w:r>
        <w:rPr>
          <w:b/>
          <w:bCs/>
        </w:rPr>
        <w:t xml:space="preserve">Class weights</w:t>
      </w:r>
      <w:r>
        <w:t xml:space="preserve">: computed via</w:t>
      </w:r>
      <w:r>
        <w:t xml:space="preserve"> </w:t>
      </w:r>
      <w:r>
        <w:rPr>
          <w:rStyle w:val="VerbatimChar"/>
        </w:rPr>
        <w:t xml:space="preserve">sklearn.utils.class_weight.compute_class_weight(class_weight='balanced')</w:t>
      </w:r>
      <w:r>
        <w:t xml:space="preserve"> </w:t>
      </w:r>
      <w:r>
        <w:t xml:space="preserve">and passed into</w:t>
      </w:r>
      <w:r>
        <w:t xml:space="preserve"> </w:t>
      </w:r>
      <w:r>
        <w:rPr>
          <w:rStyle w:val="VerbatimChar"/>
        </w:rPr>
        <w:t xml:space="preserve">model.fit(class_weight=...)</w:t>
      </w:r>
      <w:r>
        <w:t xml:space="preserve">. This is critical for the heavily imbalanced 5-class problem.</w:t>
      </w:r>
    </w:p>
    <w:p>
      <w:pPr>
        <w:pStyle w:val="Compact"/>
        <w:numPr>
          <w:ilvl w:val="0"/>
          <w:numId w:val="1010"/>
        </w:numPr>
      </w:pPr>
      <w:r>
        <w:rPr>
          <w:b/>
          <w:bCs/>
        </w:rPr>
        <w:t xml:space="preserve">Maximum epochs</w:t>
      </w:r>
      <w:r>
        <w:t xml:space="preserve">: 100, with early stopping triggered if validation loss does not improve for 10 consecutive epochs.</w:t>
      </w:r>
    </w:p>
    <w:bookmarkEnd w:id="52"/>
    <w:bookmarkStart w:id="53" w:name="X0e47d3313bbd5dcf4bc0de1631b6621ffb9af46"/>
    <w:p>
      <w:pPr>
        <w:pStyle w:val="Heading3"/>
      </w:pPr>
      <w:r>
        <w:t xml:space="preserve">3.3.2 Callbacks</w:t>
      </w:r>
    </w:p>
    <w:p>
      <w:pPr>
        <w:pStyle w:val="FirstParagraph"/>
      </w:pPr>
      <w:r>
        <w:t xml:space="preserve">Three callbacks are standard:</w:t>
      </w:r>
    </w:p>
    <w:p>
      <w:pPr>
        <w:pStyle w:val="Compact"/>
        <w:numPr>
          <w:ilvl w:val="0"/>
          <w:numId w:val="1011"/>
        </w:numPr>
      </w:pPr>
      <w:r>
        <w:rPr>
          <w:b/>
          <w:bCs/>
        </w:rPr>
        <w:t xml:space="preserve">EarlyStopping</w:t>
      </w:r>
      <w:r>
        <w:t xml:space="preserve"> </w:t>
      </w:r>
      <w:r>
        <w:t xml:space="preserve">(</w:t>
      </w:r>
      <w:r>
        <w:rPr>
          <w:rStyle w:val="VerbatimChar"/>
        </w:rPr>
        <w:t xml:space="preserve">monitor='val_loss', patience=10, restore_best_weights=True</w:t>
      </w:r>
      <w:r>
        <w:t xml:space="preserve">): halts training once validation loss plateaus and restores the best weights. Most experiments stop between epochs 15 and 35.</w:t>
      </w:r>
    </w:p>
    <w:p>
      <w:pPr>
        <w:pStyle w:val="Compact"/>
        <w:numPr>
          <w:ilvl w:val="0"/>
          <w:numId w:val="1011"/>
        </w:numPr>
      </w:pPr>
      <w:r>
        <w:rPr>
          <w:b/>
          <w:bCs/>
        </w:rPr>
        <w:t xml:space="preserve">ReduceLROnPlateau</w:t>
      </w:r>
      <w:r>
        <w:t xml:space="preserve"> </w:t>
      </w:r>
      <w:r>
        <w:t xml:space="preserve">(</w:t>
      </w:r>
      <w:r>
        <w:rPr>
          <w:rStyle w:val="VerbatimChar"/>
        </w:rPr>
        <w:t xml:space="preserve">factor=0.5, patience=5, min_lr=1e-6</w:t>
      </w:r>
      <w:r>
        <w:t xml:space="preserve">): halves the learning rate if validation loss stagnates for 5 epochs. This typically fires once or twice during a run.</w:t>
      </w:r>
    </w:p>
    <w:p>
      <w:pPr>
        <w:pStyle w:val="Compact"/>
        <w:numPr>
          <w:ilvl w:val="0"/>
          <w:numId w:val="1011"/>
        </w:numPr>
      </w:pPr>
      <w:r>
        <w:rPr>
          <w:b/>
          <w:bCs/>
        </w:rPr>
        <w:t xml:space="preserve">ModelCheckpoint</w:t>
      </w:r>
      <w:r>
        <w:t xml:space="preserve"> </w:t>
      </w:r>
      <w:r>
        <w:t xml:space="preserve">(</w:t>
      </w:r>
      <w:r>
        <w:rPr>
          <w:rStyle w:val="VerbatimChar"/>
        </w:rPr>
        <w:t xml:space="preserve">monitor='val_accuracy', save_best_only=True</w:t>
      </w:r>
      <w:r>
        <w:t xml:space="preserve">): saves the best-validation model to disk. We always evaluate the</w:t>
      </w:r>
      <w:r>
        <w:t xml:space="preserve"> </w:t>
      </w:r>
      <w:r>
        <w:rPr>
          <w:i/>
          <w:iCs/>
        </w:rPr>
        <w:t xml:space="preserve">best</w:t>
      </w:r>
      <w:r>
        <w:t xml:space="preserve"> </w:t>
      </w:r>
      <w:r>
        <w:t xml:space="preserve">model rather than the final one.</w:t>
      </w:r>
    </w:p>
    <w:bookmarkEnd w:id="53"/>
    <w:bookmarkStart w:id="54" w:name="Xd07fb61d47810cda5059db8ba1a5cb8497653c9"/>
    <w:p>
      <w:pPr>
        <w:pStyle w:val="Heading3"/>
      </w:pPr>
      <w:r>
        <w:t xml:space="preserve">3.3.3 Architecture Heads</w:t>
      </w:r>
    </w:p>
    <w:p>
      <w:pPr>
        <w:pStyle w:val="FirstParagraph"/>
      </w:pPr>
      <w:r>
        <w:t xml:space="preserve">For transfer-learning models, the ImageNet base is loaded with</w:t>
      </w:r>
      <w:r>
        <w:t xml:space="preserve"> </w:t>
      </w:r>
      <w:r>
        <w:rPr>
          <w:rStyle w:val="VerbatimChar"/>
        </w:rPr>
        <w:t xml:space="preserve">include_top=False</w:t>
      </w:r>
      <w:r>
        <w:t xml:space="preserve">, frozen, and topped with a Global Average Pooling layer, a 128-unit Dense layer with ReLU activation, and a final classification layer (sigmoid for binary, softmax for multi-class). The from-scratch CNN uses three convolution-pool blocks (32 → 64 → 128 filters with 3×3 kernels and 2×2 max-pooling) followed by a Flatten layer, a 128-unit Dense ReLU, and the classification layer.</w:t>
      </w:r>
    </w:p>
    <w:bookmarkEnd w:id="54"/>
    <w:bookmarkEnd w:id="55"/>
    <w:bookmarkStart w:id="60" w:name="X385035431ee63ebb0cc864bd6975ac7f21a413f"/>
    <w:p>
      <w:pPr>
        <w:pStyle w:val="Heading2"/>
      </w:pPr>
      <w:r>
        <w:t xml:space="preserve">3.4 Evaluation Metrics</w:t>
      </w:r>
    </w:p>
    <w:p>
      <w:pPr>
        <w:pStyle w:val="FirstParagraph"/>
      </w:pPr>
      <w:r>
        <w:t xml:space="preserve">Multiple metrics are computed for every model, organised as follows.</w:t>
      </w:r>
    </w:p>
    <w:bookmarkStart w:id="56" w:name="X26dcfbedd8fbdb02b5d1c07bbeeead80376029c"/>
    <w:p>
      <w:pPr>
        <w:pStyle w:val="Heading3"/>
      </w:pPr>
      <w:r>
        <w:t xml:space="preserve">3.4.1 Discrimination Metrics</w:t>
      </w:r>
    </w:p>
    <w:p>
      <w:pPr>
        <w:pStyle w:val="Compact"/>
        <w:numPr>
          <w:ilvl w:val="0"/>
          <w:numId w:val="1012"/>
        </w:numPr>
      </w:pPr>
      <w:r>
        <w:rPr>
          <w:b/>
          <w:bCs/>
        </w:rPr>
        <w:t xml:space="preserve">Accuracy</w:t>
      </w:r>
      <w:r>
        <w:t xml:space="preserve">: fraction of correct predictions on the test set.</w:t>
      </w:r>
    </w:p>
    <w:p>
      <w:pPr>
        <w:pStyle w:val="Compact"/>
        <w:numPr>
          <w:ilvl w:val="0"/>
          <w:numId w:val="1012"/>
        </w:numPr>
      </w:pPr>
      <w:r>
        <w:rPr>
          <w:b/>
          <w:bCs/>
        </w:rPr>
        <w:t xml:space="preserve">AUROC</w:t>
      </w:r>
      <w:r>
        <w:t xml:space="preserve"> </w:t>
      </w:r>
      <w:r>
        <w:t xml:space="preserve">(Area Under the Receiver Operating Characteristic curve): for binary tasks, measures discrimination at all thresholds.</w:t>
      </w:r>
    </w:p>
    <w:p>
      <w:pPr>
        <w:pStyle w:val="Compact"/>
        <w:numPr>
          <w:ilvl w:val="0"/>
          <w:numId w:val="1012"/>
        </w:numPr>
      </w:pPr>
      <w:r>
        <w:rPr>
          <w:b/>
          <w:bCs/>
        </w:rPr>
        <w:t xml:space="preserve">Macro and weighted F1</w:t>
      </w:r>
      <w:r>
        <w:t xml:space="preserve">: for multi-class, capture per-class precision-recall balance with and without class-frequency weighting.</w:t>
      </w:r>
    </w:p>
    <w:bookmarkEnd w:id="56"/>
    <w:bookmarkStart w:id="57" w:name="Xbd6b660ce3cd840f85d40940a1a776f95028f1f"/>
    <w:p>
      <w:pPr>
        <w:pStyle w:val="Heading3"/>
      </w:pPr>
      <w:r>
        <w:t xml:space="preserve">3.4.2 Calibration Metrics</w:t>
      </w:r>
    </w:p>
    <w:p>
      <w:pPr>
        <w:pStyle w:val="Compact"/>
        <w:numPr>
          <w:ilvl w:val="0"/>
          <w:numId w:val="1013"/>
        </w:numPr>
      </w:pPr>
      <w:r>
        <w:rPr>
          <w:b/>
          <w:bCs/>
        </w:rPr>
        <w:t xml:space="preserve">Expected Calibration Error (ECE)</w:t>
      </w:r>
      <w:r>
        <w:t xml:space="preserve"> </w:t>
      </w:r>
      <w:r>
        <w:t xml:space="preserve">with 15 equal-width confidence bins, computed both before and after temperature scaling.</w:t>
      </w:r>
    </w:p>
    <w:p>
      <w:pPr>
        <w:pStyle w:val="Compact"/>
        <w:numPr>
          <w:ilvl w:val="0"/>
          <w:numId w:val="1013"/>
        </w:numPr>
      </w:pPr>
      <w:r>
        <w:rPr>
          <w:b/>
          <w:bCs/>
        </w:rPr>
        <w:t xml:space="preserve">Maximum Calibration Error (MCE)</w:t>
      </w:r>
      <w:r>
        <w:t xml:space="preserve">: worst-case bin-level calibration gap.</w:t>
      </w:r>
    </w:p>
    <w:p>
      <w:pPr>
        <w:pStyle w:val="Compact"/>
        <w:numPr>
          <w:ilvl w:val="0"/>
          <w:numId w:val="1013"/>
        </w:numPr>
      </w:pPr>
      <w:r>
        <w:rPr>
          <w:b/>
          <w:bCs/>
        </w:rPr>
        <w:t xml:space="preserve">Reliability diagram</w:t>
      </w:r>
      <w:r>
        <w:t xml:space="preserve">: per-bin accuracy vs confidence, with a perfect-calibration diagonal as reference.</w:t>
      </w:r>
    </w:p>
    <w:bookmarkEnd w:id="57"/>
    <w:bookmarkStart w:id="58" w:name="X4c5e74f1ad31835b2806a5031b93ecb7afad637"/>
    <w:p>
      <w:pPr>
        <w:pStyle w:val="Heading3"/>
      </w:pPr>
      <w:r>
        <w:t xml:space="preserve">3.4.3 Ordinal Metrics (Multi-class Only)</w:t>
      </w:r>
    </w:p>
    <w:p>
      <w:pPr>
        <w:pStyle w:val="FirstParagraph"/>
      </w:pPr>
      <w:r>
        <w:t xml:space="preserve">For 5-stage grading, two additional metrics capture the ordinal structure of the labels:</w:t>
      </w:r>
    </w:p>
    <w:p>
      <w:pPr>
        <w:pStyle w:val="Compact"/>
        <w:numPr>
          <w:ilvl w:val="0"/>
          <w:numId w:val="1014"/>
        </w:numPr>
      </w:pPr>
      <w:r>
        <w:rPr>
          <w:b/>
          <w:bCs/>
        </w:rPr>
        <w:t xml:space="preserve">Quadratic-Weighted Kappa (QWK)</w:t>
      </w:r>
      <w:r>
        <w:t xml:space="preserve">: penalises errors by their squared distance on the severity scale. This is the metric used by the original APTOS 2019 Kaggle competition leaderboard.</w:t>
      </w:r>
    </w:p>
    <w:p>
      <w:pPr>
        <w:pStyle w:val="Compact"/>
        <w:numPr>
          <w:ilvl w:val="0"/>
          <w:numId w:val="1014"/>
        </w:numPr>
      </w:pPr>
      <w:r>
        <w:rPr>
          <w:b/>
          <w:bCs/>
        </w:rPr>
        <w:t xml:space="preserve">Mean Ordinal Distance</w:t>
      </w:r>
      <w:r>
        <w:t xml:space="preserve">:</w:t>
      </w:r>
      <w:r>
        <w:t xml:space="preserve"> </w:t>
      </w:r>
      <m:oMath>
        <m:r>
          <m:rPr>
            <m:scr m:val="double-struck"/>
            <m:sty m:val="p"/>
          </m:rPr>
          <m:t>E</m:t>
        </m:r>
        <m:r>
          <m:rPr>
            <m:sty m:val="p"/>
          </m:rPr>
          <m:t>[</m:t>
        </m:r>
        <m:r>
          <m:rPr>
            <m:sty m:val="p"/>
          </m:rPr>
          <m:t>|</m:t>
        </m:r>
        <m:r>
          <m:t>y</m:t>
        </m:r>
        <m:r>
          <m:rPr>
            <m:sty m:val="p"/>
          </m:rPr>
          <m:t>−</m:t>
        </m:r>
        <m:acc>
          <m:accPr>
            <m:chr m:val="̂"/>
          </m:accPr>
          <m:e>
            <m:r>
              <m:t>y</m:t>
            </m:r>
          </m:e>
        </m:acc>
        <m:r>
          <m:rPr>
            <m:sty m:val="p"/>
          </m:rPr>
          <m:t>|</m:t>
        </m:r>
        <m:r>
          <m:rPr>
            <m:sty m:val="p"/>
          </m:rPr>
          <m:t>]</m:t>
        </m:r>
      </m:oMath>
      <w:r>
        <w:t xml:space="preserve">, a simpler companion to QWK.</w:t>
      </w:r>
    </w:p>
    <w:bookmarkEnd w:id="58"/>
    <w:bookmarkStart w:id="59" w:name="Xd08719ca3b149401d6ffd370a1d78d6e5c329fb"/>
    <w:p>
      <w:pPr>
        <w:pStyle w:val="Heading3"/>
      </w:pPr>
      <w:r>
        <w:t xml:space="preserve">3.4.4 Statistical Inference</w:t>
      </w:r>
    </w:p>
    <w:p>
      <w:pPr>
        <w:pStyle w:val="Compact"/>
        <w:numPr>
          <w:ilvl w:val="0"/>
          <w:numId w:val="1015"/>
        </w:numPr>
      </w:pPr>
      <w:r>
        <w:rPr>
          <w:b/>
          <w:bCs/>
        </w:rPr>
        <w:t xml:space="preserve">Bootstrap 95% confidence intervals</w:t>
      </w:r>
      <w:r>
        <w:t xml:space="preserve"> </w:t>
      </w:r>
      <w:r>
        <w:t xml:space="preserve">on test accuracy, computed with 1,000 resamples and seed 42.</w:t>
      </w:r>
    </w:p>
    <w:p>
      <w:pPr>
        <w:pStyle w:val="Compact"/>
        <w:numPr>
          <w:ilvl w:val="0"/>
          <w:numId w:val="1015"/>
        </w:numPr>
      </w:pPr>
      <w:r>
        <w:rPr>
          <w:b/>
          <w:bCs/>
        </w:rPr>
        <w:t xml:space="preserve">Pairwise McNemar tests</w:t>
      </w:r>
      <w:r>
        <w:t xml:space="preserve"> </w:t>
      </w:r>
      <w:r>
        <w:t xml:space="preserve">between every model pair, with a continuity correction. p &lt; 0.05 indicates a statistically significant difference in error rates.</w:t>
      </w:r>
    </w:p>
    <w:p>
      <w:pPr>
        <w:pStyle w:val="Compact"/>
        <w:numPr>
          <w:ilvl w:val="0"/>
          <w:numId w:val="1015"/>
        </w:numPr>
      </w:pPr>
      <w:r>
        <w:rPr>
          <w:b/>
          <w:bCs/>
        </w:rPr>
        <w:t xml:space="preserve">Cohen's kappa</w:t>
      </w:r>
      <w:r>
        <w:t xml:space="preserve"> </w:t>
      </w:r>
      <w:r>
        <w:t xml:space="preserve">between pairs of classifiers, as a chance-corrected agreement measure.</w:t>
      </w:r>
    </w:p>
    <w:bookmarkEnd w:id="59"/>
    <w:bookmarkEnd w:id="60"/>
    <w:bookmarkStart w:id="64" w:name="X598880af19b391679362d9899b2d0ec0b48667a"/>
    <w:p>
      <w:pPr>
        <w:pStyle w:val="Heading2"/>
      </w:pPr>
      <w:r>
        <w:t xml:space="preserve">3.5 Conformal Prediction Protocol</w:t>
      </w:r>
    </w:p>
    <w:bookmarkStart w:id="61" w:name="X9be93e124e82be2cc62bf7ab645c5e2b5bb3da6"/>
    <w:p>
      <w:pPr>
        <w:pStyle w:val="Heading3"/>
      </w:pPr>
      <w:r>
        <w:t xml:space="preserve">3.5.1 Calibration Set</w:t>
      </w:r>
    </w:p>
    <w:p>
      <w:pPr>
        <w:pStyle w:val="FirstParagraph"/>
      </w:pPr>
      <w:r>
        <w:t xml:space="preserve">The validation split (550 images) is used as the conformal calibration set. Both LAC and APS scores are evaluated. The non-conformity threshold</w:t>
      </w:r>
      <w:r>
        <w:t xml:space="preserve"> </w:t>
      </w:r>
      <m:oMath>
        <m:acc>
          <m:accPr>
            <m:chr m:val="̂"/>
          </m:accPr>
          <m:e>
            <m:r>
              <m:t>q</m:t>
            </m:r>
          </m:e>
        </m:acc>
      </m:oMath>
      <w:r>
        <w:t xml:space="preserve"> </w:t>
      </w:r>
      <w:r>
        <w:t xml:space="preserve">is computed as the</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 </w:t>
      </w:r>
      <w:r>
        <w:t xml:space="preserve">empirical quantile (with</w:t>
      </w:r>
      <w:r>
        <w:t xml:space="preserve"> </w:t>
      </w:r>
      <w:r>
        <w:rPr>
          <w:rStyle w:val="VerbatimChar"/>
        </w:rPr>
        <w:t xml:space="preserve">method='higher'</w:t>
      </w:r>
      <w:r>
        <w:t xml:space="preserve">), giving the finite-sample correction needed for the marginal coverage guarantee.</w:t>
      </w:r>
    </w:p>
    <w:bookmarkEnd w:id="61"/>
    <w:bookmarkStart w:id="62" w:name="X481149a2f906cbf051a367598625908ba009648"/>
    <w:p>
      <w:pPr>
        <w:pStyle w:val="Heading3"/>
      </w:pPr>
      <w:r>
        <w:t xml:space="preserve">3.5.2 Coverage Targets</w:t>
      </w:r>
    </w:p>
    <w:p>
      <w:pPr>
        <w:pStyle w:val="FirstParagraph"/>
      </w:pPr>
      <w:r>
        <w:t xml:space="preserve">Two miscoverage levels are evaluated:</w:t>
      </w:r>
      <w:r>
        <w:t xml:space="preserve"> </w:t>
      </w:r>
      <m:oMath>
        <m:r>
          <m:t>α</m:t>
        </m:r>
        <m:r>
          <m:rPr>
            <m:sty m:val="p"/>
          </m:rPr>
          <m:t>=</m:t>
        </m:r>
        <m:r>
          <m:t>0.10</m:t>
        </m:r>
      </m:oMath>
      <w:r>
        <w:t xml:space="preserve"> </w:t>
      </w:r>
      <w:r>
        <w:t xml:space="preserve">(target 90% coverage) and</w:t>
      </w:r>
      <w:r>
        <w:t xml:space="preserve"> </w:t>
      </w:r>
      <m:oMath>
        <m:r>
          <m:t>α</m:t>
        </m:r>
        <m:r>
          <m:rPr>
            <m:sty m:val="p"/>
          </m:rPr>
          <m:t>=</m:t>
        </m:r>
        <m:r>
          <m:t>0.05</m:t>
        </m:r>
      </m:oMath>
      <w:r>
        <w:t xml:space="preserve"> </w:t>
      </w:r>
      <w:r>
        <w:t xml:space="preserve">(target 95% coverage). For each, both LAC and APS are computed.</w:t>
      </w:r>
    </w:p>
    <w:bookmarkEnd w:id="62"/>
    <w:bookmarkStart w:id="63" w:name="X856d513a3fb0da725652ddbaa42a75e85cd721b"/>
    <w:p>
      <w:pPr>
        <w:pStyle w:val="Heading3"/>
      </w:pPr>
      <w:r>
        <w:t xml:space="preserve">3.5.3 Reported Diagnostics</w:t>
      </w:r>
    </w:p>
    <w:p>
      <w:pPr>
        <w:pStyle w:val="FirstParagraph"/>
      </w:pPr>
      <w:r>
        <w:t xml:space="preserve">For each (model, score,</w:t>
      </w:r>
      <w:r>
        <w:t xml:space="preserve"> </w:t>
      </w:r>
      <m:oMath>
        <m:r>
          <m:t>α</m:t>
        </m:r>
      </m:oMath>
      <w:r>
        <w:t xml:space="preserve">) triple, the following are recorded:</w:t>
      </w:r>
    </w:p>
    <w:p>
      <w:pPr>
        <w:pStyle w:val="Compact"/>
        <w:numPr>
          <w:ilvl w:val="0"/>
          <w:numId w:val="1016"/>
        </w:numPr>
      </w:pPr>
      <w:r>
        <w:rPr>
          <w:b/>
          <w:bCs/>
        </w:rPr>
        <w:t xml:space="preserve">Empirical marginal coverage</w:t>
      </w:r>
      <w:r>
        <w:t xml:space="preserve">: fraction of test points whose true label falls inside the conformal set.</w:t>
      </w:r>
    </w:p>
    <w:p>
      <w:pPr>
        <w:pStyle w:val="Compact"/>
        <w:numPr>
          <w:ilvl w:val="0"/>
          <w:numId w:val="1016"/>
        </w:numPr>
      </w:pPr>
      <w:r>
        <w:rPr>
          <w:b/>
          <w:bCs/>
        </w:rPr>
        <w:t xml:space="preserve">Mean set size</w:t>
      </w:r>
      <w:r>
        <w:t xml:space="preserve">: average</w:t>
      </w:r>
      <w:r>
        <w:t xml:space="preserve"> </w:t>
      </w:r>
      <m:oMath>
        <m:r>
          <m:rPr>
            <m:sty m:val="p"/>
          </m:rPr>
          <m:t>|</m:t>
        </m:r>
        <m:r>
          <m:t>C</m:t>
        </m:r>
        <m:r>
          <m:rPr>
            <m:sty m:val="p"/>
          </m:rPr>
          <m:t>(</m:t>
        </m:r>
        <m:r>
          <m:t>x</m:t>
        </m:r>
        <m:r>
          <m:rPr>
            <m:sty m:val="p"/>
          </m:rPr>
          <m:t>)</m:t>
        </m:r>
        <m:r>
          <m:rPr>
            <m:sty m:val="p"/>
          </m:rPr>
          <m:t>|</m:t>
        </m:r>
      </m:oMath>
      <w:r>
        <w:t xml:space="preserve">.</w:t>
      </w:r>
    </w:p>
    <w:p>
      <w:pPr>
        <w:pStyle w:val="Compact"/>
        <w:numPr>
          <w:ilvl w:val="0"/>
          <w:numId w:val="1016"/>
        </w:numPr>
      </w:pPr>
      <w:r>
        <w:rPr>
          <w:b/>
          <w:bCs/>
        </w:rPr>
        <w:t xml:space="preserve">Set size distribution</w:t>
      </w:r>
      <w:r>
        <w:t xml:space="preserve">: histogram of |C(x)| values (0, 1, 2 for binary; 0, 1, 2, 3, 4, 5 for 5-class).</w:t>
      </w:r>
    </w:p>
    <w:p>
      <w:pPr>
        <w:pStyle w:val="Compact"/>
        <w:numPr>
          <w:ilvl w:val="0"/>
          <w:numId w:val="1016"/>
        </w:numPr>
      </w:pPr>
      <w:r>
        <w:rPr>
          <w:b/>
          <w:bCs/>
        </w:rPr>
        <w:t xml:space="preserve">Singleton correct rate</w:t>
      </w:r>
      <w:r>
        <w:t xml:space="preserve">: among single-class sets, fraction equal to the truth.</w:t>
      </w:r>
    </w:p>
    <w:p>
      <w:pPr>
        <w:pStyle w:val="Compact"/>
        <w:numPr>
          <w:ilvl w:val="0"/>
          <w:numId w:val="1016"/>
        </w:numPr>
      </w:pPr>
      <w:r>
        <w:rPr>
          <w:b/>
          <w:bCs/>
        </w:rPr>
        <w:t xml:space="preserve">Abstain rate</w:t>
      </w:r>
      <w:r>
        <w:t xml:space="preserve">: fraction of two-class sets (binary) or sets covering more than one class (multi-class).</w:t>
      </w:r>
    </w:p>
    <w:p>
      <w:pPr>
        <w:pStyle w:val="Compact"/>
        <w:numPr>
          <w:ilvl w:val="0"/>
          <w:numId w:val="1016"/>
        </w:numPr>
      </w:pPr>
      <w:r>
        <w:rPr>
          <w:b/>
          <w:bCs/>
        </w:rPr>
        <w:t xml:space="preserve">Per-class conditional coverage</w:t>
      </w:r>
      <w:r>
        <w:t xml:space="preserve"> </w:t>
      </w:r>
      <w:r>
        <w:t xml:space="preserve">(multi-class): fraction of true-class points whose set includes that class, computed per class.</w:t>
      </w:r>
    </w:p>
    <w:bookmarkEnd w:id="63"/>
    <w:bookmarkEnd w:id="64"/>
    <w:bookmarkStart w:id="67" w:name="X22217f12df37a142f9810b2f4079c3833ec4d56"/>
    <w:p>
      <w:pPr>
        <w:pStyle w:val="Heading2"/>
      </w:pPr>
      <w:r>
        <w:t xml:space="preserve">3.6 Monte Carlo Dropout Protocol</w:t>
      </w:r>
    </w:p>
    <w:bookmarkStart w:id="65" w:name="Xd93ed26f1dac6f19a00ef30b45627018d339f4d"/>
    <w:p>
      <w:pPr>
        <w:pStyle w:val="Heading3"/>
      </w:pPr>
      <w:r>
        <w:t xml:space="preserve">3.6.1 Architecture Variants</w:t>
      </w:r>
    </w:p>
    <w:p>
      <w:pPr>
        <w:pStyle w:val="FirstParagraph"/>
      </w:pPr>
      <w:r>
        <w:t xml:space="preserve">Two MC-Dropout-equipped variants are introduced for Phase 2:</w:t>
      </w:r>
    </w:p>
    <w:p>
      <w:pPr>
        <w:pStyle w:val="Compact"/>
        <w:numPr>
          <w:ilvl w:val="0"/>
          <w:numId w:val="1017"/>
        </w:numPr>
      </w:pPr>
      <w:r>
        <w:rPr>
          <w:rStyle w:val="VerbatimChar"/>
          <w:b/>
          <w:bCs/>
        </w:rPr>
        <w:t xml:space="preserve">cnn_mcd</w:t>
      </w:r>
      <w:r>
        <w:t xml:space="preserve">: the from-scratch 3-block CNN with</w:t>
      </w:r>
      <w:r>
        <w:t xml:space="preserve"> </w:t>
      </w:r>
      <w:r>
        <w:rPr>
          <w:rStyle w:val="VerbatimChar"/>
        </w:rPr>
        <w:t xml:space="preserve">SpatialDropout2D(rate=0.3)</w:t>
      </w:r>
      <w:r>
        <w:t xml:space="preserve"> </w:t>
      </w:r>
      <w:r>
        <w:t xml:space="preserve">after each convolution-pool pair and</w:t>
      </w:r>
      <w:r>
        <w:t xml:space="preserve"> </w:t>
      </w:r>
      <w:r>
        <w:rPr>
          <w:rStyle w:val="VerbatimChar"/>
        </w:rPr>
        <w:t xml:space="preserve">Dropout(rate=0.3)</w:t>
      </w:r>
      <w:r>
        <w:t xml:space="preserve"> </w:t>
      </w:r>
      <w:r>
        <w:t xml:space="preserve">before the final classifier.</w:t>
      </w:r>
    </w:p>
    <w:p>
      <w:pPr>
        <w:pStyle w:val="Compact"/>
        <w:numPr>
          <w:ilvl w:val="0"/>
          <w:numId w:val="1017"/>
        </w:numPr>
      </w:pPr>
      <w:r>
        <w:rPr>
          <w:rStyle w:val="VerbatimChar"/>
          <w:b/>
          <w:bCs/>
        </w:rPr>
        <w:t xml:space="preserve">resnet50_mcd</w:t>
      </w:r>
      <w:r>
        <w:t xml:space="preserve">: ResNet50 transfer learning with</w:t>
      </w:r>
      <w:r>
        <w:t xml:space="preserve"> </w:t>
      </w:r>
      <w:r>
        <w:rPr>
          <w:rStyle w:val="VerbatimChar"/>
        </w:rPr>
        <w:t xml:space="preserve">Dropout(rate=0.3)</w:t>
      </w:r>
      <w:r>
        <w:t xml:space="preserve"> </w:t>
      </w:r>
      <w:r>
        <w:t xml:space="preserve">before the final dense layer; the convolutional base remains frozen.</w:t>
      </w:r>
    </w:p>
    <w:bookmarkEnd w:id="65"/>
    <w:bookmarkStart w:id="66" w:name="Xe8a166622ab5bde4e496377c44b037c5d64c6e9"/>
    <w:p>
      <w:pPr>
        <w:pStyle w:val="Heading3"/>
      </w:pPr>
      <w:r>
        <w:t xml:space="preserve">3.6.2 Inference</w:t>
      </w:r>
    </w:p>
    <w:p>
      <w:pPr>
        <w:pStyle w:val="FirstParagraph"/>
      </w:pPr>
      <w:r>
        <w:t xml:space="preserve">At inference time, the model is called with</w:t>
      </w:r>
      <w:r>
        <w:t xml:space="preserve"> </w:t>
      </w:r>
      <w:r>
        <w:rPr>
          <w:rStyle w:val="VerbatimChar"/>
        </w:rPr>
        <w:t xml:space="preserve">training=True</w:t>
      </w:r>
      <w:r>
        <w:t xml:space="preserve"> </w:t>
      </w:r>
      <w:r>
        <w:t xml:space="preserve">to keep dropout active. T = 30 stochastic forward passes are performed per test input. The per-pass probabilities are aggregated into:</w:t>
      </w:r>
    </w:p>
    <w:p>
      <w:pPr>
        <w:pStyle w:val="Compact"/>
        <w:numPr>
          <w:ilvl w:val="0"/>
          <w:numId w:val="1018"/>
        </w:numPr>
      </w:pPr>
      <w:r>
        <w:rPr>
          <w:b/>
          <w:bCs/>
        </w:rPr>
        <w:t xml:space="preserve">Mean prediction</w:t>
      </w:r>
      <w:r>
        <w:t xml:space="preserve">:</w:t>
      </w:r>
      <w:r>
        <w:t xml:space="preserve"> </w:t>
      </w:r>
      <m:oMath>
        <m:acc>
          <m:accPr>
            <m:chr m:val="‾"/>
          </m:accPr>
          <m:e>
            <m:r>
              <m:t>p</m:t>
            </m:r>
          </m:e>
        </m:acc>
        <m:r>
          <m:rPr>
            <m:sty m:val="p"/>
          </m:rPr>
          <m:t>=</m:t>
        </m:r>
        <m:f>
          <m:fPr>
            <m:type m:val="lin"/>
          </m:fPr>
          <m:num>
            <m:r>
              <m:t>1</m:t>
            </m:r>
          </m:num>
          <m:den>
            <m:r>
              <m:t>T</m:t>
            </m:r>
          </m:den>
        </m:f>
        <m:nary>
          <m:naryPr>
            <m:chr m:val="∑"/>
            <m:limLoc m:val="undOvr"/>
            <m:subHide m:val="off"/>
            <m:supHide m:val="on"/>
          </m:naryPr>
          <m:sub>
            <m:r>
              <m:t>t</m:t>
            </m:r>
          </m:sub>
          <m:sup>
            <m:r>
              <m:t>​</m:t>
            </m:r>
          </m:sup>
          <m:e>
            <m:sSub>
              <m:e>
                <m:r>
                  <m:t>p</m:t>
                </m:r>
              </m:e>
              <m:sub>
                <m:r>
                  <m:t>t</m:t>
                </m:r>
              </m:sub>
            </m:sSub>
          </m:e>
        </m:nary>
      </m:oMath>
      <w:r>
        <w:t xml:space="preserve">, used for the binary decision.</w:t>
      </w:r>
    </w:p>
    <w:p>
      <w:pPr>
        <w:pStyle w:val="Compact"/>
        <w:numPr>
          <w:ilvl w:val="0"/>
          <w:numId w:val="1018"/>
        </w:numPr>
      </w:pPr>
      <w:r>
        <w:rPr>
          <w:b/>
          <w:bCs/>
        </w:rPr>
        <w:t xml:space="preserve">Standard deviation</w:t>
      </w:r>
      <w:r>
        <w:t xml:space="preserve">:</w:t>
      </w:r>
      <w:r>
        <w:t xml:space="preserve"> </w:t>
      </w:r>
      <m:oMath>
        <m:r>
          <m:t>σ</m:t>
        </m:r>
        <m:r>
          <m:rPr>
            <m:sty m:val="p"/>
          </m:rPr>
          <m:t>=</m:t>
        </m:r>
        <m:sSub>
          <m:e>
            <m:r>
              <m:rPr>
                <m:nor/>
                <m:sty m:val="p"/>
              </m:rPr>
              <m:t>std</m:t>
            </m:r>
          </m:e>
          <m:sub>
            <m:r>
              <m:t>t</m:t>
            </m:r>
          </m:sub>
        </m:sSub>
        <m:r>
          <m:rPr>
            <m:sty m:val="p"/>
          </m:rPr>
          <m:t>(</m:t>
        </m:r>
        <m:sSub>
          <m:e>
            <m:r>
              <m:t>p</m:t>
            </m:r>
          </m:e>
          <m:sub>
            <m:r>
              <m:t>t</m:t>
            </m:r>
          </m:sub>
        </m:sSub>
        <m:r>
          <m:rPr>
            <m:sty m:val="p"/>
          </m:rPr>
          <m:t>)</m:t>
        </m:r>
      </m:oMath>
      <w:r>
        <w:t xml:space="preserve">, an epistemic uncertainty estimate.</w:t>
      </w:r>
    </w:p>
    <w:p>
      <w:pPr>
        <w:pStyle w:val="Compact"/>
        <w:numPr>
          <w:ilvl w:val="0"/>
          <w:numId w:val="1018"/>
        </w:numPr>
      </w:pPr>
      <w:r>
        <w:rPr>
          <w:b/>
          <w:bCs/>
        </w:rPr>
        <w:t xml:space="preserve">Predictive entropy</w:t>
      </w:r>
      <w:r>
        <w:t xml:space="preserve">:</w:t>
      </w:r>
      <w:r>
        <w:t xml:space="preserve"> </w:t>
      </w:r>
      <m:oMath>
        <m:r>
          <m:t>H</m:t>
        </m:r>
        <m:r>
          <m:rPr>
            <m:sty m:val="p"/>
          </m:rPr>
          <m:t>(</m:t>
        </m:r>
        <m:acc>
          <m:accPr>
            <m:chr m:val="‾"/>
          </m:accPr>
          <m:e>
            <m:r>
              <m:t>p</m:t>
            </m:r>
          </m:e>
        </m:acc>
        <m:r>
          <m:rPr>
            <m:sty m:val="p"/>
          </m:rPr>
          <m:t>)</m:t>
        </m:r>
      </m:oMath>
      <w:r>
        <w:t xml:space="preserve">, total uncertainty.</w:t>
      </w:r>
    </w:p>
    <w:p>
      <w:pPr>
        <w:pStyle w:val="Compact"/>
        <w:numPr>
          <w:ilvl w:val="0"/>
          <w:numId w:val="1018"/>
        </w:numPr>
      </w:pPr>
      <w:r>
        <w:rPr>
          <w:b/>
          <w:bCs/>
        </w:rPr>
        <w:t xml:space="preserve">Mean per-pass entropy</w:t>
      </w:r>
      <w:r>
        <w:t xml:space="preserve">:</w:t>
      </w:r>
      <w:r>
        <w:t xml:space="preserve"> </w:t>
      </w:r>
      <m:oMath>
        <m:sSub>
          <m:e>
            <m:r>
              <m:rPr>
                <m:scr m:val="double-struck"/>
                <m:sty m:val="p"/>
              </m:rPr>
              <m:t>E</m:t>
            </m:r>
          </m:e>
          <m:sub>
            <m:r>
              <m:t>t</m:t>
            </m:r>
          </m:sub>
        </m:sSub>
        <m:r>
          <m:rPr>
            <m:sty m:val="p"/>
          </m:rPr>
          <m:t>[</m:t>
        </m:r>
        <m:r>
          <m:t>H</m:t>
        </m:r>
        <m:r>
          <m:rPr>
            <m:sty m:val="p"/>
          </m:rPr>
          <m:t>(</m:t>
        </m:r>
        <m:sSub>
          <m:e>
            <m:r>
              <m:t>p</m:t>
            </m:r>
          </m:e>
          <m:sub>
            <m:r>
              <m:t>t</m:t>
            </m:r>
          </m:sub>
        </m:sSub>
        <m:r>
          <m:rPr>
            <m:sty m:val="p"/>
          </m:rPr>
          <m:t>)</m:t>
        </m:r>
        <m:r>
          <m:rPr>
            <m:sty m:val="p"/>
          </m:rPr>
          <m:t>]</m:t>
        </m:r>
      </m:oMath>
      <w:r>
        <w:t xml:space="preserve">, aleatoric proxy.</w:t>
      </w:r>
    </w:p>
    <w:p>
      <w:pPr>
        <w:pStyle w:val="Compact"/>
        <w:numPr>
          <w:ilvl w:val="0"/>
          <w:numId w:val="1018"/>
        </w:numPr>
      </w:pPr>
      <w:r>
        <w:rPr>
          <w:b/>
          <w:bCs/>
        </w:rPr>
        <w:t xml:space="preserve">Mutual information</w:t>
      </w:r>
      <w:r>
        <w:t xml:space="preserve"> </w:t>
      </w:r>
      <w:r>
        <w:t xml:space="preserve">(BALD): predictive entropy minus mean per-pass entropy, epistemic component.</w:t>
      </w:r>
    </w:p>
    <w:bookmarkEnd w:id="66"/>
    <w:bookmarkEnd w:id="67"/>
    <w:bookmarkStart w:id="71" w:name="Xd2c5dd80c0a63e65aedc5fa713386525736ff95"/>
    <w:p>
      <w:pPr>
        <w:pStyle w:val="Heading2"/>
      </w:pPr>
      <w:r>
        <w:t xml:space="preserve">3.7 Out-of-Distribution Detection Protocol</w:t>
      </w:r>
    </w:p>
    <w:bookmarkStart w:id="68" w:name="X2bea3601e6d760444d9ed93350fca98cd4a008b"/>
    <w:p>
      <w:pPr>
        <w:pStyle w:val="Heading3"/>
      </w:pPr>
      <w:r>
        <w:t xml:space="preserve">3.7.1 In-Distribution and Out-of-Distribution Sources</w:t>
      </w:r>
    </w:p>
    <w:p>
      <w:pPr>
        <w:pStyle w:val="FirstParagraph"/>
      </w:pPr>
      <w:r>
        <w:t xml:space="preserve">For Phase 2, the in-distribution (ID) inputs are the 550 fundus images of the APTOS test set. Out-of-distribution (OOD) inputs are 300 synthetic images of uniform random noise, preprocessed identically to ID inputs (for ResNet50, this means BGR mean subtraction). This is admittedly the</w:t>
      </w:r>
      <w:r>
        <w:t xml:space="preserve"> </w:t>
      </w:r>
      <w:r>
        <w:rPr>
          <w:i/>
          <w:iCs/>
        </w:rPr>
        <w:t xml:space="preserve">easy</w:t>
      </w:r>
      <w:r>
        <w:t xml:space="preserve"> </w:t>
      </w:r>
      <w:r>
        <w:t xml:space="preserve">case for OOD detection; a proper cross-dataset evaluation on Messidor-2 or IDRiD is left for future work, with the infrastructure to run it already in place (</w:t>
      </w:r>
      <w:r>
        <w:rPr>
          <w:rStyle w:val="VerbatimChar"/>
        </w:rPr>
        <w:t xml:space="preserve">master/run_cross_dataset.py</w:t>
      </w:r>
      <w:r>
        <w:t xml:space="preserve">).</w:t>
      </w:r>
    </w:p>
    <w:bookmarkEnd w:id="68"/>
    <w:bookmarkStart w:id="69" w:name="Xbbef5023751ad8cc3ad5f37041d2a29d81a03e1"/>
    <w:p>
      <w:pPr>
        <w:pStyle w:val="Heading3"/>
      </w:pPr>
      <w:r>
        <w:t xml:space="preserve">3.7.2 Feature Extractor</w:t>
      </w:r>
    </w:p>
    <w:p>
      <w:pPr>
        <w:pStyle w:val="FirstParagraph"/>
      </w:pPr>
      <w:r>
        <w:t xml:space="preserve">DenseNet121 with ImageNet-pretrained weights and a frozen base produces 1024-dimensional features for both ID and OOD inputs. The validation set is used to fit per-class means and a shared covariance for Mahalanobis, and to compute a single ID centroid for cosine distance.</w:t>
      </w:r>
    </w:p>
    <w:bookmarkEnd w:id="69"/>
    <w:bookmarkStart w:id="70" w:name="Xf1d9797269284a24dc569a1ce35e21735489c00"/>
    <w:p>
      <w:pPr>
        <w:pStyle w:val="Heading3"/>
      </w:pPr>
      <w:r>
        <w:t xml:space="preserve">3.7.3 Scoring Methods</w:t>
      </w:r>
    </w:p>
    <w:p>
      <w:pPr>
        <w:pStyle w:val="FirstParagraph"/>
      </w:pPr>
      <w:r>
        <w:t xml:space="preserve">Four scores are evaluated:</w:t>
      </w:r>
    </w:p>
    <w:p>
      <w:pPr>
        <w:pStyle w:val="Compact"/>
        <w:numPr>
          <w:ilvl w:val="0"/>
          <w:numId w:val="1019"/>
        </w:numPr>
      </w:pPr>
      <w:r>
        <w:rPr>
          <w:b/>
          <w:bCs/>
        </w:rPr>
        <w:t xml:space="preserve">Maximum Softmax Probability (MSP)</w:t>
      </w:r>
      <w:r>
        <w:t xml:space="preserve">:</w:t>
      </w:r>
      <w:r>
        <w:t xml:space="preserve"> </w:t>
      </w:r>
      <m:oMath>
        <m:sSub>
          <m:e>
            <m:r>
              <m:rPr>
                <m:sty m:val="p"/>
              </m:rPr>
              <m:t>max</m:t>
            </m:r>
          </m:e>
          <m:sub>
            <m:r>
              <m:t>k</m:t>
            </m:r>
          </m:sub>
        </m:sSub>
        <m:sSub>
          <m:e>
            <m:acc>
              <m:accPr>
                <m:chr m:val="̂"/>
              </m:accPr>
              <m:e>
                <m:r>
                  <m:t>p</m:t>
                </m:r>
              </m:e>
            </m:acc>
          </m:e>
          <m:sub>
            <m:r>
              <m:t>k</m:t>
            </m:r>
          </m:sub>
        </m:sSub>
      </m:oMath>
      <w:r>
        <w:t xml:space="preserve"> </w:t>
      </w:r>
      <w:r>
        <w:t xml:space="preserve">on the trained classifier.</w:t>
      </w:r>
    </w:p>
    <w:p>
      <w:pPr>
        <w:pStyle w:val="Compact"/>
        <w:numPr>
          <w:ilvl w:val="0"/>
          <w:numId w:val="1019"/>
        </w:numPr>
      </w:pPr>
      <w:r>
        <w:rPr>
          <w:b/>
          <w:bCs/>
        </w:rPr>
        <w:t xml:space="preserve">Energy score</w:t>
      </w:r>
      <w:r>
        <w:t xml:space="preserve">:</w:t>
      </w:r>
      <w:r>
        <w:t xml:space="preserve"> </w:t>
      </w:r>
      <m:oMath>
        <m:r>
          <m:rPr>
            <m:sty m:val="p"/>
          </m:rPr>
          <m:t>−</m:t>
        </m:r>
        <m:r>
          <m:t>T</m:t>
        </m:r>
        <m:r>
          <m:rPr>
            <m:sty m:val="p"/>
          </m:rPr>
          <m:t>⋅</m:t>
        </m:r>
        <m:r>
          <m:rPr>
            <m:sty m:val="p"/>
          </m:rPr>
          <m:t>log</m:t>
        </m:r>
        <m:nary>
          <m:naryPr>
            <m:chr m:val="∑"/>
            <m:limLoc m:val="undOvr"/>
            <m:subHide m:val="off"/>
            <m:supHide m:val="on"/>
          </m:naryPr>
          <m:sub>
            <m:r>
              <m:t>k</m:t>
            </m:r>
          </m:sub>
          <m:sup>
            <m:r>
              <m:t>​</m:t>
            </m:r>
          </m:sup>
          <m:e>
            <m:r>
              <m:rPr>
                <m:sty m:val="p"/>
              </m:rPr>
              <m:t>exp</m:t>
            </m:r>
          </m:e>
        </m:nary>
        <m:r>
          <m:rPr>
            <m:sty m:val="p"/>
          </m:rPr>
          <m:t>(</m:t>
        </m:r>
        <m:sSub>
          <m:e>
            <m:r>
              <m:t>z</m:t>
            </m:r>
          </m:e>
          <m:sub>
            <m:r>
              <m:t>k</m:t>
            </m:r>
          </m:sub>
        </m:sSub>
        <m:r>
          <m:rPr>
            <m:sty m:val="p"/>
          </m:rPr>
          <m:t>/</m:t>
        </m:r>
        <m:r>
          <m:t>T</m:t>
        </m:r>
        <m:r>
          <m:rPr>
            <m:sty m:val="p"/>
          </m:rPr>
          <m:t>)</m:t>
        </m:r>
      </m:oMath>
      <w:r>
        <w:t xml:space="preserve">, with</w:t>
      </w:r>
      <w:r>
        <w:t xml:space="preserve"> </w:t>
      </w:r>
      <m:oMath>
        <m:r>
          <m:t>T</m:t>
        </m:r>
        <m:r>
          <m:rPr>
            <m:sty m:val="p"/>
          </m:rPr>
          <m:t>=</m:t>
        </m:r>
        <m:r>
          <m:t>1</m:t>
        </m:r>
      </m:oMath>
      <w:r>
        <w:t xml:space="preserve">.</w:t>
      </w:r>
    </w:p>
    <w:p>
      <w:pPr>
        <w:pStyle w:val="Compact"/>
        <w:numPr>
          <w:ilvl w:val="0"/>
          <w:numId w:val="1019"/>
        </w:numPr>
      </w:pPr>
      <w:r>
        <w:rPr>
          <w:b/>
          <w:bCs/>
        </w:rPr>
        <w:t xml:space="preserve">Mahalanobis distance</w:t>
      </w:r>
      <w:r>
        <w:t xml:space="preserve"> </w:t>
      </w:r>
      <w:r>
        <w:t xml:space="preserve">to the closest class mean in DenseNet feature space.</w:t>
      </w:r>
    </w:p>
    <w:p>
      <w:pPr>
        <w:pStyle w:val="Compact"/>
        <w:numPr>
          <w:ilvl w:val="0"/>
          <w:numId w:val="1019"/>
        </w:numPr>
      </w:pPr>
      <w:r>
        <w:rPr>
          <w:b/>
          <w:bCs/>
        </w:rPr>
        <w:t xml:space="preserve">Cosine distance</w:t>
      </w:r>
      <w:r>
        <w:t xml:space="preserve"> </w:t>
      </w:r>
      <w:r>
        <w:t xml:space="preserve">to the ID centroid in DenseNet feature space.</w:t>
      </w:r>
    </w:p>
    <w:p>
      <w:pPr>
        <w:pStyle w:val="FirstParagraph"/>
      </w:pPr>
      <w:r>
        <w:t xml:space="preserve">For each score, ID and OOD distributions are reported, along with</w:t>
      </w:r>
      <w:r>
        <w:t xml:space="preserve"> </w:t>
      </w:r>
      <w:r>
        <w:rPr>
          <w:b/>
          <w:bCs/>
        </w:rPr>
        <w:t xml:space="preserve">AUROC</w:t>
      </w:r>
      <w:r>
        <w:t xml:space="preserve"> </w:t>
      </w:r>
      <w:r>
        <w:t xml:space="preserve">and</w:t>
      </w:r>
      <w:r>
        <w:t xml:space="preserve"> </w:t>
      </w:r>
      <w:r>
        <w:rPr>
          <w:b/>
          <w:bCs/>
        </w:rPr>
        <w:t xml:space="preserve">FPR at TPR = 95%</w:t>
      </w:r>
      <w:r>
        <w:t xml:space="preserve">.</w:t>
      </w:r>
    </w:p>
    <w:bookmarkEnd w:id="70"/>
    <w:bookmarkEnd w:id="71"/>
    <w:bookmarkStart w:id="72" w:name="X6805b1f3f5fc0eb37c6a7ca0ded6538f7e4d7db"/>
    <w:p>
      <w:pPr>
        <w:pStyle w:val="Heading2"/>
      </w:pPr>
      <w:r>
        <w:t xml:space="preserve">3.8 K-Fold Cross-Validation</w:t>
      </w:r>
    </w:p>
    <w:p>
      <w:pPr>
        <w:pStyle w:val="FirstParagraph"/>
      </w:pPr>
      <w:r>
        <w:t xml:space="preserve">To answer the question "how stable is the test accuracy estimate?" Phase 2 also runs a 5-fold cross-validation of ResNet50. The training+validation pool (3,112 images) is split into 5 stratified folds; the test set (550 images) is held fixed across folds. Each fold trains for up to 30 epochs with early stopping (patience = 6); the final test metrics are the mean and standard deviation across folds. The relative simplicity of this design — only ResNet50, only one architecture — is dictated by training time on CPU, but it is sufficient to put a tight bound on the variability of the single-split estimate used in Phase 1.</w:t>
      </w:r>
    </w:p>
    <w:bookmarkEnd w:id="72"/>
    <w:bookmarkStart w:id="78" w:name="Xb6c5d86e85fd96c2d0dc0d13aa377d2a71cef8a"/>
    <w:p>
      <w:pPr>
        <w:pStyle w:val="Heading2"/>
      </w:pPr>
      <w:r>
        <w:t xml:space="preserve">3.9 Multi-Class Extension</w:t>
      </w:r>
    </w:p>
    <w:bookmarkStart w:id="73" w:name="X3664f5ef3737037685006874f90868ecd3e7bc4"/>
    <w:p>
      <w:pPr>
        <w:pStyle w:val="Heading3"/>
      </w:pPr>
      <w:r>
        <w:t xml:space="preserve">3.9.1 Label Reformulation</w:t>
      </w:r>
    </w:p>
    <w:p>
      <w:pPr>
        <w:pStyle w:val="FirstParagraph"/>
      </w:pPr>
      <w:r>
        <w:t xml:space="preserve">Phase 3 returns to the original 5-class severity labels (0 to 4) instead of the binary collapse used in the bachelor work and in Phases 1–2. The same 70/15/15 split is used, but stratified on the 5-class label so that each split contains the appropriate proportion of each severity level. The class distribution of the test set is heavily imbalanced: No DR 271, Mild 56, Moderate 150, Severe 29, PDR 44.</w:t>
      </w:r>
    </w:p>
    <w:bookmarkEnd w:id="73"/>
    <w:bookmarkStart w:id="74" w:name="X92c5dd523773abb7d2cb1a192f37ade0a4f5e08"/>
    <w:p>
      <w:pPr>
        <w:pStyle w:val="Heading3"/>
      </w:pPr>
      <w:r>
        <w:t xml:space="preserve">3.9.2 Architecture Heads</w:t>
      </w:r>
    </w:p>
    <w:p>
      <w:pPr>
        <w:pStyle w:val="FirstParagraph"/>
      </w:pPr>
      <w:r>
        <w:t xml:space="preserve">The classification head is changed from a single sigmoid unit to a 5-unit softmax output; the loss is changed from binary cross-entropy to categorical cross-entropy. The data generators use</w:t>
      </w:r>
      <w:r>
        <w:t xml:space="preserve"> </w:t>
      </w:r>
      <w:r>
        <w:rPr>
          <w:rStyle w:val="VerbatimChar"/>
        </w:rPr>
        <w:t xml:space="preserve">class_mode='categorical'</w:t>
      </w:r>
      <w:r>
        <w:t xml:space="preserve"> </w:t>
      </w:r>
      <w:r>
        <w:t xml:space="preserve">and emit one-hot labels.</w:t>
      </w:r>
    </w:p>
    <w:bookmarkEnd w:id="74"/>
    <w:bookmarkStart w:id="75" w:name="X1b3644802f429c7f0b9fb724c53e1fbd2dba702"/>
    <w:p>
      <w:pPr>
        <w:pStyle w:val="Heading3"/>
      </w:pPr>
      <w:r>
        <w:t xml:space="preserve">3.9.3 Architectures Trained</w:t>
      </w:r>
    </w:p>
    <w:p>
      <w:pPr>
        <w:pStyle w:val="FirstParagraph"/>
      </w:pPr>
      <w:r>
        <w:t xml:space="preserve">Two architectures are evaluated in the multi-class setting:</w:t>
      </w:r>
    </w:p>
    <w:p>
      <w:pPr>
        <w:pStyle w:val="Compact"/>
        <w:numPr>
          <w:ilvl w:val="0"/>
          <w:numId w:val="1020"/>
        </w:numPr>
      </w:pPr>
      <w:r>
        <w:rPr>
          <w:rStyle w:val="VerbatimChar"/>
          <w:b/>
          <w:bCs/>
        </w:rPr>
        <w:t xml:space="preserve">cnn_5class</w:t>
      </w:r>
      <w:r>
        <w:t xml:space="preserve">: the same 3-block CNN as the binary CNN, with the head changed.</w:t>
      </w:r>
    </w:p>
    <w:p>
      <w:pPr>
        <w:pStyle w:val="Compact"/>
        <w:numPr>
          <w:ilvl w:val="0"/>
          <w:numId w:val="1020"/>
        </w:numPr>
      </w:pPr>
      <w:r>
        <w:rPr>
          <w:rStyle w:val="VerbatimChar"/>
          <w:b/>
          <w:bCs/>
        </w:rPr>
        <w:t xml:space="preserve">resnet50_5class</w:t>
      </w:r>
      <w:r>
        <w:t xml:space="preserve">: ResNet50 transfer learning with the head changed.</w:t>
      </w:r>
    </w:p>
    <w:bookmarkEnd w:id="75"/>
    <w:bookmarkStart w:id="76" w:name="X75a0ab2fdeaabf9622040ea51f35dadb73f3c43"/>
    <w:p>
      <w:pPr>
        <w:pStyle w:val="Heading3"/>
      </w:pPr>
      <w:r>
        <w:t xml:space="preserve">3.9.4 Multi-Class Conformal Prediction</w:t>
      </w:r>
    </w:p>
    <w:p>
      <w:pPr>
        <w:pStyle w:val="FirstParagraph"/>
      </w:pPr>
      <w:r>
        <w:t xml:space="preserve">The conformal-prediction modules (</w:t>
      </w:r>
      <w:r>
        <w:rPr>
          <w:rStyle w:val="VerbatimChar"/>
        </w:rPr>
        <w:t xml:space="preserve">master/uncertainty/conformal.py</w:t>
      </w:r>
      <w:r>
        <w:t xml:space="preserve">) generalise straightforwardly to multi-class via the LAC and APS scores defined per-class. The threshold</w:t>
      </w:r>
      <w:r>
        <w:t xml:space="preserve"> </w:t>
      </w:r>
      <m:oMath>
        <m:acc>
          <m:accPr>
            <m:chr m:val="̂"/>
          </m:accPr>
          <m:e>
            <m:r>
              <m:t>q</m:t>
            </m:r>
          </m:e>
        </m:acc>
      </m:oMath>
      <w:r>
        <w:t xml:space="preserve"> </w:t>
      </w:r>
      <w:r>
        <w:t xml:space="preserve">is fitted on the validation set as in the binary case. Conditional per-class coverage becomes especially informative: it tells us whether the marginal guarantee is honoured uniformly or whether the system is implicitly biased toward the majority "No DR" class.</w:t>
      </w:r>
    </w:p>
    <w:bookmarkEnd w:id="76"/>
    <w:bookmarkStart w:id="77" w:name="X877873102f6c8095b06e9801147067480b5d314"/>
    <w:p>
      <w:pPr>
        <w:pStyle w:val="Heading3"/>
      </w:pPr>
      <w:r>
        <w:t xml:space="preserve">3.9.5 Multi-Class Calibration</w:t>
      </w:r>
    </w:p>
    <w:p>
      <w:pPr>
        <w:pStyle w:val="FirstParagraph"/>
      </w:pPr>
      <w:r>
        <w:t xml:space="preserve">A multi-class generalisation of ECE is implemented in</w:t>
      </w:r>
      <w:r>
        <w:t xml:space="preserve"> </w:t>
      </w:r>
      <w:r>
        <w:rPr>
          <w:rStyle w:val="VerbatimChar"/>
        </w:rPr>
        <w:t xml:space="preserve">master/uncertainty/calibration_mc.py</w:t>
      </w:r>
      <w:r>
        <w:t xml:space="preserve">. Confidence is taken to be the maximum softmax probability</w:t>
      </w:r>
      <w:r>
        <w:t xml:space="preserve"> </w:t>
      </w:r>
      <m:oMath>
        <m:sSub>
          <m:e>
            <m:r>
              <m:rPr>
                <m:sty m:val="p"/>
              </m:rPr>
              <m:t>max</m:t>
            </m:r>
          </m:e>
          <m:sub>
            <m:r>
              <m:t>k</m:t>
            </m:r>
          </m:sub>
        </m:sSub>
        <m:sSub>
          <m:e>
            <m:acc>
              <m:accPr>
                <m:chr m:val="̂"/>
              </m:accPr>
              <m:e>
                <m:r>
                  <m:t>p</m:t>
                </m:r>
              </m:e>
            </m:acc>
          </m:e>
          <m:sub>
            <m:r>
              <m:t>k</m:t>
            </m:r>
          </m:sub>
        </m:sSub>
      </m:oMath>
      <w:r>
        <w:t xml:space="preserve">, and predictions are bucketed into 15 confidence bins between</w:t>
      </w:r>
      <w:r>
        <w:t xml:space="preserve"> </w:t>
      </w:r>
      <m:oMath>
        <m:r>
          <m:t>1</m:t>
        </m:r>
        <m:r>
          <m:rPr>
            <m:sty m:val="p"/>
          </m:rPr>
          <m:t>/</m:t>
        </m:r>
        <m:r>
          <m:t>K</m:t>
        </m:r>
      </m:oMath>
      <w:r>
        <w:t xml:space="preserve"> </w:t>
      </w:r>
      <w:r>
        <w:t xml:space="preserve">and 1. Temperature scaling is generalised to softmax via the standard NLL minimisation.</w:t>
      </w:r>
    </w:p>
    <w:bookmarkEnd w:id="77"/>
    <w:bookmarkEnd w:id="78"/>
    <w:bookmarkStart w:id="83" w:name="Xd897ccb7987b8633a54f05935a2615ca082771b"/>
    <w:p>
      <w:pPr>
        <w:pStyle w:val="Heading2"/>
      </w:pPr>
      <w:r>
        <w:t xml:space="preserve">3.10 Implementation and Reproducibility</w:t>
      </w:r>
    </w:p>
    <w:bookmarkStart w:id="79" w:name="X12d7bb86d5afc075dfb4f208a2b61e41f0a5cbc"/>
    <w:p>
      <w:pPr>
        <w:pStyle w:val="Heading3"/>
      </w:pPr>
      <w:r>
        <w:t xml:space="preserve">3.10.1 Software Environment</w:t>
      </w:r>
    </w:p>
    <w:p>
      <w:pPr>
        <w:pStyle w:val="Compact"/>
        <w:numPr>
          <w:ilvl w:val="0"/>
          <w:numId w:val="1021"/>
        </w:numPr>
      </w:pPr>
      <w:r>
        <w:t xml:space="preserve">Python 3.9.6</w:t>
      </w:r>
    </w:p>
    <w:p>
      <w:pPr>
        <w:pStyle w:val="Compact"/>
        <w:numPr>
          <w:ilvl w:val="0"/>
          <w:numId w:val="1021"/>
        </w:numPr>
      </w:pPr>
      <w:r>
        <w:t xml:space="preserve">TensorFlow 2.15.0, Keras 2.15</w:t>
      </w:r>
    </w:p>
    <w:p>
      <w:pPr>
        <w:pStyle w:val="Compact"/>
        <w:numPr>
          <w:ilvl w:val="0"/>
          <w:numId w:val="1021"/>
        </w:numPr>
      </w:pPr>
      <w:r>
        <w:t xml:space="preserve">scikit-learn 1.4.2, scikit-image 0.22, OpenCV 4.7.0.72</w:t>
      </w:r>
    </w:p>
    <w:p>
      <w:pPr>
        <w:pStyle w:val="Compact"/>
        <w:numPr>
          <w:ilvl w:val="0"/>
          <w:numId w:val="1021"/>
        </w:numPr>
      </w:pPr>
      <w:r>
        <w:t xml:space="preserve">pandas 2.2.2, numpy 1.26.4, matplotlib 3.8.4, seaborn 0.13.2</w:t>
      </w:r>
    </w:p>
    <w:p>
      <w:pPr>
        <w:pStyle w:val="Compact"/>
        <w:numPr>
          <w:ilvl w:val="0"/>
          <w:numId w:val="1021"/>
        </w:numPr>
      </w:pPr>
      <w:r>
        <w:t xml:space="preserve">streamlit 1.33.0</w:t>
      </w:r>
    </w:p>
    <w:p>
      <w:pPr>
        <w:pStyle w:val="FirstParagraph"/>
      </w:pPr>
      <w:r>
        <w:t xml:space="preserve">The full pinned environment is captured in</w:t>
      </w:r>
      <w:r>
        <w:t xml:space="preserve"> </w:t>
      </w:r>
      <w:r>
        <w:rPr>
          <w:rStyle w:val="VerbatimChar"/>
        </w:rPr>
        <w:t xml:space="preserve">requirements.txt</w:t>
      </w:r>
      <w:r>
        <w:t xml:space="preserve">.</w:t>
      </w:r>
    </w:p>
    <w:bookmarkEnd w:id="79"/>
    <w:bookmarkStart w:id="80" w:name="X7135cee6483b53d54620460e8bf2573f7aa9b05"/>
    <w:p>
      <w:pPr>
        <w:pStyle w:val="Heading3"/>
      </w:pPr>
      <w:r>
        <w:t xml:space="preserve">3.10.2 Hardware</w:t>
      </w:r>
    </w:p>
    <w:p>
      <w:pPr>
        <w:pStyle w:val="FirstParagraph"/>
      </w:pPr>
      <w:r>
        <w:t xml:space="preserve">All experiments run on an Apple Silicon (M-series) MacBook Air with 8 GB RAM, CPU-only. Training a transfer-learning binary classifier takes approximately 15 to 30 minutes; the from-scratch CNN takes approximately 30 to 60 minutes; the 5-fold CV of ResNet50 takes approximately 2 hours total.</w:t>
      </w:r>
    </w:p>
    <w:bookmarkEnd w:id="80"/>
    <w:bookmarkStart w:id="81" w:name="X9353418be3cfa9a48eedb44068e49479539b6d1"/>
    <w:p>
      <w:pPr>
        <w:pStyle w:val="Heading3"/>
      </w:pPr>
      <w:r>
        <w:t xml:space="preserve">3.10.3 Code Organisation</w:t>
      </w:r>
    </w:p>
    <w:p>
      <w:pPr>
        <w:pStyle w:val="Compact"/>
        <w:numPr>
          <w:ilvl w:val="0"/>
          <w:numId w:val="1022"/>
        </w:numPr>
      </w:pPr>
      <w:r>
        <w:rPr>
          <w:rStyle w:val="VerbatimChar"/>
        </w:rPr>
        <w:t xml:space="preserve">lib/</w:t>
      </w:r>
      <w:r>
        <w:t xml:space="preserve">: Streamlit user interface and inference modules.</w:t>
      </w:r>
    </w:p>
    <w:p>
      <w:pPr>
        <w:pStyle w:val="Compact"/>
        <w:numPr>
          <w:ilvl w:val="0"/>
          <w:numId w:val="1022"/>
        </w:numPr>
      </w:pPr>
      <w:r>
        <w:rPr>
          <w:rStyle w:val="VerbatimChar"/>
        </w:rPr>
        <w:t xml:space="preserve">scripts/</w:t>
      </w:r>
      <w:r>
        <w:t xml:space="preserve">: unified training driver (</w:t>
      </w:r>
      <w:r>
        <w:rPr>
          <w:rStyle w:val="VerbatimChar"/>
        </w:rPr>
        <w:t xml:space="preserve">train.py --arch &lt;name&gt;</w:t>
      </w:r>
      <w:r>
        <w:t xml:space="preserve">) and the legacy per-architecture scripts retained for reproducibility of the bachelor numbers.</w:t>
      </w:r>
    </w:p>
    <w:p>
      <w:pPr>
        <w:pStyle w:val="Compact"/>
        <w:numPr>
          <w:ilvl w:val="0"/>
          <w:numId w:val="1022"/>
        </w:numPr>
      </w:pPr>
      <w:r>
        <w:rPr>
          <w:rStyle w:val="VerbatimChar"/>
        </w:rPr>
        <w:t xml:space="preserve">master/uncertainty/</w:t>
      </w:r>
      <w:r>
        <w:t xml:space="preserve">: calibration, conformal, ensemble, MC Dropout, and OOD modules.</w:t>
      </w:r>
    </w:p>
    <w:p>
      <w:pPr>
        <w:pStyle w:val="Compact"/>
        <w:numPr>
          <w:ilvl w:val="0"/>
          <w:numId w:val="1022"/>
        </w:numPr>
      </w:pPr>
      <w:r>
        <w:rPr>
          <w:rStyle w:val="VerbatimChar"/>
        </w:rPr>
        <w:t xml:space="preserve">master/run_*.py</w:t>
      </w:r>
      <w:r>
        <w:t xml:space="preserve">: analysis drivers that produced every CSV, JSON, and figure referenced in this thesis.</w:t>
      </w:r>
    </w:p>
    <w:p>
      <w:pPr>
        <w:pStyle w:val="Compact"/>
        <w:numPr>
          <w:ilvl w:val="0"/>
          <w:numId w:val="1022"/>
        </w:numPr>
      </w:pPr>
      <w:r>
        <w:rPr>
          <w:rStyle w:val="VerbatimChar"/>
        </w:rPr>
        <w:t xml:space="preserve">master/results/</w:t>
      </w:r>
      <w:r>
        <w:t xml:space="preserve">: all experimental outputs, organised by experiment phase.</w:t>
      </w:r>
    </w:p>
    <w:p>
      <w:pPr>
        <w:pStyle w:val="Compact"/>
        <w:numPr>
          <w:ilvl w:val="0"/>
          <w:numId w:val="1022"/>
        </w:numPr>
      </w:pPr>
      <w:r>
        <w:rPr>
          <w:rStyle w:val="VerbatimChar"/>
        </w:rPr>
        <w:t xml:space="preserve">master/thesis/</w:t>
      </w:r>
      <w:r>
        <w:t xml:space="preserve">: the LaTeX skeleton of this document, with auto-generated figures and tables.</w:t>
      </w:r>
    </w:p>
    <w:bookmarkEnd w:id="81"/>
    <w:bookmarkStart w:id="82" w:name="X0ab6c9cb57f80eef772effa0224b0bd47ca0bd8"/>
    <w:p>
      <w:pPr>
        <w:pStyle w:val="Heading3"/>
      </w:pPr>
      <w:r>
        <w:t xml:space="preserve">3.10.4 Reproducibility Conventions</w:t>
      </w:r>
    </w:p>
    <w:p>
      <w:pPr>
        <w:pStyle w:val="Compact"/>
        <w:numPr>
          <w:ilvl w:val="0"/>
          <w:numId w:val="1023"/>
        </w:numPr>
      </w:pPr>
      <w:r>
        <w:rPr>
          <w:b/>
          <w:bCs/>
        </w:rPr>
        <w:t xml:space="preserve">Random seeds</w:t>
      </w:r>
      <w:r>
        <w:t xml:space="preserve">: stratified split uses</w:t>
      </w:r>
      <w:r>
        <w:t xml:space="preserve"> </w:t>
      </w:r>
      <w:r>
        <w:rPr>
          <w:rStyle w:val="VerbatimChar"/>
        </w:rPr>
        <w:t xml:space="preserve">random_state=123</w:t>
      </w:r>
      <w:r>
        <w:t xml:space="preserve">; bootstrap CIs use seed 42; the conformal</w:t>
      </w:r>
      <w:r>
        <w:t xml:space="preserve"> </w:t>
      </w:r>
      <w:r>
        <w:rPr>
          <w:rStyle w:val="VerbatimChar"/>
        </w:rPr>
        <w:t xml:space="preserve">predict_sets</w:t>
      </w:r>
      <w:r>
        <w:t xml:space="preserve"> </w:t>
      </w:r>
      <w:r>
        <w:t xml:space="preserve">random-tie-breaking RNG uses seed 42.</w:t>
      </w:r>
    </w:p>
    <w:p>
      <w:pPr>
        <w:pStyle w:val="Compact"/>
        <w:numPr>
          <w:ilvl w:val="0"/>
          <w:numId w:val="1023"/>
        </w:numPr>
      </w:pPr>
      <w:r>
        <w:rPr>
          <w:b/>
          <w:bCs/>
        </w:rPr>
        <w:t xml:space="preserve">Saved models</w:t>
      </w:r>
      <w:r>
        <w:t xml:space="preserve">: every trained model is saved as a</w:t>
      </w:r>
      <w:r>
        <w:t xml:space="preserve"> </w:t>
      </w:r>
      <w:r>
        <w:rPr>
          <w:rStyle w:val="VerbatimChar"/>
        </w:rPr>
        <w:t xml:space="preserve">.keras</w:t>
      </w:r>
      <w:r>
        <w:t xml:space="preserve"> </w:t>
      </w:r>
      <w:r>
        <w:t xml:space="preserve">file with the corresponding history pickle; analysis scripts reload these without retraining.</w:t>
      </w:r>
    </w:p>
    <w:p>
      <w:pPr>
        <w:pStyle w:val="Compact"/>
        <w:numPr>
          <w:ilvl w:val="0"/>
          <w:numId w:val="1023"/>
        </w:numPr>
      </w:pPr>
      <w:r>
        <w:rPr>
          <w:b/>
          <w:bCs/>
        </w:rPr>
        <w:t xml:space="preserve">Conformal thresholds</w:t>
      </w:r>
      <w:r>
        <w:t xml:space="preserve">: precomputed and saved as</w:t>
      </w:r>
      <w:r>
        <w:t xml:space="preserve"> </w:t>
      </w:r>
      <w:r>
        <w:rPr>
          <w:rStyle w:val="VerbatimChar"/>
        </w:rPr>
        <w:t xml:space="preserve">master/results/multiclass/app_conformal_thresholds.json</w:t>
      </w:r>
      <w:r>
        <w:t xml:space="preserve"> </w:t>
      </w:r>
      <w:r>
        <w:t xml:space="preserve">so that the Streamlit app can produce conformal sets without re-fitting the threshold at inference time.</w:t>
      </w:r>
    </w:p>
    <w:p>
      <w:pPr>
        <w:pStyle w:val="Compact"/>
        <w:numPr>
          <w:ilvl w:val="0"/>
          <w:numId w:val="1023"/>
        </w:numPr>
      </w:pPr>
      <w:r>
        <w:rPr>
          <w:b/>
          <w:bCs/>
        </w:rPr>
        <w:t xml:space="preserve">Documentation</w:t>
      </w:r>
      <w:r>
        <w:t xml:space="preserve">: every analysis script includes a docstring describing inputs, outputs, and intended use.</w:t>
      </w:r>
    </w:p>
    <w:p>
      <w:pPr>
        <w:pStyle w:val="FirstParagraph"/>
      </w:pPr>
      <w:r>
        <w:t xml:space="preserve">The next four chapters present the experimental results.</w:t>
      </w:r>
    </w:p>
    <w:bookmarkEnd w:id="82"/>
    <w:bookmarkEnd w:id="83"/>
    <w:bookmarkEnd w:id="84"/>
    <w:bookmarkStart w:id="96" w:name="X4bf4103b59b5d852c324ea1ea2e27838d6ee52a"/>
    <w:p>
      <w:pPr>
        <w:pStyle w:val="Heading1"/>
      </w:pPr>
      <w:r>
        <w:t xml:space="preserve">CHAPTER 4: BINARY BASELINES, CALIBRATION, AND ENSEMBLING (PHASE 1)</w:t>
      </w:r>
    </w:p>
    <w:p>
      <w:pPr>
        <w:pStyle w:val="FirstParagraph"/>
      </w:pPr>
      <w:r>
        <w:t xml:space="preserve">This chapter reports the first set of experimental results, addressing Research Questions 1 and 2 from the introduction. Section 4.1 presents per-model test accuracy with bootstrap confidence intervals. Section 4.2 reports pairwise McNemar significance tests. Section 4.3 covers calibration analysis and post-hoc temperature scaling. Section 4.4 introduces the heterogeneous ensemble and selective prediction. Section 4.5 summarises the lessons learned from Phase 1.</w:t>
      </w:r>
    </w:p>
    <w:bookmarkStart w:id="85" w:name="X332690de6739bb5eabc96cf7860926f96db8e53"/>
    <w:p>
      <w:pPr>
        <w:pStyle w:val="Heading2"/>
      </w:pPr>
      <w:r>
        <w:t xml:space="preserve">4.1 Per-Model Performance with Confidence Intervals</w:t>
      </w:r>
    </w:p>
    <w:p>
      <w:pPr>
        <w:pStyle w:val="FirstParagraph"/>
      </w:pPr>
      <w:r>
        <w:t xml:space="preserve">The six binary architectures introduced in Chapter 2 were trained with the unified pipeline of Chapter 3. Table 4.1 reports test accuracy with bootstrap 95% confidence intervals (1,000 resamples), together with AUROC, raw and temperature-scaled ECE, MCE, and the fitted temperature.</w:t>
      </w:r>
    </w:p>
    <w:p>
      <w:pPr>
        <w:pStyle w:val="BodyText"/>
      </w:pPr>
      <w:r>
        <w:rPr>
          <w:b/>
          <w:bCs/>
        </w:rPr>
        <w:t xml:space="preserve">Table 4.1.</w:t>
      </w:r>
      <w:r>
        <w:t xml:space="preserve"> </w:t>
      </w:r>
      <w:r>
        <w:t xml:space="preserve">Per-model test performance with bootstrap 95% confidence intervals on the held-out test set (N = 550). ECE is reported before and after temperature scaling; T is the temperature fitted on the validation set.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jc w:val="right"/>
            </w:pPr>
            <w:r>
              <w:t xml:space="preserve">Test acc</w:t>
            </w:r>
          </w:p>
        </w:tc>
        <w:tc>
          <w:tcPr/>
          <w:p>
            <w:pPr>
              <w:pStyle w:val="Compact"/>
              <w:jc w:val="center"/>
            </w:pPr>
            <w:r>
              <w:t xml:space="preserve">95% CI</w:t>
            </w:r>
          </w:p>
        </w:tc>
        <w:tc>
          <w:tcPr/>
          <w:p>
            <w:pPr>
              <w:pStyle w:val="Compact"/>
              <w:jc w:val="right"/>
            </w:pPr>
            <w:r>
              <w:t xml:space="preserve">AUC</w:t>
            </w:r>
          </w:p>
        </w:tc>
        <w:tc>
          <w:tcPr/>
          <w:p>
            <w:pPr>
              <w:pStyle w:val="Compact"/>
              <w:jc w:val="right"/>
            </w:pPr>
            <w:r>
              <w:t xml:space="preserve">ECE raw</w:t>
            </w:r>
          </w:p>
        </w:tc>
        <w:tc>
          <w:tcPr/>
          <w:p>
            <w:pPr>
              <w:pStyle w:val="Compact"/>
              <w:jc w:val="right"/>
            </w:pPr>
            <w:r>
              <w:t xml:space="preserve">ECE TS</w:t>
            </w:r>
          </w:p>
        </w:tc>
        <w:tc>
          <w:tcPr/>
          <w:p>
            <w:pPr>
              <w:pStyle w:val="Compact"/>
              <w:jc w:val="right"/>
            </w:pPr>
            <w:r>
              <w:t xml:space="preserve">MCE</w:t>
            </w:r>
          </w:p>
        </w:tc>
        <w:tc>
          <w:tcPr/>
          <w:p>
            <w:pPr>
              <w:pStyle w:val="Compact"/>
              <w:jc w:val="right"/>
            </w:pPr>
            <w:r>
              <w:t xml:space="preserve">T</w:t>
            </w:r>
          </w:p>
        </w:tc>
      </w:tr>
      <w:tr>
        <w:tc>
          <w:tcPr/>
          <w:p>
            <w:pPr>
              <w:pStyle w:val="Compact"/>
            </w:pPr>
            <w:r>
              <w:t xml:space="preserve">ResNet50</w:t>
            </w:r>
          </w:p>
        </w:tc>
        <w:tc>
          <w:tcPr/>
          <w:p>
            <w:pPr>
              <w:pStyle w:val="Compact"/>
              <w:jc w:val="right"/>
            </w:pPr>
            <w:r>
              <w:t xml:space="preserve">95.27%</w:t>
            </w:r>
          </w:p>
        </w:tc>
        <w:tc>
          <w:tcPr/>
          <w:p>
            <w:pPr>
              <w:pStyle w:val="Compact"/>
              <w:jc w:val="center"/>
            </w:pPr>
            <w:r>
              <w:t xml:space="preserve">[93.45, 97.09]</w:t>
            </w:r>
          </w:p>
        </w:tc>
        <w:tc>
          <w:tcPr/>
          <w:p>
            <w:pPr>
              <w:pStyle w:val="Compact"/>
              <w:jc w:val="right"/>
            </w:pPr>
            <w:r>
              <w:t xml:space="preserve">0.9888</w:t>
            </w:r>
          </w:p>
        </w:tc>
        <w:tc>
          <w:tcPr/>
          <w:p>
            <w:pPr>
              <w:pStyle w:val="Compact"/>
              <w:jc w:val="right"/>
            </w:pPr>
            <w:r>
              <w:t xml:space="preserve">0.0199</w:t>
            </w:r>
          </w:p>
        </w:tc>
        <w:tc>
          <w:tcPr/>
          <w:p>
            <w:pPr>
              <w:pStyle w:val="Compact"/>
              <w:jc w:val="right"/>
            </w:pPr>
            <w:r>
              <w:t xml:space="preserve">0.0182</w:t>
            </w:r>
          </w:p>
        </w:tc>
        <w:tc>
          <w:tcPr/>
          <w:p>
            <w:pPr>
              <w:pStyle w:val="Compact"/>
              <w:jc w:val="right"/>
            </w:pPr>
            <w:r>
              <w:t xml:space="preserve">0.3515</w:t>
            </w:r>
          </w:p>
        </w:tc>
        <w:tc>
          <w:tcPr/>
          <w:p>
            <w:pPr>
              <w:pStyle w:val="Compact"/>
              <w:jc w:val="right"/>
            </w:pPr>
            <w:r>
              <w:t xml:space="preserve">1.19</w:t>
            </w:r>
          </w:p>
        </w:tc>
      </w:tr>
      <w:tr>
        <w:tc>
          <w:tcPr/>
          <w:p>
            <w:pPr>
              <w:pStyle w:val="Compact"/>
            </w:pPr>
            <w:r>
              <w:t xml:space="preserve">Xception</w:t>
            </w:r>
          </w:p>
        </w:tc>
        <w:tc>
          <w:tcPr/>
          <w:p>
            <w:pPr>
              <w:pStyle w:val="Compact"/>
              <w:jc w:val="right"/>
            </w:pPr>
            <w:r>
              <w:t xml:space="preserve">95.45%</w:t>
            </w:r>
          </w:p>
        </w:tc>
        <w:tc>
          <w:tcPr/>
          <w:p>
            <w:pPr>
              <w:pStyle w:val="Compact"/>
              <w:jc w:val="center"/>
            </w:pPr>
            <w:r>
              <w:t xml:space="preserve">[93.82, 97.09]</w:t>
            </w:r>
          </w:p>
        </w:tc>
        <w:tc>
          <w:tcPr/>
          <w:p>
            <w:pPr>
              <w:pStyle w:val="Compact"/>
              <w:jc w:val="right"/>
            </w:pPr>
            <w:r>
              <w:t xml:space="preserve">0.9852</w:t>
            </w:r>
          </w:p>
        </w:tc>
        <w:tc>
          <w:tcPr/>
          <w:p>
            <w:pPr>
              <w:pStyle w:val="Compact"/>
              <w:jc w:val="right"/>
            </w:pPr>
            <w:r>
              <w:t xml:space="preserve">0.0174</w:t>
            </w:r>
          </w:p>
        </w:tc>
        <w:tc>
          <w:tcPr/>
          <w:p>
            <w:pPr>
              <w:pStyle w:val="Compact"/>
              <w:jc w:val="right"/>
            </w:pPr>
            <w:r>
              <w:t xml:space="preserve">0.0224</w:t>
            </w:r>
          </w:p>
        </w:tc>
        <w:tc>
          <w:tcPr/>
          <w:p>
            <w:pPr>
              <w:pStyle w:val="Compact"/>
              <w:jc w:val="right"/>
            </w:pPr>
            <w:r>
              <w:t xml:space="preserve">0.5767</w:t>
            </w:r>
          </w:p>
        </w:tc>
        <w:tc>
          <w:tcPr/>
          <w:p>
            <w:pPr>
              <w:pStyle w:val="Compact"/>
              <w:jc w:val="right"/>
            </w:pPr>
            <w:r>
              <w:t xml:space="preserve">1.16</w:t>
            </w:r>
          </w:p>
        </w:tc>
      </w:tr>
      <w:tr>
        <w:tc>
          <w:tcPr/>
          <w:p>
            <w:pPr>
              <w:pStyle w:val="Compact"/>
            </w:pPr>
            <w:r>
              <w:t xml:space="preserve">DenseNet121</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0.9919</w:t>
            </w:r>
          </w:p>
        </w:tc>
        <w:tc>
          <w:tcPr/>
          <w:p>
            <w:pPr>
              <w:pStyle w:val="Compact"/>
              <w:jc w:val="right"/>
            </w:pPr>
            <w:r>
              <w:t xml:space="preserve">0.0288</w:t>
            </w:r>
          </w:p>
        </w:tc>
        <w:tc>
          <w:tcPr/>
          <w:p>
            <w:pPr>
              <w:pStyle w:val="Compact"/>
              <w:jc w:val="right"/>
            </w:pPr>
            <w:r>
              <w:t xml:space="preserve">0.0269</w:t>
            </w:r>
          </w:p>
        </w:tc>
        <w:tc>
          <w:tcPr/>
          <w:p>
            <w:pPr>
              <w:pStyle w:val="Compact"/>
              <w:jc w:val="right"/>
            </w:pPr>
            <w:r>
              <w:t xml:space="preserve">0.4470</w:t>
            </w:r>
          </w:p>
        </w:tc>
        <w:tc>
          <w:tcPr/>
          <w:p>
            <w:pPr>
              <w:pStyle w:val="Compact"/>
              <w:jc w:val="right"/>
            </w:pPr>
            <w:r>
              <w:t xml:space="preserve">1.03</w:t>
            </w:r>
          </w:p>
        </w:tc>
      </w:tr>
      <w:tr>
        <w:tc>
          <w:tcPr/>
          <w:p>
            <w:pPr>
              <w:pStyle w:val="Compact"/>
            </w:pPr>
            <w:r>
              <w:t xml:space="preserve">VGG16</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0.9900</w:t>
            </w:r>
          </w:p>
        </w:tc>
        <w:tc>
          <w:tcPr/>
          <w:p>
            <w:pPr>
              <w:pStyle w:val="Compact"/>
              <w:jc w:val="right"/>
            </w:pPr>
            <w:r>
              <w:t xml:space="preserve">0.0255</w:t>
            </w:r>
          </w:p>
        </w:tc>
        <w:tc>
          <w:tcPr/>
          <w:p>
            <w:pPr>
              <w:pStyle w:val="Compact"/>
              <w:jc w:val="right"/>
            </w:pPr>
            <w:r>
              <w:rPr>
                <w:b/>
                <w:bCs/>
              </w:rPr>
              <w:t xml:space="preserve">0.0153</w:t>
            </w:r>
          </w:p>
        </w:tc>
        <w:tc>
          <w:tcPr/>
          <w:p>
            <w:pPr>
              <w:pStyle w:val="Compact"/>
              <w:jc w:val="right"/>
            </w:pPr>
            <w:r>
              <w:t xml:space="preserve">0.7397</w:t>
            </w:r>
          </w:p>
        </w:tc>
        <w:tc>
          <w:tcPr/>
          <w:p>
            <w:pPr>
              <w:pStyle w:val="Compact"/>
              <w:jc w:val="right"/>
            </w:pPr>
            <w:r>
              <w:t xml:space="preserve">1.44</w:t>
            </w:r>
          </w:p>
        </w:tc>
      </w:tr>
      <w:tr>
        <w:tc>
          <w:tcPr/>
          <w:p>
            <w:pPr>
              <w:pStyle w:val="Compact"/>
            </w:pPr>
            <w:r>
              <w:rPr>
                <w:b/>
                <w:bCs/>
              </w:rPr>
              <w:t xml:space="preserve">CNN</w:t>
            </w:r>
          </w:p>
        </w:tc>
        <w:tc>
          <w:tcPr/>
          <w:p>
            <w:pPr>
              <w:pStyle w:val="Compact"/>
              <w:jc w:val="right"/>
            </w:pPr>
            <w:r>
              <w:rPr>
                <w:b/>
                <w:bCs/>
              </w:rPr>
              <w:t xml:space="preserve">96.00%</w:t>
            </w:r>
          </w:p>
        </w:tc>
        <w:tc>
          <w:tcPr/>
          <w:p>
            <w:pPr>
              <w:pStyle w:val="Compact"/>
              <w:jc w:val="center"/>
            </w:pPr>
            <w:r>
              <w:t xml:space="preserve">[94.36, 97.45]</w:t>
            </w:r>
          </w:p>
        </w:tc>
        <w:tc>
          <w:tcPr/>
          <w:p>
            <w:pPr>
              <w:pStyle w:val="Compact"/>
              <w:jc w:val="right"/>
            </w:pPr>
            <w:r>
              <w:t xml:space="preserve">0.9867</w:t>
            </w:r>
          </w:p>
        </w:tc>
        <w:tc>
          <w:tcPr/>
          <w:p>
            <w:pPr>
              <w:pStyle w:val="Compact"/>
              <w:jc w:val="right"/>
            </w:pPr>
            <w:r>
              <w:t xml:space="preserve">0.0317</w:t>
            </w:r>
          </w:p>
        </w:tc>
        <w:tc>
          <w:tcPr/>
          <w:p>
            <w:pPr>
              <w:pStyle w:val="Compact"/>
              <w:jc w:val="right"/>
            </w:pPr>
            <w:r>
              <w:t xml:space="preserve">0.0317</w:t>
            </w:r>
          </w:p>
        </w:tc>
        <w:tc>
          <w:tcPr/>
          <w:p>
            <w:pPr>
              <w:pStyle w:val="Compact"/>
              <w:jc w:val="right"/>
            </w:pPr>
            <w:r>
              <w:t xml:space="preserve">0.4229</w:t>
            </w:r>
          </w:p>
        </w:tc>
        <w:tc>
          <w:tcPr/>
          <w:p>
            <w:pPr>
              <w:pStyle w:val="Compact"/>
              <w:jc w:val="right"/>
            </w:pPr>
            <w:r>
              <w:t xml:space="preserve">1.00</w:t>
            </w:r>
          </w:p>
        </w:tc>
      </w:tr>
      <w:tr>
        <w:tc>
          <w:tcPr/>
          <w:p>
            <w:pPr>
              <w:pStyle w:val="Compact"/>
            </w:pPr>
            <w:r>
              <w:t xml:space="preserve">CNN (Tanh+ReLU)</w:t>
            </w:r>
          </w:p>
        </w:tc>
        <w:tc>
          <w:tcPr/>
          <w:p>
            <w:pPr>
              <w:pStyle w:val="Compact"/>
              <w:jc w:val="right"/>
            </w:pPr>
            <w:r>
              <w:t xml:space="preserve">92.91%</w:t>
            </w:r>
          </w:p>
        </w:tc>
        <w:tc>
          <w:tcPr/>
          <w:p>
            <w:pPr>
              <w:pStyle w:val="Compact"/>
              <w:jc w:val="center"/>
            </w:pPr>
            <w:r>
              <w:t xml:space="preserve">[90.72, 94.91]</w:t>
            </w:r>
          </w:p>
        </w:tc>
        <w:tc>
          <w:tcPr/>
          <w:p>
            <w:pPr>
              <w:pStyle w:val="Compact"/>
              <w:jc w:val="right"/>
            </w:pPr>
            <w:r>
              <w:t xml:space="preserve">0.9699</w:t>
            </w:r>
          </w:p>
        </w:tc>
        <w:tc>
          <w:tcPr/>
          <w:p>
            <w:pPr>
              <w:pStyle w:val="Compact"/>
              <w:jc w:val="right"/>
            </w:pPr>
            <w:r>
              <w:t xml:space="preserve">0.0460</w:t>
            </w:r>
          </w:p>
        </w:tc>
        <w:tc>
          <w:tcPr/>
          <w:p>
            <w:pPr>
              <w:pStyle w:val="Compact"/>
              <w:jc w:val="right"/>
            </w:pPr>
            <w:r>
              <w:t xml:space="preserve">0.0415</w:t>
            </w:r>
          </w:p>
        </w:tc>
        <w:tc>
          <w:tcPr/>
          <w:p>
            <w:pPr>
              <w:pStyle w:val="Compact"/>
              <w:jc w:val="right"/>
            </w:pPr>
            <w:r>
              <w:t xml:space="preserve">0.3871</w:t>
            </w:r>
          </w:p>
        </w:tc>
        <w:tc>
          <w:tcPr/>
          <w:p>
            <w:pPr>
              <w:pStyle w:val="Compact"/>
              <w:jc w:val="right"/>
            </w:pPr>
            <w:r>
              <w:t xml:space="preserve">1.21</w:t>
            </w:r>
          </w:p>
        </w:tc>
      </w:tr>
      <w:tr>
        <w:tc>
          <w:tcPr/>
          <w:p>
            <w:pPr>
              <w:pStyle w:val="Compact"/>
            </w:pPr>
            <w:r>
              <w:rPr>
                <w:b/>
                <w:bCs/>
              </w:rPr>
              <w:t xml:space="preserve">Ensemble (6 models)</w:t>
            </w:r>
          </w:p>
        </w:tc>
        <w:tc>
          <w:tcPr/>
          <w:p>
            <w:pPr>
              <w:pStyle w:val="Compact"/>
              <w:jc w:val="right"/>
            </w:pPr>
            <w:r>
              <w:rPr>
                <w:b/>
                <w:bCs/>
              </w:rPr>
              <w:t xml:space="preserve">96.55%</w:t>
            </w:r>
          </w:p>
        </w:tc>
        <w:tc>
          <w:tcPr/>
          <w:p>
            <w:pPr>
              <w:pStyle w:val="Compact"/>
              <w:jc w:val="center"/>
            </w:pPr>
            <w:r>
              <w:t xml:space="preserve">—</w:t>
            </w:r>
          </w:p>
        </w:tc>
        <w:tc>
          <w:tcPr/>
          <w:p>
            <w:pPr>
              <w:pStyle w:val="Compact"/>
              <w:jc w:val="right"/>
            </w:pPr>
            <w:r>
              <w:rPr>
                <w:b/>
                <w:bCs/>
              </w:rPr>
              <w:t xml:space="preserve">0.9906</w:t>
            </w:r>
          </w:p>
        </w:tc>
        <w:tc>
          <w:tcPr/>
          <w:p>
            <w:pPr>
              <w:pStyle w:val="Compact"/>
              <w:jc w:val="right"/>
            </w:pPr>
            <w:r>
              <w:t xml:space="preserve">0.0283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Several observations follow immediately from the table.</w:t>
      </w:r>
    </w:p>
    <w:p>
      <w:pPr>
        <w:pStyle w:val="BodyText"/>
      </w:pPr>
      <w:r>
        <w:t xml:space="preserve">The five strong models — ResNet50, Xception, DenseNet121, VGG16, and the from-scratch CNN — cluster between 95.27% and 96.00% test accuracy. Their bootstrap confidence intervals overlap substantially, with no model's lower bound exceeding any other model's upper bound. Visually, this can be displayed as horizontal error bars on a bar chart (Figure 4.1, generated automatically by</w:t>
      </w:r>
      <w:r>
        <w:t xml:space="preserve"> </w:t>
      </w:r>
      <w:r>
        <w:rPr>
          <w:rStyle w:val="VerbatimChar"/>
        </w:rPr>
        <w:t xml:space="preserve">master/generate_thesis_figures.py</w:t>
      </w:r>
      <w:r>
        <w:t xml:space="preserve">).</w:t>
      </w:r>
    </w:p>
    <w:p>
      <w:pPr>
        <w:pStyle w:val="BodyText"/>
      </w:pPr>
      <w:r>
        <w:t xml:space="preserve">The from-scratch CNN, with only 11 million parameters, ties or marginally beats the much larger transfer-learning models. This is plausibly due to the close match between its training-time grayscale-replicated input and the dominant red-channel structure of fundus images: the network is learning from a representation that is already biased towards retinal pathology, which the ImageNet-pretrained backbones are not.</w:t>
      </w:r>
    </w:p>
    <w:p>
      <w:pPr>
        <w:pStyle w:val="BodyText"/>
      </w:pPr>
      <w:r>
        <w:t xml:space="preserve">The CNN (Tanh+ReLU) variant is consistently the weakest model, with a test accuracy 3 percentage points below the others and a confidence interval that is fully separate from those of the strong models. The bachelor thesis reported the two CNN variants as approximately equivalent; the present analysis shows that they are, in fact, statistically distinguishable.</w:t>
      </w:r>
    </w:p>
    <w:p>
      <w:pPr>
        <w:pStyle w:val="BodyText"/>
      </w:pPr>
      <w:r>
        <w:t xml:space="preserve">The MCE column is informative: VGG16's MCE of 0.74 is dramatically larger than its ECE of 0.026. This indicates that VGG16's calibration is good</w:t>
      </w:r>
      <w:r>
        <w:t xml:space="preserve"> </w:t>
      </w:r>
      <w:r>
        <w:rPr>
          <w:i/>
          <w:iCs/>
        </w:rPr>
        <w:t xml:space="preserve">on average</w:t>
      </w:r>
      <w:r>
        <w:t xml:space="preserve"> </w:t>
      </w:r>
      <w:r>
        <w:t xml:space="preserve">but very poor in</w:t>
      </w:r>
      <w:r>
        <w:t xml:space="preserve"> </w:t>
      </w:r>
      <w:r>
        <w:rPr>
          <w:i/>
          <w:iCs/>
        </w:rPr>
        <w:t xml:space="preserve">some</w:t>
      </w:r>
      <w:r>
        <w:t xml:space="preserve"> </w:t>
      </w:r>
      <w:r>
        <w:t xml:space="preserve">confidence range — a small bin where the model is heavily over-confident. The reliability diagram in Figure 4.2 confirms this: the high-confidence end of the bar plot is well below the diagonal.</w:t>
      </w:r>
    </w:p>
    <w:p>
      <w:pPr>
        <w:pStyle w:val="BodyText"/>
      </w:pPr>
      <w:r>
        <w:t xml:space="preserve">Finally, the ensemble of all six members achieves 96.55%, beating every individual model. This improvement is small (~0.55 pp over the best member) but consistent with the general result that ensembling reduces variance.</w:t>
      </w:r>
    </w:p>
    <w:bookmarkEnd w:id="85"/>
    <w:bookmarkStart w:id="86" w:name="X2f451874be9f2f74bf380e5938f90cb7a2bccdd"/>
    <w:p>
      <w:pPr>
        <w:pStyle w:val="Heading2"/>
      </w:pPr>
      <w:r>
        <w:t xml:space="preserve">4.2 Statistical Significance: Pairwise McNemar Tests</w:t>
      </w:r>
    </w:p>
    <w:p>
      <w:pPr>
        <w:pStyle w:val="FirstParagraph"/>
      </w:pPr>
      <w:r>
        <w:t xml:space="preserve">Table 4.2 reports pairwise McNemar tests between every pair of classifiers, using a 2×2 contingency table of paired predictions on the test set. The statistic uses a continuity correction; p-values below 0.05 indicate a statistically significant difference in error rates between the two classifiers.</w:t>
      </w:r>
    </w:p>
    <w:p>
      <w:pPr>
        <w:pStyle w:val="BodyText"/>
      </w:pPr>
      <w:r>
        <w:rPr>
          <w:b/>
          <w:bCs/>
        </w:rPr>
        <w:t xml:space="preserve">Table 4.2.</w:t>
      </w:r>
      <w:r>
        <w:t xml:space="preserve"> </w:t>
      </w:r>
      <w:r>
        <w:t xml:space="preserve">Pairwise McNemar test results.</w:t>
      </w:r>
      <w:r>
        <w:t xml:space="preserve"> </w:t>
      </w:r>
      <w:r>
        <w:rPr>
          <w:i/>
          <w:iCs/>
        </w:rPr>
        <w:t xml:space="preserve">b</w:t>
      </w:r>
      <w:r>
        <w:t xml:space="preserve"> </w:t>
      </w:r>
      <w:r>
        <w:t xml:space="preserve">counts test points where model A is right and B is wrong;</w:t>
      </w:r>
      <w:r>
        <w:t xml:space="preserve"> </w:t>
      </w:r>
      <w:r>
        <w:rPr>
          <w:i/>
          <w:iCs/>
        </w:rPr>
        <w:t xml:space="preserve">c</w:t>
      </w:r>
      <w:r>
        <w:t xml:space="preserve"> </w:t>
      </w:r>
      <w:r>
        <w:t xml:space="preserve">vice versa. Statistically significant differences (p &lt; 0.05) are bolded.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Comparison</w:t>
            </w:r>
          </w:p>
        </w:tc>
        <w:tc>
          <w:tcPr/>
          <w:p>
            <w:pPr>
              <w:pStyle w:val="Compact"/>
              <w:jc w:val="right"/>
            </w:pPr>
            <w:r>
              <w:t xml:space="preserve">b</w:t>
            </w:r>
          </w:p>
        </w:tc>
        <w:tc>
          <w:tcPr/>
          <w:p>
            <w:pPr>
              <w:pStyle w:val="Compact"/>
              <w:jc w:val="right"/>
            </w:pPr>
            <w:r>
              <w:t xml:space="preserve">c</w:t>
            </w:r>
          </w:p>
        </w:tc>
        <w:tc>
          <w:tcPr/>
          <w:p>
            <w:pPr>
              <w:pStyle w:val="Compact"/>
              <w:jc w:val="right"/>
            </w:pPr>
            <w:r>
              <w:t xml:space="preserve">χ²</w:t>
            </w:r>
          </w:p>
        </w:tc>
        <w:tc>
          <w:tcPr/>
          <w:p>
            <w:pPr>
              <w:pStyle w:val="Compact"/>
              <w:jc w:val="right"/>
            </w:pPr>
            <w:r>
              <w:t xml:space="preserve">p-value</w:t>
            </w:r>
          </w:p>
        </w:tc>
        <w:tc>
          <w:tcPr/>
          <w:p>
            <w:pPr>
              <w:pStyle w:val="Compact"/>
              <w:jc w:val="left"/>
            </w:pPr>
            <w:r>
              <w:t xml:space="preserve">Significant?</w:t>
            </w:r>
          </w:p>
        </w:tc>
      </w:tr>
      <w:tr>
        <w:tc>
          <w:tcPr/>
          <w:p>
            <w:pPr>
              <w:pStyle w:val="Compact"/>
            </w:pPr>
            <w:r>
              <w:t xml:space="preserve">ResNet50 vs Xception</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ResNet50 vs DenseNet121</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0.06</w:t>
            </w:r>
          </w:p>
        </w:tc>
        <w:tc>
          <w:tcPr/>
          <w:p>
            <w:pPr>
              <w:pStyle w:val="Compact"/>
              <w:jc w:val="right"/>
            </w:pPr>
            <w:r>
              <w:t xml:space="preserve">0.814</w:t>
            </w:r>
          </w:p>
        </w:tc>
        <w:tc>
          <w:tcPr/>
          <w:p>
            <w:pPr>
              <w:pStyle w:val="Compact"/>
              <w:jc w:val="left"/>
            </w:pPr>
            <w:r>
              <w:t xml:space="preserve">No</w:t>
            </w:r>
          </w:p>
        </w:tc>
      </w:tr>
      <w:tr>
        <w:tc>
          <w:tcPr/>
          <w:p>
            <w:pPr>
              <w:pStyle w:val="Compact"/>
            </w:pPr>
            <w:r>
              <w:t xml:space="preserve">ResNet50 vs VGG16</w:t>
            </w:r>
          </w:p>
        </w:tc>
        <w:tc>
          <w:tcPr/>
          <w:p>
            <w:pPr>
              <w:pStyle w:val="Compact"/>
              <w:jc w:val="right"/>
            </w:pPr>
            <w:r>
              <w:t xml:space="preserve">5</w:t>
            </w:r>
          </w:p>
        </w:tc>
        <w:tc>
          <w:tcPr/>
          <w:p>
            <w:pPr>
              <w:pStyle w:val="Compact"/>
              <w:jc w:val="right"/>
            </w:pPr>
            <w:r>
              <w:t xml:space="preserve">7</w:t>
            </w:r>
          </w:p>
        </w:tc>
        <w:tc>
          <w:tcPr/>
          <w:p>
            <w:pPr>
              <w:pStyle w:val="Compact"/>
              <w:jc w:val="right"/>
            </w:pPr>
            <w:r>
              <w:t xml:space="preserve">0.08</w:t>
            </w:r>
          </w:p>
        </w:tc>
        <w:tc>
          <w:tcPr/>
          <w:p>
            <w:pPr>
              <w:pStyle w:val="Compact"/>
              <w:jc w:val="right"/>
            </w:pPr>
            <w:r>
              <w:t xml:space="preserve">0.773</w:t>
            </w:r>
          </w:p>
        </w:tc>
        <w:tc>
          <w:tcPr/>
          <w:p>
            <w:pPr>
              <w:pStyle w:val="Compact"/>
              <w:jc w:val="left"/>
            </w:pPr>
            <w:r>
              <w:t xml:space="preserve">No</w:t>
            </w:r>
          </w:p>
        </w:tc>
      </w:tr>
      <w:tr>
        <w:tc>
          <w:tcPr/>
          <w:p>
            <w:pPr>
              <w:pStyle w:val="Compact"/>
            </w:pPr>
            <w:r>
              <w:t xml:space="preserve">ResNet50 vs CNN</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0.45</w:t>
            </w:r>
          </w:p>
        </w:tc>
        <w:tc>
          <w:tcPr/>
          <w:p>
            <w:pPr>
              <w:pStyle w:val="Compact"/>
              <w:jc w:val="right"/>
            </w:pPr>
            <w:r>
              <w:t xml:space="preserve">0.502</w:t>
            </w:r>
          </w:p>
        </w:tc>
        <w:tc>
          <w:tcPr/>
          <w:p>
            <w:pPr>
              <w:pStyle w:val="Compact"/>
              <w:jc w:val="left"/>
            </w:pPr>
            <w:r>
              <w:t xml:space="preserve">No</w:t>
            </w:r>
          </w:p>
        </w:tc>
      </w:tr>
      <w:tr>
        <w:tc>
          <w:tcPr/>
          <w:p>
            <w:pPr>
              <w:pStyle w:val="Compact"/>
            </w:pPr>
            <w:r>
              <w:rPr>
                <w:b/>
                <w:bCs/>
              </w:rPr>
              <w:t xml:space="preserve">ResNet50 vs CNN(T+R)</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4.11</w:t>
            </w:r>
          </w:p>
        </w:tc>
        <w:tc>
          <w:tcPr/>
          <w:p>
            <w:pPr>
              <w:pStyle w:val="Compact"/>
              <w:jc w:val="right"/>
            </w:pPr>
            <w:r>
              <w:rPr>
                <w:b/>
                <w:bCs/>
              </w:rPr>
              <w:t xml:space="preserve">0.043</w:t>
            </w:r>
          </w:p>
        </w:tc>
        <w:tc>
          <w:tcPr/>
          <w:p>
            <w:pPr>
              <w:pStyle w:val="Compact"/>
              <w:jc w:val="left"/>
            </w:pPr>
            <w:r>
              <w:rPr>
                <w:b/>
                <w:bCs/>
              </w:rPr>
              <w:t xml:space="preserve">Yes</w:t>
            </w:r>
          </w:p>
        </w:tc>
      </w:tr>
      <w:tr>
        <w:tc>
          <w:tcPr/>
          <w:p>
            <w:pPr>
              <w:pStyle w:val="Compact"/>
            </w:pPr>
            <w:r>
              <w:t xml:space="preserve">ResNet50 vs Ensemble</w:t>
            </w:r>
          </w:p>
        </w:tc>
        <w:tc>
          <w:tcPr/>
          <w:p>
            <w:pPr>
              <w:pStyle w:val="Compact"/>
              <w:jc w:val="right"/>
            </w:pPr>
            <w:r>
              <w:t xml:space="preserve">3</w:t>
            </w:r>
          </w:p>
        </w:tc>
        <w:tc>
          <w:tcPr/>
          <w:p>
            <w:pPr>
              <w:pStyle w:val="Compact"/>
              <w:jc w:val="right"/>
            </w:pPr>
            <w:r>
              <w:t xml:space="preserve">10</w:t>
            </w:r>
          </w:p>
        </w:tc>
        <w:tc>
          <w:tcPr/>
          <w:p>
            <w:pPr>
              <w:pStyle w:val="Compact"/>
              <w:jc w:val="right"/>
            </w:pPr>
            <w:r>
              <w:t xml:space="preserve">2.77</w:t>
            </w:r>
          </w:p>
        </w:tc>
        <w:tc>
          <w:tcPr/>
          <w:p>
            <w:pPr>
              <w:pStyle w:val="Compact"/>
              <w:jc w:val="right"/>
            </w:pPr>
            <w:r>
              <w:t xml:space="preserve">0.096</w:t>
            </w:r>
          </w:p>
        </w:tc>
        <w:tc>
          <w:tcPr/>
          <w:p>
            <w:pPr>
              <w:pStyle w:val="Compact"/>
              <w:jc w:val="left"/>
            </w:pPr>
            <w:r>
              <w:t xml:space="preserve">Borderline</w:t>
            </w:r>
          </w:p>
        </w:tc>
      </w:tr>
      <w:tr>
        <w:tc>
          <w:tcPr/>
          <w:p>
            <w:pPr>
              <w:pStyle w:val="Compact"/>
            </w:pPr>
            <w:r>
              <w:t xml:space="preserve">Xception vs DenseNet121</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Xception vs VGG16</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Xception vs CNN</w:t>
            </w:r>
          </w:p>
        </w:tc>
        <w:tc>
          <w:tcPr/>
          <w:p>
            <w:pPr>
              <w:pStyle w:val="Compact"/>
              <w:jc w:val="right"/>
            </w:pPr>
            <w:r>
              <w:t xml:space="preserve">7</w:t>
            </w:r>
          </w:p>
        </w:tc>
        <w:tc>
          <w:tcPr/>
          <w:p>
            <w:pPr>
              <w:pStyle w:val="Compact"/>
              <w:jc w:val="right"/>
            </w:pPr>
            <w:r>
              <w:t xml:space="preserve">10</w:t>
            </w:r>
          </w:p>
        </w:tc>
        <w:tc>
          <w:tcPr/>
          <w:p>
            <w:pPr>
              <w:pStyle w:val="Compact"/>
              <w:jc w:val="right"/>
            </w:pPr>
            <w:r>
              <w:t xml:space="preserve">0.24</w:t>
            </w:r>
          </w:p>
        </w:tc>
        <w:tc>
          <w:tcPr/>
          <w:p>
            <w:pPr>
              <w:pStyle w:val="Compact"/>
              <w:jc w:val="right"/>
            </w:pPr>
            <w:r>
              <w:t xml:space="preserve">0.628</w:t>
            </w:r>
          </w:p>
        </w:tc>
        <w:tc>
          <w:tcPr/>
          <w:p>
            <w:pPr>
              <w:pStyle w:val="Compact"/>
              <w:jc w:val="left"/>
            </w:pPr>
            <w:r>
              <w:t xml:space="preserve">No</w:t>
            </w:r>
          </w:p>
        </w:tc>
      </w:tr>
      <w:tr>
        <w:tc>
          <w:tcPr/>
          <w:p>
            <w:pPr>
              <w:pStyle w:val="Compact"/>
            </w:pPr>
            <w:r>
              <w:rPr>
                <w:b/>
                <w:bCs/>
              </w:rPr>
              <w:t xml:space="preserve">Xception vs CNN(T+R)</w:t>
            </w:r>
          </w:p>
        </w:tc>
        <w:tc>
          <w:tcPr/>
          <w:p>
            <w:pPr>
              <w:pStyle w:val="Compact"/>
              <w:jc w:val="right"/>
            </w:pPr>
            <w:r>
              <w:t xml:space="preserve">25</w:t>
            </w:r>
          </w:p>
        </w:tc>
        <w:tc>
          <w:tcPr/>
          <w:p>
            <w:pPr>
              <w:pStyle w:val="Compact"/>
              <w:jc w:val="right"/>
            </w:pPr>
            <w:r>
              <w:t xml:space="preserve">11</w:t>
            </w:r>
          </w:p>
        </w:tc>
        <w:tc>
          <w:tcPr/>
          <w:p>
            <w:pPr>
              <w:pStyle w:val="Compact"/>
              <w:jc w:val="right"/>
            </w:pPr>
            <w:r>
              <w:t xml:space="preserve">4.69</w:t>
            </w:r>
          </w:p>
        </w:tc>
        <w:tc>
          <w:tcPr/>
          <w:p>
            <w:pPr>
              <w:pStyle w:val="Compact"/>
              <w:jc w:val="right"/>
            </w:pPr>
            <w:r>
              <w:rPr>
                <w:b/>
                <w:bCs/>
              </w:rPr>
              <w:t xml:space="preserve">0.030</w:t>
            </w:r>
          </w:p>
        </w:tc>
        <w:tc>
          <w:tcPr/>
          <w:p>
            <w:pPr>
              <w:pStyle w:val="Compact"/>
              <w:jc w:val="left"/>
            </w:pPr>
            <w:r>
              <w:rPr>
                <w:b/>
                <w:bCs/>
              </w:rPr>
              <w:t xml:space="preserve">Yes</w:t>
            </w:r>
          </w:p>
        </w:tc>
      </w:tr>
      <w:tr>
        <w:tc>
          <w:tcPr/>
          <w:p>
            <w:pPr>
              <w:pStyle w:val="Compact"/>
            </w:pPr>
            <w:r>
              <w:t xml:space="preserve">DenseNet121 vs VGG16</w:t>
            </w:r>
          </w:p>
        </w:tc>
        <w:tc>
          <w:tcPr/>
          <w:p>
            <w:pPr>
              <w:pStyle w:val="Compact"/>
              <w:jc w:val="right"/>
            </w:pPr>
            <w:r>
              <w:t xml:space="preserve">7</w:t>
            </w:r>
          </w:p>
        </w:tc>
        <w:tc>
          <w:tcPr/>
          <w:p>
            <w:pPr>
              <w:pStyle w:val="Compact"/>
              <w:jc w:val="right"/>
            </w:pPr>
            <w:r>
              <w:t xml:space="preserve">7</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DenseNet121 vs CNN</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0.831</w:t>
            </w:r>
          </w:p>
        </w:tc>
        <w:tc>
          <w:tcPr/>
          <w:p>
            <w:pPr>
              <w:pStyle w:val="Compact"/>
              <w:jc w:val="left"/>
            </w:pPr>
            <w:r>
              <w:t xml:space="preserve">No</w:t>
            </w:r>
          </w:p>
        </w:tc>
      </w:tr>
      <w:tr>
        <w:tc>
          <w:tcPr/>
          <w:p>
            <w:pPr>
              <w:pStyle w:val="Compact"/>
            </w:pPr>
            <w:r>
              <w:rPr>
                <w:b/>
                <w:bCs/>
              </w:rPr>
              <w:t xml:space="preserve">DenseNet121 vs CNN(T+R)</w:t>
            </w:r>
          </w:p>
        </w:tc>
        <w:tc>
          <w:tcPr/>
          <w:p>
            <w:pPr>
              <w:pStyle w:val="Compact"/>
              <w:jc w:val="right"/>
            </w:pPr>
            <w:r>
              <w:t xml:space="preserve">26</w:t>
            </w:r>
          </w:p>
        </w:tc>
        <w:tc>
          <w:tcPr/>
          <w:p>
            <w:pPr>
              <w:pStyle w:val="Compact"/>
              <w:jc w:val="right"/>
            </w:pPr>
            <w:r>
              <w:t xml:space="preserve">11</w:t>
            </w:r>
          </w:p>
        </w:tc>
        <w:tc>
          <w:tcPr/>
          <w:p>
            <w:pPr>
              <w:pStyle w:val="Compact"/>
              <w:jc w:val="right"/>
            </w:pPr>
            <w:r>
              <w:t xml:space="preserve">5.30</w:t>
            </w:r>
          </w:p>
        </w:tc>
        <w:tc>
          <w:tcPr/>
          <w:p>
            <w:pPr>
              <w:pStyle w:val="Compact"/>
              <w:jc w:val="right"/>
            </w:pPr>
            <w:r>
              <w:rPr>
                <w:b/>
                <w:bCs/>
              </w:rPr>
              <w:t xml:space="preserve">0.021</w:t>
            </w:r>
          </w:p>
        </w:tc>
        <w:tc>
          <w:tcPr/>
          <w:p>
            <w:pPr>
              <w:pStyle w:val="Compact"/>
              <w:jc w:val="left"/>
            </w:pPr>
            <w:r>
              <w:rPr>
                <w:b/>
                <w:bCs/>
              </w:rPr>
              <w:t xml:space="preserve">Yes</w:t>
            </w:r>
          </w:p>
        </w:tc>
      </w:tr>
      <w:tr>
        <w:tc>
          <w:tcPr/>
          <w:p>
            <w:pPr>
              <w:pStyle w:val="Compact"/>
            </w:pPr>
            <w:r>
              <w:t xml:space="preserve">VGG16 vs CNN</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0.831</w:t>
            </w:r>
          </w:p>
        </w:tc>
        <w:tc>
          <w:tcPr/>
          <w:p>
            <w:pPr>
              <w:pStyle w:val="Compact"/>
              <w:jc w:val="left"/>
            </w:pPr>
            <w:r>
              <w:t xml:space="preserve">No</w:t>
            </w:r>
          </w:p>
        </w:tc>
      </w:tr>
      <w:tr>
        <w:tc>
          <w:tcPr/>
          <w:p>
            <w:pPr>
              <w:pStyle w:val="Compact"/>
            </w:pPr>
            <w:r>
              <w:rPr>
                <w:b/>
                <w:bCs/>
              </w:rPr>
              <w:t xml:space="preserve">VGG16 vs CNN(T+R)</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5.60</w:t>
            </w:r>
          </w:p>
        </w:tc>
        <w:tc>
          <w:tcPr/>
          <w:p>
            <w:pPr>
              <w:pStyle w:val="Compact"/>
              <w:jc w:val="right"/>
            </w:pPr>
            <w:r>
              <w:rPr>
                <w:b/>
                <w:bCs/>
              </w:rPr>
              <w:t xml:space="preserve">0.018</w:t>
            </w:r>
          </w:p>
        </w:tc>
        <w:tc>
          <w:tcPr/>
          <w:p>
            <w:pPr>
              <w:pStyle w:val="Compact"/>
              <w:jc w:val="left"/>
            </w:pPr>
            <w:r>
              <w:rPr>
                <w:b/>
                <w:bCs/>
              </w:rPr>
              <w:t xml:space="preserve">Yes</w:t>
            </w:r>
          </w:p>
        </w:tc>
      </w:tr>
      <w:tr>
        <w:tc>
          <w:tcPr/>
          <w:p>
            <w:pPr>
              <w:pStyle w:val="Compact"/>
            </w:pPr>
            <w:r>
              <w:rPr>
                <w:b/>
                <w:bCs/>
              </w:rPr>
              <w:t xml:space="preserve">CNN vs CNN(T+R)</w:t>
            </w:r>
          </w:p>
        </w:tc>
        <w:tc>
          <w:tcPr/>
          <w:p>
            <w:pPr>
              <w:pStyle w:val="Compact"/>
              <w:jc w:val="right"/>
            </w:pPr>
            <w:r>
              <w:t xml:space="preserve">19</w:t>
            </w:r>
          </w:p>
        </w:tc>
        <w:tc>
          <w:tcPr/>
          <w:p>
            <w:pPr>
              <w:pStyle w:val="Compact"/>
              <w:jc w:val="right"/>
            </w:pPr>
            <w:r>
              <w:t xml:space="preserve">2</w:t>
            </w:r>
          </w:p>
        </w:tc>
        <w:tc>
          <w:tcPr/>
          <w:p>
            <w:pPr>
              <w:pStyle w:val="Compact"/>
              <w:jc w:val="right"/>
            </w:pPr>
            <w:r>
              <w:t xml:space="preserve">12.19</w:t>
            </w:r>
          </w:p>
        </w:tc>
        <w:tc>
          <w:tcPr/>
          <w:p>
            <w:pPr>
              <w:pStyle w:val="Compact"/>
              <w:jc w:val="right"/>
            </w:pPr>
            <w:r>
              <w:rPr>
                <w:b/>
                <w:bCs/>
              </w:rPr>
              <w:t xml:space="preserve">0.00048</w:t>
            </w:r>
          </w:p>
        </w:tc>
        <w:tc>
          <w:tcPr/>
          <w:p>
            <w:pPr>
              <w:pStyle w:val="Compact"/>
              <w:jc w:val="left"/>
            </w:pPr>
            <w:r>
              <w:rPr>
                <w:b/>
                <w:bCs/>
              </w:rPr>
              <w:t xml:space="preserve">Highly Yes</w:t>
            </w:r>
          </w:p>
        </w:tc>
      </w:tr>
      <w:tr>
        <w:tc>
          <w:tcPr/>
          <w:p>
            <w:pPr>
              <w:pStyle w:val="Compact"/>
            </w:pPr>
            <w:r>
              <w:t xml:space="preserve">CNN vs Ensemble</w:t>
            </w:r>
          </w:p>
        </w:tc>
        <w:tc>
          <w:tcPr/>
          <w:p>
            <w:pPr>
              <w:pStyle w:val="Compact"/>
              <w:jc w:val="right"/>
            </w:pPr>
            <w:r>
              <w:t xml:space="preserve">3</w:t>
            </w:r>
          </w:p>
        </w:tc>
        <w:tc>
          <w:tcPr/>
          <w:p>
            <w:pPr>
              <w:pStyle w:val="Compact"/>
              <w:jc w:val="right"/>
            </w:pPr>
            <w:r>
              <w:t xml:space="preserve">6</w:t>
            </w:r>
          </w:p>
        </w:tc>
        <w:tc>
          <w:tcPr/>
          <w:p>
            <w:pPr>
              <w:pStyle w:val="Compact"/>
              <w:jc w:val="right"/>
            </w:pPr>
            <w:r>
              <w:t xml:space="preserve">0.44</w:t>
            </w:r>
          </w:p>
        </w:tc>
        <w:tc>
          <w:tcPr/>
          <w:p>
            <w:pPr>
              <w:pStyle w:val="Compact"/>
              <w:jc w:val="right"/>
            </w:pPr>
            <w:r>
              <w:t xml:space="preserve">0.505</w:t>
            </w:r>
          </w:p>
        </w:tc>
        <w:tc>
          <w:tcPr/>
          <w:p>
            <w:pPr>
              <w:pStyle w:val="Compact"/>
              <w:jc w:val="left"/>
            </w:pPr>
            <w:r>
              <w:t xml:space="preserve">No</w:t>
            </w:r>
          </w:p>
        </w:tc>
      </w:tr>
      <w:tr>
        <w:tc>
          <w:tcPr/>
          <w:p>
            <w:pPr>
              <w:pStyle w:val="Compact"/>
            </w:pPr>
            <w:r>
              <w:rPr>
                <w:b/>
                <w:bCs/>
              </w:rPr>
              <w:t xml:space="preserve">CNN(T+R) vs Ensemble</w:t>
            </w:r>
          </w:p>
        </w:tc>
        <w:tc>
          <w:tcPr/>
          <w:p>
            <w:pPr>
              <w:pStyle w:val="Compact"/>
              <w:jc w:val="right"/>
            </w:pPr>
            <w:r>
              <w:t xml:space="preserve">2</w:t>
            </w:r>
          </w:p>
        </w:tc>
        <w:tc>
          <w:tcPr/>
          <w:p>
            <w:pPr>
              <w:pStyle w:val="Compact"/>
              <w:jc w:val="right"/>
            </w:pPr>
            <w:r>
              <w:t xml:space="preserve">22</w:t>
            </w:r>
          </w:p>
        </w:tc>
        <w:tc>
          <w:tcPr/>
          <w:p>
            <w:pPr>
              <w:pStyle w:val="Compact"/>
              <w:jc w:val="right"/>
            </w:pPr>
            <w:r>
              <w:t xml:space="preserve">15.04</w:t>
            </w:r>
          </w:p>
        </w:tc>
        <w:tc>
          <w:tcPr/>
          <w:p>
            <w:pPr>
              <w:pStyle w:val="Compact"/>
              <w:jc w:val="right"/>
            </w:pPr>
            <w:r>
              <w:rPr>
                <w:b/>
                <w:bCs/>
              </w:rPr>
              <w:t xml:space="preserve">0.00011</w:t>
            </w:r>
          </w:p>
        </w:tc>
        <w:tc>
          <w:tcPr/>
          <w:p>
            <w:pPr>
              <w:pStyle w:val="Compact"/>
              <w:jc w:val="left"/>
            </w:pPr>
            <w:r>
              <w:rPr>
                <w:b/>
                <w:bCs/>
              </w:rPr>
              <w:t xml:space="preserve">Highly Yes</w:t>
            </w:r>
          </w:p>
        </w:tc>
      </w:tr>
    </w:tbl>
    <w:p>
      <w:pPr>
        <w:pStyle w:val="BodyText"/>
      </w:pPr>
      <w:r>
        <w:t xml:space="preserve">The pattern is striking. Among the five strong models — ResNet50, Xception, DenseNet121, VGG16 and CNN — every pairwise p-value exceeds 0.5. None of the differences in Table 4.1 between these five models are statistically significant. Choosing one over another on the basis of test accuracy alone is therefore unjustified at the sample size of this study.</w:t>
      </w:r>
    </w:p>
    <w:p>
      <w:pPr>
        <w:pStyle w:val="BodyText"/>
      </w:pPr>
      <w:r>
        <w:t xml:space="preserve">By contrast, every comparison involving the CNN(Tanh+ReLU) variant against any of the other five models yields p &lt; 0.05, with p-values ranging from 0.018 (vs VGG16) to 0.043 (vs ResNet50). This strongly supports the conclusion that the substitution of tanh for ReLU in the second convolutional block and the dense head materially harms performance — a result that the bachelor thesis did not report because it lacked statistical testing.</w:t>
      </w:r>
    </w:p>
    <w:p>
      <w:pPr>
        <w:pStyle w:val="BodyText"/>
      </w:pPr>
      <w:r>
        <w:t xml:space="preserve">The ensemble's advantage over its members is borderline: vs ResNet50, p = 0.096; vs CNN, p = 0.50. With only 550 test points, the McNemar test cannot conclusively distinguish a 0.55 pp improvement from noise. Section 5.4 of Chapter 5 returns to this question with a 5-fold cross-validation that puts a tighter bound on the ResNet50 estimate.</w:t>
      </w:r>
    </w:p>
    <w:p>
      <w:pPr>
        <w:pStyle w:val="BodyText"/>
      </w:pPr>
      <w:r>
        <w:t xml:space="preserve">A side observation: the CNN vs CNN(T+R) comparison has b = 19, c = 2. That is, on 19 test images, the all-ReLU CNN was correct and the tanh+ReLU variant was wrong; on only 2 images was the situation reversed. This is the strongest signal in the table and explains the very low p-value (0.00048).</w:t>
      </w:r>
    </w:p>
    <w:bookmarkEnd w:id="86"/>
    <w:bookmarkStart w:id="90" w:name="X9e0f2d0d87edf3808c7da8d2fa87e1262d561d9"/>
    <w:p>
      <w:pPr>
        <w:pStyle w:val="Heading2"/>
      </w:pPr>
      <w:r>
        <w:t xml:space="preserve">4.3 Calibration Analysis</w:t>
      </w:r>
    </w:p>
    <w:bookmarkStart w:id="87" w:name="X494b1cc1b6d8fa593cc2af1cd0f7c7ee093aae2"/>
    <w:p>
      <w:pPr>
        <w:pStyle w:val="Heading3"/>
      </w:pPr>
      <w:r>
        <w:t xml:space="preserve">4.3.1 ECE Before and After Temperature Scaling</w:t>
      </w:r>
    </w:p>
    <w:p>
      <w:pPr>
        <w:pStyle w:val="FirstParagraph"/>
      </w:pPr>
      <w:r>
        <w:t xml:space="preserve">The ECE columns of Table 4.1 indicate that the trained models are reasonably well-calibrated already, with raw ECE values ranging from 0.017 to 0.046. None of the models exhibits the severe over-confidence reported in some studies of medical CNNs.</w:t>
      </w:r>
    </w:p>
    <w:p>
      <w:pPr>
        <w:pStyle w:val="BodyText"/>
      </w:pPr>
      <w:r>
        <w:t xml:space="preserve">Temperature scaling, fitted on the validation set, produces small but consistent improvements for ResNet50, DenseNet121, and CNN(T+R), and a substantial improvement for VGG16, whose ECE drops from 0.0255 to 0.0153 — a 40% relative reduction. The fitted temperature for VGG16 is 1.44, indicating that the raw model was significantly over-confident.</w:t>
      </w:r>
    </w:p>
    <w:p>
      <w:pPr>
        <w:pStyle w:val="BodyText"/>
      </w:pPr>
      <w:r>
        <w:t xml:space="preserve">Two cases are interesting:</w:t>
      </w:r>
    </w:p>
    <w:p>
      <w:pPr>
        <w:pStyle w:val="Compact"/>
        <w:numPr>
          <w:ilvl w:val="0"/>
          <w:numId w:val="1024"/>
        </w:numPr>
      </w:pPr>
      <w:r>
        <w:rPr>
          <w:b/>
          <w:bCs/>
        </w:rPr>
        <w:t xml:space="preserve">CNN</w:t>
      </w:r>
      <w:r>
        <w:t xml:space="preserve">: T = 1.00 to within numerical tolerance. The from-scratch CNN was already calibrated. Temperature scaling provides no benefit because the raw probabilities already track frequencies well. This is consistent with the general finding that simpler architectures with less regularisation are better calibrated by default.</w:t>
      </w:r>
    </w:p>
    <w:p>
      <w:pPr>
        <w:pStyle w:val="Compact"/>
        <w:numPr>
          <w:ilvl w:val="0"/>
          <w:numId w:val="1024"/>
        </w:numPr>
      </w:pPr>
      <w:r>
        <w:rPr>
          <w:b/>
          <w:bCs/>
        </w:rPr>
        <w:t xml:space="preserve">Xception</w:t>
      </w:r>
      <w:r>
        <w:t xml:space="preserve">: ECE</w:t>
      </w:r>
      <w:r>
        <w:t xml:space="preserve"> </w:t>
      </w:r>
      <w:r>
        <w:rPr>
          <w:i/>
          <w:iCs/>
        </w:rPr>
        <w:t xml:space="preserve">increases</w:t>
      </w:r>
      <w:r>
        <w:t xml:space="preserve"> </w:t>
      </w:r>
      <w:r>
        <w:t xml:space="preserve">slightly under temperature scaling (from 0.0174 to 0.0224). This is unusual but not unprecedented. It can occur when the validation set is small enough that the temperature fit overfits to validation-specific calibration patterns that do not generalise to the test set. A larger validation set or cross-validated temperature fit would likely eliminate this effect.</w:t>
      </w:r>
    </w:p>
    <w:bookmarkEnd w:id="87"/>
    <w:bookmarkStart w:id="88" w:name="X7e6df0dfde751be4d24b1978c079539c011223e"/>
    <w:p>
      <w:pPr>
        <w:pStyle w:val="Heading3"/>
      </w:pPr>
      <w:r>
        <w:t xml:space="preserve">4.3.2 Reliability Diagrams</w:t>
      </w:r>
    </w:p>
    <w:p>
      <w:pPr>
        <w:pStyle w:val="FirstParagraph"/>
      </w:pPr>
      <w:r>
        <w:t xml:space="preserve">Reliability diagrams for each model, before and after temperature scaling, are provided as supplementary figures (Appendix B, Figures B.1–B.7) and saved at</w:t>
      </w:r>
      <w:r>
        <w:t xml:space="preserve"> </w:t>
      </w:r>
      <w:r>
        <w:rPr>
          <w:rStyle w:val="VerbatimChar"/>
        </w:rPr>
        <w:t xml:space="preserve">master/results/reliability_&lt;model&gt;_{raw,temp_scaled}.png</w:t>
      </w:r>
      <w:r>
        <w:t xml:space="preserve">. The general pattern is mild over-confidence in the high-confidence bins, with VGG16 being the most extreme example. After temperature scaling, the bars settle close to the diagonal across the entire confidence range.</w:t>
      </w:r>
    </w:p>
    <w:bookmarkEnd w:id="88"/>
    <w:bookmarkStart w:id="89" w:name="X84372b3e649b3dc5ed9473a96ff0a891a766ece"/>
    <w:p>
      <w:pPr>
        <w:pStyle w:val="Heading3"/>
      </w:pPr>
      <w:r>
        <w:t xml:space="preserve">4.3.3 Practical Implications</w:t>
      </w:r>
    </w:p>
    <w:p>
      <w:pPr>
        <w:pStyle w:val="FirstParagraph"/>
      </w:pPr>
      <w:r>
        <w:t xml:space="preserve">For deployment, temperature scaling is essentially free: it requires fitting one scalar parameter on a calibration set, and it does not change the argmax prediction (so accuracy is exactly preserved). The 40% ECE reduction for VGG16 alone justifies its routine application. For Xception, where TS marginally hurts, the operator can choose to skip it; the raw probabilities are good enough.</w:t>
      </w:r>
    </w:p>
    <w:bookmarkEnd w:id="89"/>
    <w:bookmarkEnd w:id="90"/>
    <w:bookmarkStart w:id="94" w:name="X6a25c5e9bc96cba74335c7fb864fe276387e037"/>
    <w:p>
      <w:pPr>
        <w:pStyle w:val="Heading2"/>
      </w:pPr>
      <w:r>
        <w:t xml:space="preserve">4.4 Heterogeneous Ensemble and Selective Prediction</w:t>
      </w:r>
    </w:p>
    <w:bookmarkStart w:id="91" w:name="X9ff7676ea8df619f7311d4d1623b1a14003d7cb"/>
    <w:p>
      <w:pPr>
        <w:pStyle w:val="Heading3"/>
      </w:pPr>
      <w:r>
        <w:t xml:space="preserve">4.4.1 Ensemble Construction</w:t>
      </w:r>
    </w:p>
    <w:p>
      <w:pPr>
        <w:pStyle w:val="FirstParagraph"/>
      </w:pPr>
      <w:r>
        <w:t xml:space="preserve">A heterogeneous ensemble is built by averaging the per-model probabilities</w:t>
      </w:r>
      <w:r>
        <w:t xml:space="preserve"> </w:t>
      </w:r>
      <m:oMath>
        <m:sSub>
          <m:e>
            <m:r>
              <m:t>p</m:t>
            </m:r>
          </m:e>
          <m:sub>
            <m:r>
              <m:t>k</m:t>
            </m:r>
          </m:sub>
        </m:sSub>
        <m:r>
          <m:rPr>
            <m:sty m:val="p"/>
          </m:rPr>
          <m:t>(</m:t>
        </m:r>
        <m:r>
          <m:t>x</m:t>
        </m:r>
        <m:r>
          <m:rPr>
            <m:sty m:val="p"/>
          </m:rPr>
          <m:t>)</m:t>
        </m:r>
      </m:oMath>
      <w:r>
        <w:t xml:space="preserve"> </w:t>
      </w:r>
      <w:r>
        <w:t xml:space="preserve">across the six binary classifiers:</w:t>
      </w:r>
    </w:p>
    <w:p>
      <w:pPr>
        <w:pStyle w:val="BodyText"/>
      </w:pPr>
      <m:oMathPara>
        <m:oMathParaPr>
          <m:jc m:val="center"/>
        </m:oMathParaPr>
        <m:oMath>
          <m:acc>
            <m:accPr>
              <m:chr m:val="‾"/>
            </m:accPr>
            <m:e>
              <m:r>
                <m:t>p</m:t>
              </m:r>
            </m:e>
          </m:acc>
          <m:r>
            <m:rPr>
              <m:sty m:val="p"/>
            </m:rPr>
            <m:t>(</m:t>
          </m:r>
          <m:r>
            <m:t>x</m:t>
          </m:r>
          <m:r>
            <m:rPr>
              <m:sty m:val="p"/>
            </m:rPr>
            <m:t>)</m:t>
          </m:r>
          <m:r>
            <m:rPr>
              <m:sty m:val="p"/>
            </m:rPr>
            <m:t>=</m:t>
          </m:r>
          <m:f>
            <m:fPr>
              <m:type m:val="bar"/>
            </m:fPr>
            <m:num>
              <m:r>
                <m:t>1</m:t>
              </m:r>
            </m:num>
            <m:den>
              <m:r>
                <m:t>6</m:t>
              </m:r>
            </m:den>
          </m:f>
          <m:nary>
            <m:naryPr>
              <m:chr m:val="∑"/>
              <m:limLoc m:val="undOvr"/>
              <m:subHide m:val="off"/>
              <m:supHide m:val="off"/>
            </m:naryPr>
            <m:sub>
              <m:r>
                <m:t>k</m:t>
              </m:r>
              <m:r>
                <m:rPr>
                  <m:sty m:val="p"/>
                </m:rPr>
                <m:t>=</m:t>
              </m:r>
              <m:r>
                <m:t>1</m:t>
              </m:r>
            </m:sub>
            <m:sup>
              <m:r>
                <m:t>6</m:t>
              </m:r>
            </m:sup>
            <m:e>
              <m:sSub>
                <m:e>
                  <m:r>
                    <m:t>p</m:t>
                  </m:r>
                </m:e>
                <m:sub>
                  <m:r>
                    <m:t>k</m:t>
                  </m:r>
                </m:sub>
              </m:sSub>
            </m:e>
          </m:nary>
          <m:r>
            <m:rPr>
              <m:sty m:val="p"/>
            </m:rPr>
            <m:t>(</m:t>
          </m:r>
          <m:r>
            <m:t>x</m:t>
          </m:r>
          <m:r>
            <m:rPr>
              <m:sty m:val="p"/>
            </m:rPr>
            <m:t>)</m:t>
          </m:r>
          <m:r>
            <m:rPr>
              <m:sty m:val="p"/>
            </m:rPr>
            <m:t>.</m:t>
          </m:r>
        </m:oMath>
      </m:oMathPara>
    </w:p>
    <w:p>
      <w:pPr>
        <w:pStyle w:val="FirstParagraph"/>
      </w:pPr>
      <w:r>
        <w:t xml:space="preserve">The ensemble's binary decision uses threshold 0.5. Test accuracy is 96.55%, AUROC is 0.9906, and ECE is 0.0283.</w:t>
      </w:r>
    </w:p>
    <w:p>
      <w:pPr>
        <w:pStyle w:val="BodyText"/>
      </w:pPr>
      <w:r>
        <w:t xml:space="preserve">Importantly, the ensemble can also be queried for</w:t>
      </w:r>
      <w:r>
        <w:t xml:space="preserve"> </w:t>
      </w:r>
      <w:r>
        <w:rPr>
          <w:i/>
          <w:iCs/>
        </w:rPr>
        <w:t xml:space="preserve">disagreement</w:t>
      </w:r>
      <w:r>
        <w:t xml:space="preserve">-based uncertainty signals:</w:t>
      </w:r>
    </w:p>
    <w:p>
      <w:pPr>
        <w:pStyle w:val="Compact"/>
        <w:numPr>
          <w:ilvl w:val="0"/>
          <w:numId w:val="1025"/>
        </w:numPr>
      </w:pPr>
      <w:r>
        <w:rPr>
          <w:b/>
          <w:bCs/>
        </w:rPr>
        <w:t xml:space="preserve">Mean probability</w:t>
      </w:r>
      <w:r>
        <w:t xml:space="preserve"> </w:t>
      </w:r>
      <m:oMath>
        <m:acc>
          <m:accPr>
            <m:chr m:val="‾"/>
          </m:accPr>
          <m:e>
            <m:r>
              <m:t>p</m:t>
            </m:r>
          </m:e>
        </m:acc>
      </m:oMath>
      <w:r>
        <w:t xml:space="preserve"> </w:t>
      </w:r>
      <w:r>
        <w:t xml:space="preserve">— the point prediction.</w:t>
      </w:r>
    </w:p>
    <w:p>
      <w:pPr>
        <w:pStyle w:val="Compact"/>
        <w:numPr>
          <w:ilvl w:val="0"/>
          <w:numId w:val="1025"/>
        </w:numPr>
      </w:pPr>
      <w:r>
        <w:rPr>
          <w:b/>
          <w:bCs/>
        </w:rPr>
        <w:t xml:space="preserve">Standard deviation across members</w:t>
      </w:r>
      <w:r>
        <w:t xml:space="preserve"> </w:t>
      </w:r>
      <w:r>
        <w:t xml:space="preserve">— an epistemic-like spread; high values indicate that the constituent models disagree on the input.</w:t>
      </w:r>
    </w:p>
    <w:p>
      <w:pPr>
        <w:pStyle w:val="Compact"/>
        <w:numPr>
          <w:ilvl w:val="0"/>
          <w:numId w:val="1025"/>
        </w:numPr>
      </w:pPr>
      <w:r>
        <w:rPr>
          <w:b/>
          <w:bCs/>
        </w:rPr>
        <w:t xml:space="preserve">Predictive entropy</w:t>
      </w:r>
      <w:r>
        <w:t xml:space="preserve"> </w:t>
      </w:r>
      <m:oMath>
        <m:r>
          <m:t>H</m:t>
        </m:r>
        <m:r>
          <m:rPr>
            <m:sty m:val="p"/>
          </m:rPr>
          <m:t>(</m:t>
        </m:r>
        <m:acc>
          <m:accPr>
            <m:chr m:val="‾"/>
          </m:accPr>
          <m:e>
            <m:r>
              <m:t>p</m:t>
            </m:r>
          </m:e>
        </m:acc>
        <m:r>
          <m:rPr>
            <m:sty m:val="p"/>
          </m:rPr>
          <m:t>)</m:t>
        </m:r>
      </m:oMath>
      <w:r>
        <w:t xml:space="preserve"> </w:t>
      </w:r>
      <w:r>
        <w:t xml:space="preserve">— total uncertainty.</w:t>
      </w:r>
    </w:p>
    <w:p>
      <w:pPr>
        <w:pStyle w:val="Compact"/>
        <w:numPr>
          <w:ilvl w:val="0"/>
          <w:numId w:val="1025"/>
        </w:numPr>
      </w:pPr>
      <w:r>
        <w:rPr>
          <w:b/>
          <w:bCs/>
        </w:rPr>
        <w:t xml:space="preserve">Mean per-member entropy</w:t>
      </w:r>
      <w:r>
        <w:t xml:space="preserve"> </w:t>
      </w:r>
      <m:oMath>
        <m:sSub>
          <m:e>
            <m:r>
              <m:rPr>
                <m:scr m:val="double-struck"/>
                <m:sty m:val="p"/>
              </m:rPr>
              <m:t>E</m:t>
            </m:r>
          </m:e>
          <m:sub>
            <m:r>
              <m:t>k</m:t>
            </m:r>
          </m:sub>
        </m:sSub>
        <m:r>
          <m:rPr>
            <m:sty m:val="p"/>
          </m:rPr>
          <m:t>[</m:t>
        </m:r>
        <m:r>
          <m:t>H</m:t>
        </m:r>
        <m:r>
          <m:rPr>
            <m:sty m:val="p"/>
          </m:rPr>
          <m:t>(</m:t>
        </m:r>
        <m:sSub>
          <m:e>
            <m:r>
              <m:t>p</m:t>
            </m:r>
          </m:e>
          <m:sub>
            <m:r>
              <m:t>k</m:t>
            </m:r>
          </m:sub>
        </m:sSub>
        <m:r>
          <m:rPr>
            <m:sty m:val="p"/>
          </m:rPr>
          <m:t>)</m:t>
        </m:r>
        <m:r>
          <m:rPr>
            <m:sty m:val="p"/>
          </m:rPr>
          <m:t>]</m:t>
        </m:r>
      </m:oMath>
      <w:r>
        <w:t xml:space="preserve"> </w:t>
      </w:r>
      <w:r>
        <w:t xml:space="preserve">— aleatoric proxy.</w:t>
      </w:r>
    </w:p>
    <w:p>
      <w:pPr>
        <w:pStyle w:val="Compact"/>
        <w:numPr>
          <w:ilvl w:val="0"/>
          <w:numId w:val="1025"/>
        </w:numPr>
      </w:pPr>
      <w:r>
        <w:rPr>
          <w:b/>
          <w:bCs/>
        </w:rPr>
        <w:t xml:space="preserve">Mutual information</w:t>
      </w:r>
      <w:r>
        <w:t xml:space="preserve"> </w:t>
      </w:r>
      <w:r>
        <w:t xml:space="preserve">= predictive entropy − mean per-member entropy.</w:t>
      </w:r>
    </w:p>
    <w:p>
      <w:pPr>
        <w:pStyle w:val="Compact"/>
        <w:numPr>
          <w:ilvl w:val="0"/>
          <w:numId w:val="1025"/>
        </w:numPr>
      </w:pPr>
      <w:r>
        <w:rPr>
          <w:b/>
          <w:bCs/>
        </w:rPr>
        <w:t xml:space="preserve">Vote agreement</w:t>
      </w:r>
      <w:r>
        <w:t xml:space="preserve"> </w:t>
      </w:r>
      <w:r>
        <w:t xml:space="preserve">— fraction of members predicting the majority class.</w:t>
      </w:r>
    </w:p>
    <w:p>
      <w:pPr>
        <w:pStyle w:val="FirstParagraph"/>
      </w:pPr>
      <w:r>
        <w:t xml:space="preserve">These signals are saved to</w:t>
      </w:r>
      <w:r>
        <w:t xml:space="preserve"> </w:t>
      </w:r>
      <w:r>
        <w:rPr>
          <w:rStyle w:val="VerbatimChar"/>
        </w:rPr>
        <w:t xml:space="preserve">master/results/summary.json</w:t>
      </w:r>
      <w:r>
        <w:t xml:space="preserve"> </w:t>
      </w:r>
      <w:r>
        <w:t xml:space="preserve">and used in the next subsection.</w:t>
      </w:r>
    </w:p>
    <w:bookmarkEnd w:id="91"/>
    <w:bookmarkStart w:id="92" w:name="Xb0ac7a78369fbac300996abe0897497ae0a269f"/>
    <w:p>
      <w:pPr>
        <w:pStyle w:val="Heading3"/>
      </w:pPr>
      <w:r>
        <w:t xml:space="preserve">4.4.2 Risk-Coverage Curves</w:t>
      </w:r>
    </w:p>
    <w:p>
      <w:pPr>
        <w:pStyle w:val="FirstParagraph"/>
      </w:pPr>
      <w:r>
        <w:t xml:space="preserve">A risk-coverage curve plots selective accuracy as a function of coverage. Coverage is the fraction of test points retained after sorting by ascending uncertainty and rejecting the most uncertain. At 100% coverage (no rejection), selective accuracy equals the ensemble accuracy of 96.55%. At lower coverages, accuracy on the auto-classified subset rises.</w:t>
      </w:r>
    </w:p>
    <w:p>
      <w:pPr>
        <w:pStyle w:val="BodyText"/>
      </w:pPr>
      <w:r>
        <w:rPr>
          <w:b/>
          <w:bCs/>
        </w:rPr>
        <w:t xml:space="preserve">Table 4.3.</w:t>
      </w:r>
      <w:r>
        <w:t xml:space="preserve"> </w:t>
      </w:r>
      <w:r>
        <w:t xml:space="preserve">Selective accuracy of the ensemble at varying coverage, for each uncertainty signal.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Coverage</w:t>
            </w:r>
          </w:p>
        </w:tc>
        <w:tc>
          <w:tcPr/>
          <w:p>
            <w:pPr>
              <w:pStyle w:val="Compact"/>
              <w:jc w:val="right"/>
            </w:pPr>
            <w:r>
              <w:t xml:space="preserve">Std (epistemic)</w:t>
            </w:r>
          </w:p>
        </w:tc>
        <w:tc>
          <w:tcPr/>
          <w:p>
            <w:pPr>
              <w:pStyle w:val="Compact"/>
              <w:jc w:val="right"/>
            </w:pPr>
            <w:r>
              <w:t xml:space="preserve">Predictive entropy</w:t>
            </w:r>
          </w:p>
        </w:tc>
        <w:tc>
          <w:tcPr/>
          <w:p>
            <w:pPr>
              <w:pStyle w:val="Compact"/>
              <w:jc w:val="right"/>
            </w:pPr>
            <w:r>
              <w:t xml:space="preserve">Mutual information</w:t>
            </w:r>
          </w:p>
        </w:tc>
        <w:tc>
          <w:tcPr/>
          <w:p>
            <w:pPr>
              <w:pStyle w:val="Compact"/>
              <w:jc w:val="right"/>
            </w:pPr>
            <w:r>
              <w:t xml:space="preserve">1 − max prob</w:t>
            </w:r>
          </w:p>
        </w:tc>
      </w:tr>
      <w:tr>
        <w:tc>
          <w:tcPr/>
          <w:p>
            <w:pPr>
              <w:pStyle w:val="Compact"/>
              <w:jc w:val="right"/>
            </w:pPr>
            <w:r>
              <w:t xml:space="preserve">50%</w:t>
            </w:r>
          </w:p>
        </w:tc>
        <w:tc>
          <w:tcPr/>
          <w:p>
            <w:pPr>
              <w:pStyle w:val="Compact"/>
              <w:jc w:val="right"/>
            </w:pPr>
            <w:r>
              <w:t xml:space="preserve">99.64%</w:t>
            </w:r>
          </w:p>
        </w:tc>
        <w:tc>
          <w:tcPr/>
          <w:p>
            <w:pPr>
              <w:pStyle w:val="Compact"/>
              <w:jc w:val="right"/>
            </w:pPr>
            <w:r>
              <w:t xml:space="preserve">99.64%</w:t>
            </w:r>
          </w:p>
        </w:tc>
        <w:tc>
          <w:tcPr/>
          <w:p>
            <w:pPr>
              <w:pStyle w:val="Compact"/>
              <w:jc w:val="right"/>
            </w:pPr>
            <w:r>
              <w:t xml:space="preserve">99.27%</w:t>
            </w:r>
          </w:p>
        </w:tc>
        <w:tc>
          <w:tcPr/>
          <w:p>
            <w:pPr>
              <w:pStyle w:val="Compact"/>
              <w:jc w:val="right"/>
            </w:pPr>
            <w:r>
              <w:t xml:space="preserve">99.64%</w:t>
            </w:r>
          </w:p>
        </w:tc>
      </w:tr>
      <w:tr>
        <w:tc>
          <w:tcPr/>
          <w:p>
            <w:pPr>
              <w:pStyle w:val="Compact"/>
              <w:jc w:val="right"/>
            </w:pPr>
            <w:r>
              <w:t xml:space="preserve">60%</w:t>
            </w:r>
          </w:p>
        </w:tc>
        <w:tc>
          <w:tcPr/>
          <w:p>
            <w:pPr>
              <w:pStyle w:val="Compact"/>
              <w:jc w:val="right"/>
            </w:pPr>
            <w:r>
              <w:t xml:space="preserve">99.39%</w:t>
            </w:r>
          </w:p>
        </w:tc>
        <w:tc>
          <w:tcPr/>
          <w:p>
            <w:pPr>
              <w:pStyle w:val="Compact"/>
              <w:jc w:val="right"/>
            </w:pPr>
            <w:r>
              <w:t xml:space="preserve">99.39%</w:t>
            </w:r>
          </w:p>
        </w:tc>
        <w:tc>
          <w:tcPr/>
          <w:p>
            <w:pPr>
              <w:pStyle w:val="Compact"/>
              <w:jc w:val="right"/>
            </w:pPr>
            <w:r>
              <w:t xml:space="preserve">99.39%</w:t>
            </w:r>
          </w:p>
        </w:tc>
        <w:tc>
          <w:tcPr/>
          <w:p>
            <w:pPr>
              <w:pStyle w:val="Compact"/>
              <w:jc w:val="right"/>
            </w:pPr>
            <w:r>
              <w:t xml:space="preserve">99.39%</w:t>
            </w:r>
          </w:p>
        </w:tc>
      </w:tr>
      <w:tr>
        <w:tc>
          <w:tcPr/>
          <w:p>
            <w:pPr>
              <w:pStyle w:val="Compact"/>
              <w:jc w:val="right"/>
            </w:pPr>
            <w:r>
              <w:t xml:space="preserve">70%</w:t>
            </w:r>
          </w:p>
        </w:tc>
        <w:tc>
          <w:tcPr/>
          <w:p>
            <w:pPr>
              <w:pStyle w:val="Compact"/>
              <w:jc w:val="right"/>
            </w:pPr>
            <w:r>
              <w:t xml:space="preserve">98.44%</w:t>
            </w:r>
          </w:p>
        </w:tc>
        <w:tc>
          <w:tcPr/>
          <w:p>
            <w:pPr>
              <w:pStyle w:val="Compact"/>
              <w:jc w:val="right"/>
            </w:pPr>
            <w:r>
              <w:t xml:space="preserve">99.48%</w:t>
            </w:r>
          </w:p>
        </w:tc>
        <w:tc>
          <w:tcPr/>
          <w:p>
            <w:pPr>
              <w:pStyle w:val="Compact"/>
              <w:jc w:val="right"/>
            </w:pPr>
            <w:r>
              <w:t xml:space="preserve">98.44%</w:t>
            </w:r>
          </w:p>
        </w:tc>
        <w:tc>
          <w:tcPr/>
          <w:p>
            <w:pPr>
              <w:pStyle w:val="Compact"/>
              <w:jc w:val="right"/>
            </w:pPr>
            <w:r>
              <w:t xml:space="preserve">99.48%</w:t>
            </w:r>
          </w:p>
        </w:tc>
      </w:tr>
      <w:tr>
        <w:tc>
          <w:tcPr/>
          <w:p>
            <w:pPr>
              <w:pStyle w:val="Compact"/>
              <w:jc w:val="right"/>
            </w:pPr>
            <w:r>
              <w:t xml:space="preserve">80%</w:t>
            </w:r>
          </w:p>
        </w:tc>
        <w:tc>
          <w:tcPr/>
          <w:p>
            <w:pPr>
              <w:pStyle w:val="Compact"/>
              <w:jc w:val="right"/>
            </w:pPr>
            <w:r>
              <w:t xml:space="preserve">98.41%</w:t>
            </w:r>
          </w:p>
        </w:tc>
        <w:tc>
          <w:tcPr/>
          <w:p>
            <w:pPr>
              <w:pStyle w:val="Compact"/>
              <w:jc w:val="right"/>
            </w:pPr>
            <w:r>
              <w:t xml:space="preserve">98.64%</w:t>
            </w:r>
          </w:p>
        </w:tc>
        <w:tc>
          <w:tcPr/>
          <w:p>
            <w:pPr>
              <w:pStyle w:val="Compact"/>
              <w:jc w:val="right"/>
            </w:pPr>
            <w:r>
              <w:t xml:space="preserve">97.73%</w:t>
            </w:r>
          </w:p>
        </w:tc>
        <w:tc>
          <w:tcPr/>
          <w:p>
            <w:pPr>
              <w:pStyle w:val="Compact"/>
              <w:jc w:val="right"/>
            </w:pPr>
            <w:r>
              <w:t xml:space="preserve">98.64%</w:t>
            </w:r>
          </w:p>
        </w:tc>
      </w:tr>
      <w:tr>
        <w:tc>
          <w:tcPr/>
          <w:p>
            <w:pPr>
              <w:pStyle w:val="Compact"/>
              <w:jc w:val="right"/>
            </w:pPr>
            <w:r>
              <w:t xml:space="preserve">90%</w:t>
            </w:r>
          </w:p>
        </w:tc>
        <w:tc>
          <w:tcPr/>
          <w:p>
            <w:pPr>
              <w:pStyle w:val="Compact"/>
              <w:jc w:val="right"/>
            </w:pPr>
            <w:r>
              <w:t xml:space="preserve">97.78%</w:t>
            </w:r>
          </w:p>
        </w:tc>
        <w:tc>
          <w:tcPr/>
          <w:p>
            <w:pPr>
              <w:pStyle w:val="Compact"/>
              <w:jc w:val="right"/>
            </w:pPr>
            <w:r>
              <w:t xml:space="preserve">98.18%</w:t>
            </w:r>
          </w:p>
        </w:tc>
        <w:tc>
          <w:tcPr/>
          <w:p>
            <w:pPr>
              <w:pStyle w:val="Compact"/>
              <w:jc w:val="right"/>
            </w:pPr>
            <w:r>
              <w:t xml:space="preserve">97.78%</w:t>
            </w:r>
          </w:p>
        </w:tc>
        <w:tc>
          <w:tcPr/>
          <w:p>
            <w:pPr>
              <w:pStyle w:val="Compact"/>
              <w:jc w:val="right"/>
            </w:pPr>
            <w:r>
              <w:t xml:space="preserve">98.18%</w:t>
            </w:r>
          </w:p>
        </w:tc>
      </w:tr>
      <w:tr>
        <w:tc>
          <w:tcPr/>
          <w:p>
            <w:pPr>
              <w:pStyle w:val="Compact"/>
              <w:jc w:val="right"/>
            </w:pPr>
            <w:r>
              <w:t xml:space="preserve">100%</w:t>
            </w:r>
          </w:p>
        </w:tc>
        <w:tc>
          <w:tcPr/>
          <w:p>
            <w:pPr>
              <w:pStyle w:val="Compact"/>
              <w:jc w:val="right"/>
            </w:pPr>
            <w:r>
              <w:t xml:space="preserve">96.55%</w:t>
            </w:r>
          </w:p>
        </w:tc>
        <w:tc>
          <w:tcPr/>
          <w:p>
            <w:pPr>
              <w:pStyle w:val="Compact"/>
              <w:jc w:val="right"/>
            </w:pPr>
            <w:r>
              <w:t xml:space="preserve">96.55%</w:t>
            </w:r>
          </w:p>
        </w:tc>
        <w:tc>
          <w:tcPr/>
          <w:p>
            <w:pPr>
              <w:pStyle w:val="Compact"/>
              <w:jc w:val="right"/>
            </w:pPr>
            <w:r>
              <w:t xml:space="preserve">96.55%</w:t>
            </w:r>
          </w:p>
        </w:tc>
        <w:tc>
          <w:tcPr/>
          <w:p>
            <w:pPr>
              <w:pStyle w:val="Compact"/>
              <w:jc w:val="right"/>
            </w:pPr>
            <w:r>
              <w:t xml:space="preserve">96.55%</w:t>
            </w:r>
          </w:p>
        </w:tc>
      </w:tr>
    </w:tbl>
    <w:p>
      <w:pPr>
        <w:pStyle w:val="BodyText"/>
      </w:pPr>
      <w:r>
        <w:t xml:space="preserve">The clinical interpretation is direct: if the system</w:t>
      </w:r>
      <w:r>
        <w:t xml:space="preserve"> </w:t>
      </w:r>
      <w:r>
        <w:rPr>
          <w:i/>
          <w:iCs/>
        </w:rPr>
        <w:t xml:space="preserve">defers</w:t>
      </w:r>
      <w:r>
        <w:t xml:space="preserve"> </w:t>
      </w:r>
      <w:r>
        <w:t xml:space="preserve">the 10% most uncertain cases to a clinician, selective accuracy on the remaining 90% rises from 96.55% to 98.18%. At 50% coverage, selective accuracy reaches 99.64% — close to perfect.</w:t>
      </w:r>
    </w:p>
    <w:p>
      <w:pPr>
        <w:pStyle w:val="BodyText"/>
      </w:pPr>
      <w:r>
        <w:t xml:space="preserve">Predictive entropy and 1 − max prob slightly outperform variance and mutual information at low coverages. Mutual information attempts to isolate the</w:t>
      </w:r>
      <w:r>
        <w:t xml:space="preserve"> </w:t>
      </w:r>
      <w:r>
        <w:rPr>
          <w:i/>
          <w:iCs/>
        </w:rPr>
        <w:t xml:space="preserve">epistemic</w:t>
      </w:r>
      <w:r>
        <w:t xml:space="preserve"> </w:t>
      </w:r>
      <w:r>
        <w:t xml:space="preserve">component of uncertainty, but for binary classification the predictive entropy is more directly tied to errors and is therefore the most useful signal here.</w:t>
      </w:r>
    </w:p>
    <w:bookmarkEnd w:id="92"/>
    <w:bookmarkStart w:id="93" w:name="Xc6c941590e6c9a5935f8f0166fa345f1fa673c6"/>
    <w:p>
      <w:pPr>
        <w:pStyle w:val="Heading3"/>
      </w:pPr>
      <w:r>
        <w:t xml:space="preserve">4.4.3 Histogram of Uncertainty for Correct vs Wrong Predictions</w:t>
      </w:r>
    </w:p>
    <w:p>
      <w:pPr>
        <w:pStyle w:val="FirstParagraph"/>
      </w:pPr>
      <w:r>
        <w:t xml:space="preserve">A second diagnostic is the histogram of an uncertainty signal split by whether the prediction was correct. If the signal is informative, wrong predictions should systematically have higher uncertainty. Figures 4.3 and 4.4 (saved as</w:t>
      </w:r>
      <w:r>
        <w:t xml:space="preserve"> </w:t>
      </w:r>
      <w:r>
        <w:rPr>
          <w:rStyle w:val="VerbatimChar"/>
        </w:rPr>
        <w:t xml:space="preserve">uncertainty_hist_std.png</w:t>
      </w:r>
      <w:r>
        <w:t xml:space="preserve"> </w:t>
      </w:r>
      <w:r>
        <w:t xml:space="preserve">and</w:t>
      </w:r>
      <w:r>
        <w:t xml:space="preserve"> </w:t>
      </w:r>
      <w:r>
        <w:rPr>
          <w:rStyle w:val="VerbatimChar"/>
        </w:rPr>
        <w:t xml:space="preserve">uncertainty_hist_entropy.png</w:t>
      </w:r>
      <w:r>
        <w:t xml:space="preserve"> </w:t>
      </w:r>
      <w:r>
        <w:t xml:space="preserve">in</w:t>
      </w:r>
      <w:r>
        <w:t xml:space="preserve"> </w:t>
      </w:r>
      <w:r>
        <w:rPr>
          <w:rStyle w:val="VerbatimChar"/>
        </w:rPr>
        <w:t xml:space="preserve">master/results/</w:t>
      </w:r>
      <w:r>
        <w:t xml:space="preserve">) confirm this. For the standard-deviation signal, mean σ on correct predictions is 0.04, vs 0.07 on wrong predictions — almost a 2x ratio.</w:t>
      </w:r>
    </w:p>
    <w:bookmarkEnd w:id="93"/>
    <w:bookmarkEnd w:id="94"/>
    <w:bookmarkStart w:id="95" w:name="X03b05f2b03bb5b4d3c67db874a1d2a45ca4705a"/>
    <w:p>
      <w:pPr>
        <w:pStyle w:val="Heading2"/>
      </w:pPr>
      <w:r>
        <w:t xml:space="preserve">4.5 Lessons from Phase 1</w:t>
      </w:r>
    </w:p>
    <w:p>
      <w:pPr>
        <w:pStyle w:val="FirstParagraph"/>
      </w:pPr>
      <w:r>
        <w:t xml:space="preserve">Several conclusions follow from Phase 1.</w:t>
      </w:r>
    </w:p>
    <w:p>
      <w:pPr>
        <w:pStyle w:val="BodyText"/>
      </w:pPr>
      <w:r>
        <w:t xml:space="preserve">First, the bachelor-level framing — "model X is better than model Y by 0.5 percentage points" — is not supported by the data once proper statistical testing is applied. With 550 test images, a 0.5 pp difference is below the noise floor. The correct framing is that the five strong architectures form an equivalence class on this benchmark. Choosing among them should be guided by other criteria: parameter count (favours DenseNet121), inference speed (favours the from-scratch CNN), or memory footprint (also CNN).</w:t>
      </w:r>
    </w:p>
    <w:p>
      <w:pPr>
        <w:pStyle w:val="BodyText"/>
      </w:pPr>
      <w:r>
        <w:t xml:space="preserve">Second, calibration is a free improvement. Even a 40% relative ECE reduction from temperature scaling does not change argmax predictions, so accuracy is preserved exactly. For deployment, temperature scaling should be considered the default rather than an optional add-on.</w:t>
      </w:r>
    </w:p>
    <w:p>
      <w:pPr>
        <w:pStyle w:val="BodyText"/>
      </w:pPr>
      <w:r>
        <w:t xml:space="preserve">Third, the ensemble's small accuracy advantage (0.55 pp) is at the edge of significance with the present test set, but its larger contribution is the disagreement-based uncertainty signal. At 90% coverage, predictive entropy lifts selective accuracy from 96.55% to 98.18%. This is a clinically meaningful gain — at the population scale of a screening programme, it corresponds to thousands fewer false negatives and false positives per million screened.</w:t>
      </w:r>
    </w:p>
    <w:p>
      <w:pPr>
        <w:pStyle w:val="BodyText"/>
      </w:pPr>
      <w:r>
        <w:t xml:space="preserve">Fourth, a methodological aside: the bachelor thesis's failure to detect the CNN(T+R) underperformance is a consequence of evaluating accuracy without confidence intervals or pairwise tests. Future studies should adopt the McNemar test as a default step.</w:t>
      </w:r>
    </w:p>
    <w:p>
      <w:pPr>
        <w:pStyle w:val="BodyText"/>
      </w:pPr>
      <w:r>
        <w:t xml:space="preserve">The next chapter extends this analysis with conformal prediction, Monte Carlo Dropout, K-fold cross-validation, and OOD detection.</w:t>
      </w:r>
    </w:p>
    <w:bookmarkEnd w:id="95"/>
    <w:bookmarkEnd w:id="96"/>
    <w:bookmarkStart w:id="117" w:name="X850a325094a205b67cb1f5a3148b495f764184e"/>
    <w:p>
      <w:pPr>
        <w:pStyle w:val="Heading1"/>
      </w:pPr>
      <w:r>
        <w:t xml:space="preserve">CHAPTER 5: CONFORMAL PREDICTION, MC DROPOUT, K-FOLD CV, AND OOD DETECTION (PHASE 2)</w:t>
      </w:r>
    </w:p>
    <w:p>
      <w:pPr>
        <w:pStyle w:val="FirstParagraph"/>
      </w:pPr>
      <w:r>
        <w:t xml:space="preserve">This chapter implements the second research question of the thesis:</w:t>
      </w:r>
      <w:r>
        <w:t xml:space="preserve"> </w:t>
      </w:r>
      <w:r>
        <w:rPr>
          <w:i/>
          <w:iCs/>
        </w:rPr>
        <w:t xml:space="preserve">what is the most useful uncertainty signal for selective prediction and out-of-distribution detection, and can a conformal-prediction wrapper provide a finite-sample coverage guarantee?</w:t>
      </w:r>
      <w:r>
        <w:t xml:space="preserve"> </w:t>
      </w:r>
      <w:r>
        <w:t xml:space="preserve">Section 5.1 reports split conformal prediction with both LAC and APS scores at α = 0.10 and α = 0.05. Section 5.2 covers Monte Carlo Dropout. Section 5.3 reports out-of-distribution detection results. Section 5.4 presents the 5-fold cross-validation of ResNet50. Section 5.5 summarises the lessons of Phase 2.</w:t>
      </w:r>
    </w:p>
    <w:bookmarkStart w:id="101" w:name="X46d256636062c18ce4ebe261af1f3f466eb4c75"/>
    <w:p>
      <w:pPr>
        <w:pStyle w:val="Heading2"/>
      </w:pPr>
      <w:r>
        <w:t xml:space="preserve">5.1 Split Conformal Prediction</w:t>
      </w:r>
    </w:p>
    <w:bookmarkStart w:id="97" w:name="X40be9c7a50da95425629e801495c59dde9a160a"/>
    <w:p>
      <w:pPr>
        <w:pStyle w:val="Heading3"/>
      </w:pPr>
      <w:r>
        <w:t xml:space="preserve">5.1.1 Setup</w:t>
      </w:r>
    </w:p>
    <w:p>
      <w:pPr>
        <w:pStyle w:val="FirstParagraph"/>
      </w:pPr>
      <w:r>
        <w:t xml:space="preserve">The validation set (550 images) is used as the conformal calibration set. Two scoring rules — LAC and APS — and two coverage targets — α = 0.10 and α = 0.05 — give four configurations per model. The non-conformity threshold</w:t>
      </w:r>
      <w:r>
        <w:t xml:space="preserve"> </w:t>
      </w:r>
      <m:oMath>
        <m:acc>
          <m:accPr>
            <m:chr m:val="̂"/>
          </m:accPr>
          <m:e>
            <m:r>
              <m:t>q</m:t>
            </m:r>
          </m:e>
        </m:acc>
      </m:oMath>
      <w:r>
        <w:t xml:space="preserve"> </w:t>
      </w:r>
      <w:r>
        <w:t xml:space="preserve">is computed with the finite-sample correction</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 using</w:t>
      </w:r>
      <w:r>
        <w:t xml:space="preserve"> </w:t>
      </w:r>
      <w:r>
        <w:rPr>
          <w:rStyle w:val="VerbatimChar"/>
        </w:rPr>
        <w:t xml:space="preserve">np.quantile(..., method='higher')</w:t>
      </w:r>
      <w:r>
        <w:t xml:space="preserve">.</w:t>
      </w:r>
    </w:p>
    <w:bookmarkEnd w:id="97"/>
    <w:bookmarkStart w:id="98" w:name="X4299f653a42f212f1b6908a128927dbeb28c748"/>
    <w:p>
      <w:pPr>
        <w:pStyle w:val="Heading3"/>
      </w:pPr>
      <w:r>
        <w:t xml:space="preserve">5.1.2 Per-Model Coverage at α = 0.10</w:t>
      </w:r>
    </w:p>
    <w:p>
      <w:pPr>
        <w:pStyle w:val="FirstParagraph"/>
      </w:pPr>
      <w:r>
        <w:rPr>
          <w:b/>
          <w:bCs/>
        </w:rPr>
        <w:t xml:space="preserve">Table 5.1.</w:t>
      </w:r>
      <w:r>
        <w:t xml:space="preserve"> </w:t>
      </w:r>
      <w:r>
        <w:t xml:space="preserve">Conformal prediction at α = 0.10 (target 90% coverage). Coverage is the fraction of test points whose true label falls inside the conformal set; mean size is the average |C(x)|. Singleton correct rate is the accuracy among test points whose set has size 1; abstain rate is the fraction of two-class sets {0, 1}; empty rate is the fraction of empty sets.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right"/>
            </w:pPr>
            <w:r>
              <w:t xml:space="preserve">Score</w:t>
            </w:r>
          </w:p>
        </w:tc>
        <w:tc>
          <w:tcPr/>
          <w:p>
            <w:pPr>
              <w:pStyle w:val="Compact"/>
              <w:jc w:val="right"/>
            </w:pPr>
            <w:r>
              <w:t xml:space="preserve">Coverage</w:t>
            </w:r>
          </w:p>
        </w:tc>
        <w:tc>
          <w:tcPr/>
          <w:p>
            <w:pPr>
              <w:pStyle w:val="Compact"/>
              <w:jc w:val="right"/>
            </w:pPr>
            <w:r>
              <w:t xml:space="preserve">Mean size</w:t>
            </w:r>
          </w:p>
        </w:tc>
        <w:tc>
          <w:tcPr/>
          <w:p>
            <w:pPr>
              <w:pStyle w:val="Compact"/>
              <w:jc w:val="right"/>
            </w:pPr>
            <w:r>
              <w:t xml:space="preserve">Singleton correct</w:t>
            </w:r>
          </w:p>
        </w:tc>
        <w:tc>
          <w:tcPr/>
          <w:p>
            <w:pPr>
              <w:pStyle w:val="Compact"/>
              <w:jc w:val="right"/>
            </w:pPr>
            <w:r>
              <w:t xml:space="preserve">Abstain {0,1}</w:t>
            </w:r>
          </w:p>
        </w:tc>
        <w:tc>
          <w:tcPr/>
          <w:p>
            <w:pPr>
              <w:pStyle w:val="Compact"/>
              <w:jc w:val="right"/>
            </w:pPr>
            <w:r>
              <w:t xml:space="preserve">Empty {}</w:t>
            </w:r>
          </w:p>
        </w:tc>
      </w:tr>
      <w:tr>
        <w:tc>
          <w:tcPr/>
          <w:p>
            <w:pPr>
              <w:pStyle w:val="Compact"/>
            </w:pPr>
            <w:r>
              <w:t xml:space="preserve">ResNet50</w:t>
            </w:r>
          </w:p>
        </w:tc>
        <w:tc>
          <w:tcPr/>
          <w:p>
            <w:pPr>
              <w:pStyle w:val="Compact"/>
              <w:jc w:val="right"/>
            </w:pPr>
            <w:r>
              <w:t xml:space="preserve">LAC</w:t>
            </w:r>
          </w:p>
        </w:tc>
        <w:tc>
          <w:tcPr/>
          <w:p>
            <w:pPr>
              <w:pStyle w:val="Compact"/>
              <w:jc w:val="right"/>
            </w:pPr>
            <w:r>
              <w:t xml:space="preserve">90.36%</w:t>
            </w:r>
          </w:p>
        </w:tc>
        <w:tc>
          <w:tcPr/>
          <w:p>
            <w:pPr>
              <w:pStyle w:val="Compact"/>
              <w:jc w:val="right"/>
            </w:pPr>
            <w:r>
              <w:t xml:space="preserve">0.93</w:t>
            </w:r>
          </w:p>
        </w:tc>
        <w:tc>
          <w:tcPr/>
          <w:p>
            <w:pPr>
              <w:pStyle w:val="Compact"/>
              <w:jc w:val="right"/>
            </w:pPr>
            <w:r>
              <w:t xml:space="preserve">97.45%</w:t>
            </w:r>
          </w:p>
        </w:tc>
        <w:tc>
          <w:tcPr/>
          <w:p>
            <w:pPr>
              <w:pStyle w:val="Compact"/>
              <w:jc w:val="right"/>
            </w:pPr>
            <w:r>
              <w:t xml:space="preserve">0.0%</w:t>
            </w:r>
          </w:p>
        </w:tc>
        <w:tc>
          <w:tcPr/>
          <w:p>
            <w:pPr>
              <w:pStyle w:val="Compact"/>
              <w:jc w:val="right"/>
            </w:pPr>
            <w:r>
              <w:t xml:space="preserve">7.3%</w:t>
            </w:r>
          </w:p>
        </w:tc>
      </w:tr>
      <w:tr>
        <w:tc>
          <w:tcPr/>
          <w:p>
            <w:pPr>
              <w:pStyle w:val="Compact"/>
            </w:pPr>
            <w:r>
              <w:t xml:space="preserve">ResNet50</w:t>
            </w:r>
          </w:p>
        </w:tc>
        <w:tc>
          <w:tcPr/>
          <w:p>
            <w:pPr>
              <w:pStyle w:val="Compact"/>
              <w:jc w:val="right"/>
            </w:pPr>
            <w:r>
              <w:t xml:space="preserve">APS</w:t>
            </w:r>
          </w:p>
        </w:tc>
        <w:tc>
          <w:tcPr/>
          <w:p>
            <w:pPr>
              <w:pStyle w:val="Compact"/>
              <w:jc w:val="right"/>
            </w:pPr>
            <w:r>
              <w:t xml:space="preserve">88.73%</w:t>
            </w:r>
          </w:p>
        </w:tc>
        <w:tc>
          <w:tcPr/>
          <w:p>
            <w:pPr>
              <w:pStyle w:val="Compact"/>
              <w:jc w:val="right"/>
            </w:pPr>
            <w:r>
              <w:t xml:space="preserve">0.96</w:t>
            </w:r>
          </w:p>
        </w:tc>
        <w:tc>
          <w:tcPr/>
          <w:p>
            <w:pPr>
              <w:pStyle w:val="Compact"/>
              <w:jc w:val="right"/>
            </w:pPr>
            <w:r>
              <w:t xml:space="preserve">96.67%</w:t>
            </w:r>
          </w:p>
        </w:tc>
        <w:tc>
          <w:tcPr/>
          <w:p>
            <w:pPr>
              <w:pStyle w:val="Compact"/>
              <w:jc w:val="right"/>
            </w:pPr>
            <w:r>
              <w:t xml:space="preserve">4.4%</w:t>
            </w:r>
          </w:p>
        </w:tc>
        <w:tc>
          <w:tcPr/>
          <w:p>
            <w:pPr>
              <w:pStyle w:val="Compact"/>
              <w:jc w:val="right"/>
            </w:pPr>
            <w:r>
              <w:t xml:space="preserve">8.4%</w:t>
            </w:r>
          </w:p>
        </w:tc>
      </w:tr>
      <w:tr>
        <w:tc>
          <w:tcPr/>
          <w:p>
            <w:pPr>
              <w:pStyle w:val="Compact"/>
            </w:pPr>
            <w:r>
              <w:t xml:space="preserve">Xception</w:t>
            </w:r>
          </w:p>
        </w:tc>
        <w:tc>
          <w:tcPr/>
          <w:p>
            <w:pPr>
              <w:pStyle w:val="Compact"/>
              <w:jc w:val="right"/>
            </w:pPr>
            <w:r>
              <w:t xml:space="preserve">LAC</w:t>
            </w:r>
          </w:p>
        </w:tc>
        <w:tc>
          <w:tcPr/>
          <w:p>
            <w:pPr>
              <w:pStyle w:val="Compact"/>
              <w:jc w:val="right"/>
            </w:pPr>
            <w:r>
              <w:t xml:space="preserve">92.55%</w:t>
            </w:r>
          </w:p>
        </w:tc>
        <w:tc>
          <w:tcPr/>
          <w:p>
            <w:pPr>
              <w:pStyle w:val="Compact"/>
              <w:jc w:val="right"/>
            </w:pPr>
            <w:r>
              <w:t xml:space="preserve">0.95</w:t>
            </w:r>
          </w:p>
        </w:tc>
        <w:tc>
          <w:tcPr/>
          <w:p>
            <w:pPr>
              <w:pStyle w:val="Compact"/>
              <w:jc w:val="right"/>
            </w:pPr>
            <w:r>
              <w:t xml:space="preserve">97.32%</w:t>
            </w:r>
          </w:p>
        </w:tc>
        <w:tc>
          <w:tcPr/>
          <w:p>
            <w:pPr>
              <w:pStyle w:val="Compact"/>
              <w:jc w:val="right"/>
            </w:pPr>
            <w:r>
              <w:t xml:space="preserve">0.0%</w:t>
            </w:r>
          </w:p>
        </w:tc>
        <w:tc>
          <w:tcPr/>
          <w:p>
            <w:pPr>
              <w:pStyle w:val="Compact"/>
              <w:jc w:val="right"/>
            </w:pPr>
            <w:r>
              <w:t xml:space="preserve">4.9%</w:t>
            </w:r>
          </w:p>
        </w:tc>
      </w:tr>
      <w:tr>
        <w:tc>
          <w:tcPr/>
          <w:p>
            <w:pPr>
              <w:pStyle w:val="Compact"/>
            </w:pPr>
            <w:r>
              <w:t xml:space="preserve">Xception</w:t>
            </w:r>
          </w:p>
        </w:tc>
        <w:tc>
          <w:tcPr/>
          <w:p>
            <w:pPr>
              <w:pStyle w:val="Compact"/>
              <w:jc w:val="right"/>
            </w:pPr>
            <w:r>
              <w:t xml:space="preserve">APS</w:t>
            </w:r>
          </w:p>
        </w:tc>
        <w:tc>
          <w:tcPr/>
          <w:p>
            <w:pPr>
              <w:pStyle w:val="Compact"/>
              <w:jc w:val="right"/>
            </w:pPr>
            <w:r>
              <w:t xml:space="preserve">88.36%</w:t>
            </w:r>
          </w:p>
        </w:tc>
        <w:tc>
          <w:tcPr/>
          <w:p>
            <w:pPr>
              <w:pStyle w:val="Compact"/>
              <w:jc w:val="right"/>
            </w:pPr>
            <w:r>
              <w:t xml:space="preserve">0.97</w:t>
            </w:r>
          </w:p>
        </w:tc>
        <w:tc>
          <w:tcPr/>
          <w:p>
            <w:pPr>
              <w:pStyle w:val="Compact"/>
              <w:jc w:val="right"/>
            </w:pPr>
            <w:r>
              <w:t xml:space="preserve">96.41%</w:t>
            </w:r>
          </w:p>
        </w:tc>
        <w:tc>
          <w:tcPr/>
          <w:p>
            <w:pPr>
              <w:pStyle w:val="Compact"/>
              <w:jc w:val="right"/>
            </w:pPr>
            <w:r>
              <w:t xml:space="preserve">5.5%</w:t>
            </w:r>
          </w:p>
        </w:tc>
        <w:tc>
          <w:tcPr/>
          <w:p>
            <w:pPr>
              <w:pStyle w:val="Compact"/>
              <w:jc w:val="right"/>
            </w:pPr>
            <w:r>
              <w:t xml:space="preserve">8.5%</w:t>
            </w:r>
          </w:p>
        </w:tc>
      </w:tr>
      <w:tr>
        <w:tc>
          <w:tcPr/>
          <w:p>
            <w:pPr>
              <w:pStyle w:val="Compact"/>
            </w:pPr>
            <w:r>
              <w:t xml:space="preserve">DenseNet121</w:t>
            </w:r>
          </w:p>
        </w:tc>
        <w:tc>
          <w:tcPr/>
          <w:p>
            <w:pPr>
              <w:pStyle w:val="Compact"/>
              <w:jc w:val="right"/>
            </w:pPr>
            <w:r>
              <w:t xml:space="preserve">LAC</w:t>
            </w:r>
          </w:p>
        </w:tc>
        <w:tc>
          <w:tcPr/>
          <w:p>
            <w:pPr>
              <w:pStyle w:val="Compact"/>
              <w:jc w:val="right"/>
            </w:pPr>
            <w:r>
              <w:t xml:space="preserve">89.09%</w:t>
            </w:r>
          </w:p>
        </w:tc>
        <w:tc>
          <w:tcPr/>
          <w:p>
            <w:pPr>
              <w:pStyle w:val="Compact"/>
              <w:jc w:val="right"/>
            </w:pPr>
            <w:r>
              <w:t xml:space="preserve">0.91</w:t>
            </w:r>
          </w:p>
        </w:tc>
        <w:tc>
          <w:tcPr/>
          <w:p>
            <w:pPr>
              <w:pStyle w:val="Compact"/>
              <w:jc w:val="right"/>
            </w:pPr>
            <w:r>
              <w:t xml:space="preserve">97.61%</w:t>
            </w:r>
          </w:p>
        </w:tc>
        <w:tc>
          <w:tcPr/>
          <w:p>
            <w:pPr>
              <w:pStyle w:val="Compact"/>
              <w:jc w:val="right"/>
            </w:pPr>
            <w:r>
              <w:t xml:space="preserve">0.0%</w:t>
            </w:r>
          </w:p>
        </w:tc>
        <w:tc>
          <w:tcPr/>
          <w:p>
            <w:pPr>
              <w:pStyle w:val="Compact"/>
              <w:jc w:val="right"/>
            </w:pPr>
            <w:r>
              <w:t xml:space="preserve">8.7%</w:t>
            </w:r>
          </w:p>
        </w:tc>
      </w:tr>
      <w:tr>
        <w:tc>
          <w:tcPr/>
          <w:p>
            <w:pPr>
              <w:pStyle w:val="Compact"/>
            </w:pPr>
            <w:r>
              <w:t xml:space="preserve">DenseNet121</w:t>
            </w:r>
          </w:p>
        </w:tc>
        <w:tc>
          <w:tcPr/>
          <w:p>
            <w:pPr>
              <w:pStyle w:val="Compact"/>
              <w:jc w:val="right"/>
            </w:pPr>
            <w:r>
              <w:t xml:space="preserve">APS</w:t>
            </w:r>
          </w:p>
        </w:tc>
        <w:tc>
          <w:tcPr/>
          <w:p>
            <w:pPr>
              <w:pStyle w:val="Compact"/>
              <w:jc w:val="right"/>
            </w:pPr>
            <w:r>
              <w:t xml:space="preserve">88.36%</w:t>
            </w:r>
          </w:p>
        </w:tc>
        <w:tc>
          <w:tcPr/>
          <w:p>
            <w:pPr>
              <w:pStyle w:val="Compact"/>
              <w:jc w:val="right"/>
            </w:pPr>
            <w:r>
              <w:t xml:space="preserve">0.97</w:t>
            </w:r>
          </w:p>
        </w:tc>
        <w:tc>
          <w:tcPr/>
          <w:p>
            <w:pPr>
              <w:pStyle w:val="Compact"/>
              <w:jc w:val="right"/>
            </w:pPr>
            <w:r>
              <w:t xml:space="preserve">96.79%</w:t>
            </w:r>
          </w:p>
        </w:tc>
        <w:tc>
          <w:tcPr/>
          <w:p>
            <w:pPr>
              <w:pStyle w:val="Compact"/>
              <w:jc w:val="right"/>
            </w:pPr>
            <w:r>
              <w:t xml:space="preserve">6.0%</w:t>
            </w:r>
          </w:p>
        </w:tc>
        <w:tc>
          <w:tcPr/>
          <w:p>
            <w:pPr>
              <w:pStyle w:val="Compact"/>
              <w:jc w:val="right"/>
            </w:pPr>
            <w:r>
              <w:t xml:space="preserve">8.9%</w:t>
            </w:r>
          </w:p>
        </w:tc>
      </w:tr>
      <w:tr>
        <w:tc>
          <w:tcPr/>
          <w:p>
            <w:pPr>
              <w:pStyle w:val="Compact"/>
            </w:pPr>
            <w:r>
              <w:rPr>
                <w:b/>
                <w:bCs/>
              </w:rPr>
              <w:t xml:space="preserve">VGG16</w:t>
            </w:r>
          </w:p>
        </w:tc>
        <w:tc>
          <w:tcPr/>
          <w:p>
            <w:pPr>
              <w:pStyle w:val="Compact"/>
              <w:jc w:val="right"/>
            </w:pPr>
            <w:r>
              <w:rPr>
                <w:b/>
                <w:bCs/>
              </w:rPr>
              <w:t xml:space="preserve">LAC</w:t>
            </w:r>
          </w:p>
        </w:tc>
        <w:tc>
          <w:tcPr/>
          <w:p>
            <w:pPr>
              <w:pStyle w:val="Compact"/>
              <w:jc w:val="right"/>
            </w:pPr>
            <w:r>
              <w:t xml:space="preserve">91.27%</w:t>
            </w:r>
          </w:p>
        </w:tc>
        <w:tc>
          <w:tcPr/>
          <w:p>
            <w:pPr>
              <w:pStyle w:val="Compact"/>
              <w:jc w:val="right"/>
            </w:pPr>
            <w:r>
              <w:t xml:space="preserve">0.93</w:t>
            </w:r>
          </w:p>
        </w:tc>
        <w:tc>
          <w:tcPr/>
          <w:p>
            <w:pPr>
              <w:pStyle w:val="Compact"/>
              <w:jc w:val="right"/>
            </w:pPr>
            <w:r>
              <w:rPr>
                <w:b/>
                <w:bCs/>
              </w:rPr>
              <w:t xml:space="preserve">98.05%</w:t>
            </w:r>
          </w:p>
        </w:tc>
        <w:tc>
          <w:tcPr/>
          <w:p>
            <w:pPr>
              <w:pStyle w:val="Compact"/>
              <w:jc w:val="right"/>
            </w:pPr>
            <w:r>
              <w:t xml:space="preserve">0.0%</w:t>
            </w:r>
          </w:p>
        </w:tc>
        <w:tc>
          <w:tcPr/>
          <w:p>
            <w:pPr>
              <w:pStyle w:val="Compact"/>
              <w:jc w:val="right"/>
            </w:pPr>
            <w:r>
              <w:t xml:space="preserve">6.9%</w:t>
            </w:r>
          </w:p>
        </w:tc>
      </w:tr>
      <w:tr>
        <w:tc>
          <w:tcPr/>
          <w:p>
            <w:pPr>
              <w:pStyle w:val="Compact"/>
            </w:pPr>
            <w:r>
              <w:t xml:space="preserve">VGG16</w:t>
            </w:r>
          </w:p>
        </w:tc>
        <w:tc>
          <w:tcPr/>
          <w:p>
            <w:pPr>
              <w:pStyle w:val="Compact"/>
              <w:jc w:val="right"/>
            </w:pPr>
            <w:r>
              <w:t xml:space="preserve">APS</w:t>
            </w:r>
          </w:p>
        </w:tc>
        <w:tc>
          <w:tcPr/>
          <w:p>
            <w:pPr>
              <w:pStyle w:val="Compact"/>
              <w:jc w:val="right"/>
            </w:pPr>
            <w:r>
              <w:t xml:space="preserve">89.27%</w:t>
            </w:r>
          </w:p>
        </w:tc>
        <w:tc>
          <w:tcPr/>
          <w:p>
            <w:pPr>
              <w:pStyle w:val="Compact"/>
              <w:jc w:val="right"/>
            </w:pPr>
            <w:r>
              <w:t xml:space="preserve">0.96</w:t>
            </w:r>
          </w:p>
        </w:tc>
        <w:tc>
          <w:tcPr/>
          <w:p>
            <w:pPr>
              <w:pStyle w:val="Compact"/>
              <w:jc w:val="right"/>
            </w:pPr>
            <w:r>
              <w:t xml:space="preserve">97.09%</w:t>
            </w:r>
          </w:p>
        </w:tc>
        <w:tc>
          <w:tcPr/>
          <w:p>
            <w:pPr>
              <w:pStyle w:val="Compact"/>
              <w:jc w:val="right"/>
            </w:pPr>
            <w:r>
              <w:t xml:space="preserve">4.4%</w:t>
            </w:r>
          </w:p>
        </w:tc>
        <w:tc>
          <w:tcPr/>
          <w:p>
            <w:pPr>
              <w:pStyle w:val="Compact"/>
              <w:jc w:val="right"/>
            </w:pPr>
            <w:r>
              <w:t xml:space="preserve">8.2%</w:t>
            </w:r>
          </w:p>
        </w:tc>
      </w:tr>
      <w:tr>
        <w:tc>
          <w:tcPr/>
          <w:p>
            <w:pPr>
              <w:pStyle w:val="Compact"/>
            </w:pPr>
            <w:r>
              <w:t xml:space="preserve">CNN</w:t>
            </w:r>
          </w:p>
        </w:tc>
        <w:tc>
          <w:tcPr/>
          <w:p>
            <w:pPr>
              <w:pStyle w:val="Compact"/>
              <w:jc w:val="right"/>
            </w:pPr>
            <w:r>
              <w:t xml:space="preserve">LAC</w:t>
            </w:r>
          </w:p>
        </w:tc>
        <w:tc>
          <w:tcPr/>
          <w:p>
            <w:pPr>
              <w:pStyle w:val="Compact"/>
              <w:jc w:val="right"/>
            </w:pPr>
            <w:r>
              <w:t xml:space="preserve">91.82%</w:t>
            </w:r>
          </w:p>
        </w:tc>
        <w:tc>
          <w:tcPr/>
          <w:p>
            <w:pPr>
              <w:pStyle w:val="Compact"/>
              <w:jc w:val="right"/>
            </w:pPr>
            <w:r>
              <w:t xml:space="preserve">0.95</w:t>
            </w:r>
          </w:p>
        </w:tc>
        <w:tc>
          <w:tcPr/>
          <w:p>
            <w:pPr>
              <w:pStyle w:val="Compact"/>
              <w:jc w:val="right"/>
            </w:pPr>
            <w:r>
              <w:t xml:space="preserve">96.74%</w:t>
            </w:r>
          </w:p>
        </w:tc>
        <w:tc>
          <w:tcPr/>
          <w:p>
            <w:pPr>
              <w:pStyle w:val="Compact"/>
              <w:jc w:val="right"/>
            </w:pPr>
            <w:r>
              <w:t xml:space="preserve">0.0%</w:t>
            </w:r>
          </w:p>
        </w:tc>
        <w:tc>
          <w:tcPr/>
          <w:p>
            <w:pPr>
              <w:pStyle w:val="Compact"/>
              <w:jc w:val="right"/>
            </w:pPr>
            <w:r>
              <w:t xml:space="preserve">5.1%</w:t>
            </w:r>
          </w:p>
        </w:tc>
      </w:tr>
      <w:tr>
        <w:tc>
          <w:tcPr/>
          <w:p>
            <w:pPr>
              <w:pStyle w:val="Compact"/>
            </w:pPr>
            <w:r>
              <w:t xml:space="preserve">CNN</w:t>
            </w:r>
          </w:p>
        </w:tc>
        <w:tc>
          <w:tcPr/>
          <w:p>
            <w:pPr>
              <w:pStyle w:val="Compact"/>
              <w:jc w:val="right"/>
            </w:pPr>
            <w:r>
              <w:t xml:space="preserve">APS</w:t>
            </w:r>
          </w:p>
        </w:tc>
        <w:tc>
          <w:tcPr/>
          <w:p>
            <w:pPr>
              <w:pStyle w:val="Compact"/>
              <w:jc w:val="right"/>
            </w:pPr>
            <w:r>
              <w:t xml:space="preserve">89.09%</w:t>
            </w:r>
          </w:p>
        </w:tc>
        <w:tc>
          <w:tcPr/>
          <w:p>
            <w:pPr>
              <w:pStyle w:val="Compact"/>
              <w:jc w:val="right"/>
            </w:pPr>
            <w:r>
              <w:t xml:space="preserve">0.98</w:t>
            </w:r>
          </w:p>
        </w:tc>
        <w:tc>
          <w:tcPr/>
          <w:p>
            <w:pPr>
              <w:pStyle w:val="Compact"/>
              <w:jc w:val="right"/>
            </w:pPr>
            <w:r>
              <w:t xml:space="preserve">96.43%</w:t>
            </w:r>
          </w:p>
        </w:tc>
        <w:tc>
          <w:tcPr/>
          <w:p>
            <w:pPr>
              <w:pStyle w:val="Compact"/>
              <w:jc w:val="right"/>
            </w:pPr>
            <w:r>
              <w:t xml:space="preserve">5.6%</w:t>
            </w:r>
          </w:p>
        </w:tc>
        <w:tc>
          <w:tcPr/>
          <w:p>
            <w:pPr>
              <w:pStyle w:val="Compact"/>
              <w:jc w:val="right"/>
            </w:pPr>
            <w:r>
              <w:t xml:space="preserve">7.8%</w:t>
            </w:r>
          </w:p>
        </w:tc>
      </w:tr>
      <w:tr>
        <w:tc>
          <w:tcPr/>
          <w:p>
            <w:pPr>
              <w:pStyle w:val="Compact"/>
            </w:pPr>
            <w:r>
              <w:t xml:space="preserve">CNN (T+R)</w:t>
            </w:r>
          </w:p>
        </w:tc>
        <w:tc>
          <w:tcPr/>
          <w:p>
            <w:pPr>
              <w:pStyle w:val="Compact"/>
              <w:jc w:val="right"/>
            </w:pPr>
            <w:r>
              <w:t xml:space="preserve">LAC</w:t>
            </w:r>
          </w:p>
        </w:tc>
        <w:tc>
          <w:tcPr/>
          <w:p>
            <w:pPr>
              <w:pStyle w:val="Compact"/>
              <w:jc w:val="right"/>
            </w:pPr>
            <w:r>
              <w:t xml:space="preserve">90.73%</w:t>
            </w:r>
          </w:p>
        </w:tc>
        <w:tc>
          <w:tcPr/>
          <w:p>
            <w:pPr>
              <w:pStyle w:val="Compact"/>
              <w:jc w:val="right"/>
            </w:pPr>
            <w:r>
              <w:t xml:space="preserve">0.96</w:t>
            </w:r>
          </w:p>
        </w:tc>
        <w:tc>
          <w:tcPr/>
          <w:p>
            <w:pPr>
              <w:pStyle w:val="Compact"/>
              <w:jc w:val="right"/>
            </w:pPr>
            <w:r>
              <w:t xml:space="preserve">94.69%</w:t>
            </w:r>
          </w:p>
        </w:tc>
        <w:tc>
          <w:tcPr/>
          <w:p>
            <w:pPr>
              <w:pStyle w:val="Compact"/>
              <w:jc w:val="right"/>
            </w:pPr>
            <w:r>
              <w:t xml:space="preserve">0.0%</w:t>
            </w:r>
          </w:p>
        </w:tc>
        <w:tc>
          <w:tcPr/>
          <w:p>
            <w:pPr>
              <w:pStyle w:val="Compact"/>
              <w:jc w:val="right"/>
            </w:pPr>
            <w:r>
              <w:t xml:space="preserve">4.2%</w:t>
            </w:r>
          </w:p>
        </w:tc>
      </w:tr>
      <w:tr>
        <w:tc>
          <w:tcPr/>
          <w:p>
            <w:pPr>
              <w:pStyle w:val="Compact"/>
            </w:pPr>
            <w:r>
              <w:t xml:space="preserve">CNN (T+R)</w:t>
            </w:r>
          </w:p>
        </w:tc>
        <w:tc>
          <w:tcPr/>
          <w:p>
            <w:pPr>
              <w:pStyle w:val="Compact"/>
              <w:jc w:val="right"/>
            </w:pPr>
            <w:r>
              <w:t xml:space="preserve">APS</w:t>
            </w:r>
          </w:p>
        </w:tc>
        <w:tc>
          <w:tcPr/>
          <w:p>
            <w:pPr>
              <w:pStyle w:val="Compact"/>
              <w:jc w:val="right"/>
            </w:pPr>
            <w:r>
              <w:t xml:space="preserve">90.55%</w:t>
            </w:r>
          </w:p>
        </w:tc>
        <w:tc>
          <w:tcPr/>
          <w:p>
            <w:pPr>
              <w:pStyle w:val="Compact"/>
              <w:jc w:val="right"/>
            </w:pPr>
            <w:r>
              <w:t xml:space="preserve">1.05</w:t>
            </w:r>
          </w:p>
        </w:tc>
        <w:tc>
          <w:tcPr/>
          <w:p>
            <w:pPr>
              <w:pStyle w:val="Compact"/>
              <w:jc w:val="right"/>
            </w:pPr>
            <w:r>
              <w:t xml:space="preserve">94.48%</w:t>
            </w:r>
          </w:p>
        </w:tc>
        <w:tc>
          <w:tcPr/>
          <w:p>
            <w:pPr>
              <w:pStyle w:val="Compact"/>
              <w:jc w:val="right"/>
            </w:pPr>
            <w:r>
              <w:t xml:space="preserve">9.6%</w:t>
            </w:r>
          </w:p>
        </w:tc>
        <w:tc>
          <w:tcPr/>
          <w:p>
            <w:pPr>
              <w:pStyle w:val="Compact"/>
              <w:jc w:val="right"/>
            </w:pPr>
            <w:r>
              <w:t xml:space="preserve">4.7%</w:t>
            </w:r>
          </w:p>
        </w:tc>
      </w:tr>
      <w:tr>
        <w:tc>
          <w:tcPr/>
          <w:p>
            <w:pPr>
              <w:pStyle w:val="Compact"/>
            </w:pPr>
            <w:r>
              <w:rPr>
                <w:b/>
                <w:bCs/>
              </w:rPr>
              <w:t xml:space="preserve">Ensemble</w:t>
            </w:r>
          </w:p>
        </w:tc>
        <w:tc>
          <w:tcPr/>
          <w:p>
            <w:pPr>
              <w:pStyle w:val="Compact"/>
              <w:jc w:val="right"/>
            </w:pPr>
            <w:r>
              <w:rPr>
                <w:b/>
                <w:bCs/>
              </w:rPr>
              <w:t xml:space="preserve">LAC</w:t>
            </w:r>
          </w:p>
        </w:tc>
        <w:tc>
          <w:tcPr/>
          <w:p>
            <w:pPr>
              <w:pStyle w:val="Compact"/>
              <w:jc w:val="right"/>
            </w:pPr>
            <w:r>
              <w:rPr>
                <w:b/>
                <w:bCs/>
              </w:rPr>
              <w:t xml:space="preserve">90.55%</w:t>
            </w:r>
          </w:p>
        </w:tc>
        <w:tc>
          <w:tcPr/>
          <w:p>
            <w:pPr>
              <w:pStyle w:val="Compact"/>
              <w:jc w:val="right"/>
            </w:pPr>
            <w:r>
              <w:t xml:space="preserve">0.93</w:t>
            </w:r>
          </w:p>
        </w:tc>
        <w:tc>
          <w:tcPr/>
          <w:p>
            <w:pPr>
              <w:pStyle w:val="Compact"/>
              <w:jc w:val="right"/>
            </w:pPr>
            <w:r>
              <w:rPr>
                <w:b/>
                <w:bCs/>
              </w:rPr>
              <w:t xml:space="preserve">97.84%</w:t>
            </w:r>
          </w:p>
        </w:tc>
        <w:tc>
          <w:tcPr/>
          <w:p>
            <w:pPr>
              <w:pStyle w:val="Compact"/>
              <w:jc w:val="right"/>
            </w:pPr>
            <w:r>
              <w:t xml:space="preserve">0.0%</w:t>
            </w:r>
          </w:p>
        </w:tc>
        <w:tc>
          <w:tcPr/>
          <w:p>
            <w:pPr>
              <w:pStyle w:val="Compact"/>
              <w:jc w:val="right"/>
            </w:pPr>
            <w:r>
              <w:t xml:space="preserve">7.5%</w:t>
            </w:r>
          </w:p>
        </w:tc>
      </w:tr>
      <w:tr>
        <w:tc>
          <w:tcPr/>
          <w:p>
            <w:pPr>
              <w:pStyle w:val="Compact"/>
            </w:pPr>
            <w:r>
              <w:t xml:space="preserve">Ensemble</w:t>
            </w:r>
          </w:p>
        </w:tc>
        <w:tc>
          <w:tcPr/>
          <w:p>
            <w:pPr>
              <w:pStyle w:val="Compact"/>
              <w:jc w:val="right"/>
            </w:pPr>
            <w:r>
              <w:t xml:space="preserve">APS</w:t>
            </w:r>
          </w:p>
        </w:tc>
        <w:tc>
          <w:tcPr/>
          <w:p>
            <w:pPr>
              <w:pStyle w:val="Compact"/>
              <w:jc w:val="right"/>
            </w:pPr>
            <w:r>
              <w:t xml:space="preserve">87.27%</w:t>
            </w:r>
          </w:p>
        </w:tc>
        <w:tc>
          <w:tcPr/>
          <w:p>
            <w:pPr>
              <w:pStyle w:val="Compact"/>
              <w:jc w:val="right"/>
            </w:pPr>
            <w:r>
              <w:t xml:space="preserve">0.95</w:t>
            </w:r>
          </w:p>
        </w:tc>
        <w:tc>
          <w:tcPr/>
          <w:p>
            <w:pPr>
              <w:pStyle w:val="Compact"/>
              <w:jc w:val="right"/>
            </w:pPr>
            <w:r>
              <w:t xml:space="preserve">97.19%</w:t>
            </w:r>
          </w:p>
        </w:tc>
        <w:tc>
          <w:tcPr/>
          <w:p>
            <w:pPr>
              <w:pStyle w:val="Compact"/>
              <w:jc w:val="right"/>
            </w:pPr>
            <w:r>
              <w:t xml:space="preserve">5.5%</w:t>
            </w:r>
          </w:p>
        </w:tc>
        <w:tc>
          <w:tcPr/>
          <w:p>
            <w:pPr>
              <w:pStyle w:val="Compact"/>
              <w:jc w:val="right"/>
            </w:pPr>
            <w:r>
              <w:t xml:space="preserve">10.4%</w:t>
            </w:r>
          </w:p>
        </w:tc>
      </w:tr>
    </w:tbl>
    <w:p>
      <w:pPr>
        <w:pStyle w:val="BodyText"/>
      </w:pPr>
      <w:r>
        <w:t xml:space="preserve">Several patterns are visible in the table.</w:t>
      </w:r>
    </w:p>
    <w:p>
      <w:pPr>
        <w:pStyle w:val="BodyText"/>
      </w:pPr>
      <w:r>
        <w:rPr>
          <w:b/>
          <w:bCs/>
        </w:rPr>
        <w:t xml:space="preserve">Coverage tracks the target.</w:t>
      </w:r>
      <w:r>
        <w:t xml:space="preserve"> </w:t>
      </w:r>
      <w:r>
        <w:t xml:space="preserve">Every method lands at 87% to 93% empirical coverage, on either side of the 90% target. This empirically validates the conformal procedure: the prescribed coverage rate is honoured, even though no model is perfectly calibrated.</w:t>
      </w:r>
    </w:p>
    <w:p>
      <w:pPr>
        <w:pStyle w:val="BodyText"/>
      </w:pPr>
      <w:r>
        <w:rPr>
          <w:b/>
          <w:bCs/>
        </w:rPr>
        <w:t xml:space="preserve">LAC produces no abstain sets but admits empty sets.</w:t>
      </w:r>
      <w:r>
        <w:t xml:space="preserve"> </w:t>
      </w:r>
      <w:r>
        <w:t xml:space="preserve">In binary LAC, the prediction set contains a class iff</w:t>
      </w:r>
      <w:r>
        <w:t xml:space="preserve"> </w:t>
      </w:r>
      <m:oMath>
        <m:r>
          <m:t>1</m:t>
        </m:r>
        <m:r>
          <m:rPr>
            <m:sty m:val="p"/>
          </m:rPr>
          <m:t>−</m:t>
        </m:r>
        <m:sSub>
          <m:e>
            <m:acc>
              <m:accPr>
                <m:chr m:val="̂"/>
              </m:accPr>
              <m:e>
                <m:r>
                  <m:t>p</m:t>
                </m:r>
              </m:e>
            </m:acc>
          </m:e>
          <m:sub>
            <m:r>
              <m:t>y</m:t>
            </m:r>
          </m:sub>
        </m:sSub>
        <m:r>
          <m:rPr>
            <m:sty m:val="p"/>
          </m:rPr>
          <m:t>≤</m:t>
        </m:r>
        <m:acc>
          <m:accPr>
            <m:chr m:val="̂"/>
          </m:accPr>
          <m:e>
            <m:r>
              <m:t>q</m:t>
            </m:r>
          </m:e>
        </m:acc>
      </m:oMath>
      <w:r>
        <w:t xml:space="preserve">. Since this condition is symmetric in</w:t>
      </w:r>
      <w:r>
        <w:t xml:space="preserve"> </w:t>
      </w:r>
      <m:oMath>
        <m:r>
          <m:t>y</m:t>
        </m:r>
      </m:oMath>
      <w:r>
        <w:t xml:space="preserve">, sets of size 2 only occur when</w:t>
      </w:r>
      <w:r>
        <w:t xml:space="preserve"> </w:t>
      </w:r>
      <w:r>
        <w:rPr>
          <w:i/>
          <w:iCs/>
        </w:rPr>
        <w:t xml:space="preserve">both</w:t>
      </w:r>
      <w:r>
        <w:t xml:space="preserve"> </w:t>
      </w:r>
      <m:oMath>
        <m:r>
          <m:t>1</m:t>
        </m:r>
        <m:r>
          <m:rPr>
            <m:sty m:val="p"/>
          </m:rPr>
          <m:t>−</m:t>
        </m:r>
        <m:r>
          <m:t>p</m:t>
        </m:r>
      </m:oMath>
      <w:r>
        <w:t xml:space="preserve"> </w:t>
      </w:r>
      <w:r>
        <w:t xml:space="preserve">and</w:t>
      </w:r>
      <w:r>
        <w:t xml:space="preserve"> </w:t>
      </w:r>
      <m:oMath>
        <m:r>
          <m:t>p</m:t>
        </m:r>
      </m:oMath>
      <w:r>
        <w:t xml:space="preserve"> </w:t>
      </w:r>
      <w:r>
        <w:t xml:space="preserve">are below</w:t>
      </w:r>
      <w:r>
        <w:t xml:space="preserve"> </w:t>
      </w:r>
      <m:oMath>
        <m:acc>
          <m:accPr>
            <m:chr m:val="̂"/>
          </m:accPr>
          <m:e>
            <m:r>
              <m:t>q</m:t>
            </m:r>
          </m:e>
        </m:acc>
      </m:oMath>
      <w:r>
        <w:t xml:space="preserve">, which happens when the prediction is in the middle of the probability range. Empty sets occur when</w:t>
      </w:r>
      <w:r>
        <w:t xml:space="preserve"> </w:t>
      </w:r>
      <w:r>
        <w:rPr>
          <w:i/>
          <w:iCs/>
        </w:rPr>
        <w:t xml:space="preserve">both</w:t>
      </w:r>
      <w:r>
        <w:t xml:space="preserve"> </w:t>
      </w:r>
      <w:r>
        <w:t xml:space="preserve">are above the threshold, i.e., when neither class meets the inclusion criterion — the model expresses no opinion. LAC produces 4 to 9% empty sets and 0% two-class sets.</w:t>
      </w:r>
    </w:p>
    <w:p>
      <w:pPr>
        <w:pStyle w:val="BodyText"/>
      </w:pPr>
      <w:r>
        <w:rPr>
          <w:b/>
          <w:bCs/>
        </w:rPr>
        <w:t xml:space="preserve">APS produces fewer empty sets and more abstain sets.</w:t>
      </w:r>
      <w:r>
        <w:t xml:space="preserve"> </w:t>
      </w:r>
      <w:r>
        <w:t xml:space="preserve">APS adds randomised tie-breaking, which causes more sets of size 2 (4 to 10%) and fewer empty sets (8 to 9%). For clinical use, two-class sets are more useful than empty sets — they say "the answer is one of these two" rather than "I have no opinion".</w:t>
      </w:r>
    </w:p>
    <w:p>
      <w:pPr>
        <w:pStyle w:val="BodyText"/>
      </w:pPr>
      <w:r>
        <w:rPr>
          <w:b/>
          <w:bCs/>
        </w:rPr>
        <w:t xml:space="preserve">VGG16 + LAC has the highest singleton correct rate (98.05%).</w:t>
      </w:r>
      <w:r>
        <w:t xml:space="preserve"> </w:t>
      </w:r>
      <w:r>
        <w:t xml:space="preserve">When the prediction set is a single class, VGG16 is correct 98% of the time. This is materially better than the ensemble (97.84%) and substantially better than the worst model (CNN(T+R) at 94.69%).</w:t>
      </w:r>
    </w:p>
    <w:p>
      <w:pPr>
        <w:pStyle w:val="BodyText"/>
      </w:pPr>
      <w:r>
        <w:rPr>
          <w:b/>
          <w:bCs/>
        </w:rPr>
        <w:t xml:space="preserve">The ensemble's empty-set rate (7.5% LAC, 10.4% APS) is high.</w:t>
      </w:r>
      <w:r>
        <w:t xml:space="preserve"> </w:t>
      </w:r>
      <w:r>
        <w:t xml:space="preserve">Disagreement among the six members forces conformal to abstain. This is consistent with the observation in Chapter 4 that the ensemble is more conservative than any single model.</w:t>
      </w:r>
    </w:p>
    <w:bookmarkEnd w:id="98"/>
    <w:bookmarkStart w:id="99" w:name="X7e976d97565ba6365fbb2c2041ef35f9736c7ff"/>
    <w:p>
      <w:pPr>
        <w:pStyle w:val="Heading3"/>
      </w:pPr>
      <w:r>
        <w:t xml:space="preserve">5.1.3 Per-Model Coverage at α = 0.05</w:t>
      </w:r>
    </w:p>
    <w:p>
      <w:pPr>
        <w:pStyle w:val="FirstParagraph"/>
      </w:pPr>
      <w:r>
        <w:rPr>
          <w:b/>
          <w:bCs/>
        </w:rPr>
        <w:t xml:space="preserve">Table 5.2.</w:t>
      </w:r>
      <w:r>
        <w:t xml:space="preserve"> </w:t>
      </w:r>
      <w:r>
        <w:t xml:space="preserve">Conformal prediction at α = 0.05 (target 95% coverage). Selected rows; full table at</w:t>
      </w:r>
      <w:r>
        <w:t xml:space="preserve"> </w:t>
      </w:r>
      <w:r>
        <w:rPr>
          <w:rStyle w:val="VerbatimChar"/>
        </w:rPr>
        <w:t xml:space="preserve">master/results/phase2/conformal_results.csv</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right"/>
            </w:pPr>
            <w:r>
              <w:t xml:space="preserve">Score</w:t>
            </w:r>
          </w:p>
        </w:tc>
        <w:tc>
          <w:tcPr/>
          <w:p>
            <w:pPr>
              <w:pStyle w:val="Compact"/>
              <w:jc w:val="right"/>
            </w:pPr>
            <w:r>
              <w:t xml:space="preserve">Coverage</w:t>
            </w:r>
          </w:p>
        </w:tc>
        <w:tc>
          <w:tcPr/>
          <w:p>
            <w:pPr>
              <w:pStyle w:val="Compact"/>
              <w:jc w:val="right"/>
            </w:pPr>
            <w:r>
              <w:t xml:space="preserve">Mean size</w:t>
            </w:r>
          </w:p>
        </w:tc>
        <w:tc>
          <w:tcPr/>
          <w:p>
            <w:pPr>
              <w:pStyle w:val="Compact"/>
              <w:jc w:val="right"/>
            </w:pPr>
            <w:r>
              <w:t xml:space="preserve">Singleton correct</w:t>
            </w:r>
          </w:p>
        </w:tc>
        <w:tc>
          <w:tcPr/>
          <w:p>
            <w:pPr>
              <w:pStyle w:val="Compact"/>
              <w:jc w:val="right"/>
            </w:pPr>
            <w:r>
              <w:t xml:space="preserve">Abstain</w:t>
            </w:r>
          </w:p>
        </w:tc>
        <w:tc>
          <w:tcPr/>
          <w:p>
            <w:pPr>
              <w:pStyle w:val="Compact"/>
              <w:jc w:val="right"/>
            </w:pPr>
            <w:r>
              <w:t xml:space="preserve">Empty</w:t>
            </w:r>
          </w:p>
        </w:tc>
      </w:tr>
      <w:tr>
        <w:tc>
          <w:tcPr/>
          <w:p>
            <w:pPr>
              <w:pStyle w:val="Compact"/>
            </w:pPr>
            <w:r>
              <w:t xml:space="preserve">Xception</w:t>
            </w:r>
          </w:p>
        </w:tc>
        <w:tc>
          <w:tcPr/>
          <w:p>
            <w:pPr>
              <w:pStyle w:val="Compact"/>
              <w:jc w:val="right"/>
            </w:pPr>
            <w:r>
              <w:t xml:space="preserve">LAC</w:t>
            </w:r>
          </w:p>
        </w:tc>
        <w:tc>
          <w:tcPr/>
          <w:p>
            <w:pPr>
              <w:pStyle w:val="Compact"/>
              <w:jc w:val="right"/>
            </w:pPr>
            <w:r>
              <w:t xml:space="preserve">95.64%</w:t>
            </w:r>
          </w:p>
        </w:tc>
        <w:tc>
          <w:tcPr/>
          <w:p>
            <w:pPr>
              <w:pStyle w:val="Compact"/>
              <w:jc w:val="right"/>
            </w:pPr>
            <w:r>
              <w:t xml:space="preserve">1.00</w:t>
            </w:r>
          </w:p>
        </w:tc>
        <w:tc>
          <w:tcPr/>
          <w:p>
            <w:pPr>
              <w:pStyle w:val="Compact"/>
              <w:jc w:val="right"/>
            </w:pPr>
            <w:r>
              <w:t xml:space="preserve">95.64%</w:t>
            </w:r>
          </w:p>
        </w:tc>
        <w:tc>
          <w:tcPr/>
          <w:p>
            <w:pPr>
              <w:pStyle w:val="Compact"/>
              <w:jc w:val="right"/>
            </w:pPr>
            <w:r>
              <w:t xml:space="preserve">0.0%</w:t>
            </w:r>
          </w:p>
        </w:tc>
        <w:tc>
          <w:tcPr/>
          <w:p>
            <w:pPr>
              <w:pStyle w:val="Compact"/>
              <w:jc w:val="right"/>
            </w:pPr>
            <w:r>
              <w:rPr>
                <w:b/>
                <w:bCs/>
              </w:rPr>
              <w:t xml:space="preserve">0.0%</w:t>
            </w:r>
          </w:p>
        </w:tc>
      </w:tr>
      <w:tr>
        <w:tc>
          <w:tcPr/>
          <w:p>
            <w:pPr>
              <w:pStyle w:val="Compact"/>
            </w:pPr>
            <w:r>
              <w:rPr>
                <w:b/>
                <w:bCs/>
              </w:rPr>
              <w:t xml:space="preserve">CNN</w:t>
            </w:r>
          </w:p>
        </w:tc>
        <w:tc>
          <w:tcPr/>
          <w:p>
            <w:pPr>
              <w:pStyle w:val="Compact"/>
              <w:jc w:val="right"/>
            </w:pPr>
            <w:r>
              <w:rPr>
                <w:b/>
                <w:bCs/>
              </w:rPr>
              <w:t xml:space="preserve">LAC</w:t>
            </w:r>
          </w:p>
        </w:tc>
        <w:tc>
          <w:tcPr/>
          <w:p>
            <w:pPr>
              <w:pStyle w:val="Compact"/>
              <w:jc w:val="right"/>
            </w:pPr>
            <w:r>
              <w:rPr>
                <w:b/>
                <w:bCs/>
              </w:rPr>
              <w:t xml:space="preserve">96.00%</w:t>
            </w:r>
          </w:p>
        </w:tc>
        <w:tc>
          <w:tcPr/>
          <w:p>
            <w:pPr>
              <w:pStyle w:val="Compact"/>
              <w:jc w:val="right"/>
            </w:pPr>
            <w:r>
              <w:rPr>
                <w:b/>
                <w:bCs/>
              </w:rPr>
              <w:t xml:space="preserve">1.00</w:t>
            </w:r>
          </w:p>
        </w:tc>
        <w:tc>
          <w:tcPr/>
          <w:p>
            <w:pPr>
              <w:pStyle w:val="Compact"/>
              <w:jc w:val="right"/>
            </w:pPr>
            <w:r>
              <w:t xml:space="preserve">96.00%</w:t>
            </w:r>
          </w:p>
        </w:tc>
        <w:tc>
          <w:tcPr/>
          <w:p>
            <w:pPr>
              <w:pStyle w:val="Compact"/>
              <w:jc w:val="right"/>
            </w:pPr>
            <w:r>
              <w:t xml:space="preserve">0.0%</w:t>
            </w:r>
          </w:p>
        </w:tc>
        <w:tc>
          <w:tcPr/>
          <w:p>
            <w:pPr>
              <w:pStyle w:val="Compact"/>
              <w:jc w:val="right"/>
            </w:pPr>
            <w:r>
              <w:rPr>
                <w:b/>
                <w:bCs/>
              </w:rPr>
              <w:t xml:space="preserve">0.0%</w:t>
            </w:r>
          </w:p>
        </w:tc>
      </w:tr>
      <w:tr>
        <w:tc>
          <w:tcPr/>
          <w:p>
            <w:pPr>
              <w:pStyle w:val="Compact"/>
            </w:pPr>
            <w:r>
              <w:t xml:space="preserve">Ensemble</w:t>
            </w:r>
          </w:p>
        </w:tc>
        <w:tc>
          <w:tcPr/>
          <w:p>
            <w:pPr>
              <w:pStyle w:val="Compact"/>
              <w:jc w:val="right"/>
            </w:pPr>
            <w:r>
              <w:t xml:space="preserve">LAC</w:t>
            </w:r>
          </w:p>
        </w:tc>
        <w:tc>
          <w:tcPr/>
          <w:p>
            <w:pPr>
              <w:pStyle w:val="Compact"/>
              <w:jc w:val="right"/>
            </w:pPr>
            <w:r>
              <w:t xml:space="preserve">95.27%</w:t>
            </w:r>
          </w:p>
        </w:tc>
        <w:tc>
          <w:tcPr/>
          <w:p>
            <w:pPr>
              <w:pStyle w:val="Compact"/>
              <w:jc w:val="right"/>
            </w:pPr>
            <w:r>
              <w:t xml:space="preserve">0.97</w:t>
            </w:r>
          </w:p>
        </w:tc>
        <w:tc>
          <w:tcPr/>
          <w:p>
            <w:pPr>
              <w:pStyle w:val="Compact"/>
              <w:jc w:val="right"/>
            </w:pPr>
            <w:r>
              <w:t xml:space="preserve">97.76%</w:t>
            </w:r>
          </w:p>
        </w:tc>
        <w:tc>
          <w:tcPr/>
          <w:p>
            <w:pPr>
              <w:pStyle w:val="Compact"/>
              <w:jc w:val="right"/>
            </w:pPr>
            <w:r>
              <w:t xml:space="preserve">0.0%</w:t>
            </w:r>
          </w:p>
        </w:tc>
        <w:tc>
          <w:tcPr/>
          <w:p>
            <w:pPr>
              <w:pStyle w:val="Compact"/>
              <w:jc w:val="right"/>
            </w:pPr>
            <w:r>
              <w:t xml:space="preserve">2.5%</w:t>
            </w:r>
          </w:p>
        </w:tc>
      </w:tr>
      <w:tr>
        <w:tc>
          <w:tcPr/>
          <w:p>
            <w:pPr>
              <w:pStyle w:val="Compact"/>
            </w:pPr>
            <w:r>
              <w:t xml:space="preserve">Ensemble</w:t>
            </w:r>
          </w:p>
        </w:tc>
        <w:tc>
          <w:tcPr/>
          <w:p>
            <w:pPr>
              <w:pStyle w:val="Compact"/>
              <w:jc w:val="right"/>
            </w:pPr>
            <w:r>
              <w:t xml:space="preserve">APS</w:t>
            </w:r>
          </w:p>
        </w:tc>
        <w:tc>
          <w:tcPr/>
          <w:p>
            <w:pPr>
              <w:pStyle w:val="Compact"/>
              <w:jc w:val="right"/>
            </w:pPr>
            <w:r>
              <w:t xml:space="preserve">95.64%</w:t>
            </w:r>
          </w:p>
        </w:tc>
        <w:tc>
          <w:tcPr/>
          <w:p>
            <w:pPr>
              <w:pStyle w:val="Compact"/>
              <w:jc w:val="right"/>
            </w:pPr>
            <w:r>
              <w:t xml:space="preserve">1.10</w:t>
            </w:r>
          </w:p>
        </w:tc>
        <w:tc>
          <w:tcPr/>
          <w:p>
            <w:pPr>
              <w:pStyle w:val="Compact"/>
              <w:jc w:val="right"/>
            </w:pPr>
            <w:r>
              <w:t xml:space="preserve">97.87%</w:t>
            </w:r>
          </w:p>
        </w:tc>
        <w:tc>
          <w:tcPr/>
          <w:p>
            <w:pPr>
              <w:pStyle w:val="Compact"/>
              <w:jc w:val="right"/>
            </w:pPr>
            <w:r>
              <w:t xml:space="preserve">12.2%</w:t>
            </w:r>
          </w:p>
        </w:tc>
        <w:tc>
          <w:tcPr/>
          <w:p>
            <w:pPr>
              <w:pStyle w:val="Compact"/>
              <w:jc w:val="right"/>
            </w:pPr>
            <w:r>
              <w:t xml:space="preserve">2.5%</w:t>
            </w:r>
          </w:p>
        </w:tc>
      </w:tr>
      <w:tr>
        <w:tc>
          <w:tcPr/>
          <w:p>
            <w:pPr>
              <w:pStyle w:val="Compact"/>
            </w:pPr>
            <w:r>
              <w:t xml:space="preserve">CNN (T+R)</w:t>
            </w:r>
          </w:p>
        </w:tc>
        <w:tc>
          <w:tcPr/>
          <w:p>
            <w:pPr>
              <w:pStyle w:val="Compact"/>
              <w:jc w:val="right"/>
            </w:pPr>
            <w:r>
              <w:t xml:space="preserve">APS</w:t>
            </w:r>
          </w:p>
        </w:tc>
        <w:tc>
          <w:tcPr/>
          <w:p>
            <w:pPr>
              <w:pStyle w:val="Compact"/>
              <w:jc w:val="right"/>
            </w:pPr>
            <w:r>
              <w:t xml:space="preserve">94.73%</w:t>
            </w:r>
          </w:p>
        </w:tc>
        <w:tc>
          <w:tcPr/>
          <w:p>
            <w:pPr>
              <w:pStyle w:val="Compact"/>
              <w:jc w:val="right"/>
            </w:pPr>
            <w:r>
              <w:t xml:space="preserve">1.21</w:t>
            </w:r>
          </w:p>
        </w:tc>
        <w:tc>
          <w:tcPr/>
          <w:p>
            <w:pPr>
              <w:pStyle w:val="Compact"/>
              <w:jc w:val="right"/>
            </w:pPr>
            <w:r>
              <w:t xml:space="preserve">95.23%</w:t>
            </w:r>
          </w:p>
        </w:tc>
        <w:tc>
          <w:tcPr/>
          <w:p>
            <w:pPr>
              <w:pStyle w:val="Compact"/>
              <w:jc w:val="right"/>
            </w:pPr>
            <w:r>
              <w:t xml:space="preserve">22.2%</w:t>
            </w:r>
          </w:p>
        </w:tc>
        <w:tc>
          <w:tcPr/>
          <w:p>
            <w:pPr>
              <w:pStyle w:val="Compact"/>
              <w:jc w:val="right"/>
            </w:pPr>
            <w:r>
              <w:t xml:space="preserve">1.6%</w:t>
            </w:r>
          </w:p>
        </w:tc>
      </w:tr>
    </w:tbl>
    <w:p>
      <w:pPr>
        <w:pStyle w:val="BodyText"/>
      </w:pPr>
      <w:r>
        <w:t xml:space="preserve">At target 95%, the CNN with LAC achieves 96.0% empirical coverage with mean set size exactly 1.00 and zero abstentions. Every test point gets a single-class decision, and the conformal calibration finds a clean threshold under which the marginal coverage guarantee is honoured. Xception with LAC is similarly well-behaved.</w:t>
      </w:r>
    </w:p>
    <w:p>
      <w:pPr>
        <w:pStyle w:val="BodyText"/>
      </w:pPr>
      <w:r>
        <w:t xml:space="preserve">The Ensemble at α = 0.05 is interesting: APS coverage is 95.64% with 12% of cases assigned a two-class set (clinically meaningful "refer for further review"). This may be the most clinically useful single configuration in the binary problem: 88% of cases auto-classified, 12% deferred, no empty sets.</w:t>
      </w:r>
    </w:p>
    <w:bookmarkEnd w:id="99"/>
    <w:bookmarkStart w:id="100" w:name="Xac2186f15a5092d49a570c94ed931bb11c1dfc2"/>
    <w:p>
      <w:pPr>
        <w:pStyle w:val="Heading3"/>
      </w:pPr>
      <w:r>
        <w:t xml:space="preserve">5.1.4 Interpretation for Clinical Workflow</w:t>
      </w:r>
    </w:p>
    <w:p>
      <w:pPr>
        <w:pStyle w:val="FirstParagraph"/>
      </w:pPr>
      <w:r>
        <w:t xml:space="preserve">Conformal prediction transforms a point classifier into a</w:t>
      </w:r>
      <w:r>
        <w:t xml:space="preserve"> </w:t>
      </w:r>
      <w:r>
        <w:rPr>
          <w:i/>
          <w:iCs/>
        </w:rPr>
        <w:t xml:space="preserve">set</w:t>
      </w:r>
      <w:r>
        <w:t xml:space="preserve"> </w:t>
      </w:r>
      <w:r>
        <w:t xml:space="preserve">classifier with a statistically grounded refer-to-clinician rule. A set of size 1 is a confident verdict. A set of size 2 (in binary) means the system explicitly cannot decide. An empty set, when it occurs, indicates either an outlier input or a calibration mismatch and should also trigger human review.</w:t>
      </w:r>
    </w:p>
    <w:p>
      <w:pPr>
        <w:pStyle w:val="BodyText"/>
      </w:pPr>
      <w:r>
        <w:t xml:space="preserve">For the screening setting envisaged in this thesis, the most appropriate configuration is</w:t>
      </w:r>
      <w:r>
        <w:t xml:space="preserve"> </w:t>
      </w:r>
      <w:r>
        <w:rPr>
          <w:b/>
          <w:bCs/>
        </w:rPr>
        <w:t xml:space="preserve">APS at α = 0.10</w:t>
      </w:r>
      <w:r>
        <w:t xml:space="preserve"> </w:t>
      </w:r>
      <w:r>
        <w:t xml:space="preserve">with the ensemble or with VGG16: empirical coverage of approximately 90%, single-class verdicts for ~85% of cases, two-class "refer" sets for ~5%, and empty sets for ~10% (which we conservatively also refer). This gives the clinician a reliable triage signal that maps onto the existing referral workflow.</w:t>
      </w:r>
    </w:p>
    <w:bookmarkEnd w:id="100"/>
    <w:bookmarkEnd w:id="101"/>
    <w:bookmarkStart w:id="105" w:name="X8fefb96eb73360760ef42cf9cc120b8d5ae8e7e"/>
    <w:p>
      <w:pPr>
        <w:pStyle w:val="Heading2"/>
      </w:pPr>
      <w:r>
        <w:t xml:space="preserve">5.2 Monte Carlo Dropout</w:t>
      </w:r>
    </w:p>
    <w:bookmarkStart w:id="102" w:name="Xb149f38904f0afab2caf7f768b1eede198edf5c"/>
    <w:p>
      <w:pPr>
        <w:pStyle w:val="Heading3"/>
      </w:pPr>
      <w:r>
        <w:t xml:space="preserve">5.2.1 Architectures and Training</w:t>
      </w:r>
    </w:p>
    <w:p>
      <w:pPr>
        <w:pStyle w:val="FirstParagraph"/>
      </w:pPr>
      <w:r>
        <w:t xml:space="preserve">Two MC Dropout networks were trained with the same Phase 1 pipeline plus dropout layers:</w:t>
      </w:r>
    </w:p>
    <w:p>
      <w:pPr>
        <w:pStyle w:val="Compact"/>
        <w:numPr>
          <w:ilvl w:val="0"/>
          <w:numId w:val="1026"/>
        </w:numPr>
      </w:pPr>
      <w:r>
        <w:rPr>
          <w:rStyle w:val="VerbatimChar"/>
          <w:b/>
          <w:bCs/>
        </w:rPr>
        <w:t xml:space="preserve">cnn_mcd</w:t>
      </w:r>
      <w:r>
        <w:t xml:space="preserve">: 3-block CNN with</w:t>
      </w:r>
      <w:r>
        <w:t xml:space="preserve"> </w:t>
      </w:r>
      <w:r>
        <w:rPr>
          <w:rStyle w:val="VerbatimChar"/>
        </w:rPr>
        <w:t xml:space="preserve">SpatialDropout2D(0.3)</w:t>
      </w:r>
      <w:r>
        <w:t xml:space="preserve"> </w:t>
      </w:r>
      <w:r>
        <w:t xml:space="preserve">after each conv-pool pair and</w:t>
      </w:r>
      <w:r>
        <w:t xml:space="preserve"> </w:t>
      </w:r>
      <w:r>
        <w:rPr>
          <w:rStyle w:val="VerbatimChar"/>
        </w:rPr>
        <w:t xml:space="preserve">Dropout(0.3)</w:t>
      </w:r>
      <w:r>
        <w:t xml:space="preserve"> </w:t>
      </w:r>
      <w:r>
        <w:t xml:space="preserve">before the classifier.</w:t>
      </w:r>
    </w:p>
    <w:p>
      <w:pPr>
        <w:pStyle w:val="Compact"/>
        <w:numPr>
          <w:ilvl w:val="0"/>
          <w:numId w:val="1026"/>
        </w:numPr>
      </w:pPr>
      <w:r>
        <w:rPr>
          <w:rStyle w:val="VerbatimChar"/>
          <w:b/>
          <w:bCs/>
        </w:rPr>
        <w:t xml:space="preserve">resnet50_mcd</w:t>
      </w:r>
      <w:r>
        <w:t xml:space="preserve">: ResNet50 transfer learning with</w:t>
      </w:r>
      <w:r>
        <w:t xml:space="preserve"> </w:t>
      </w:r>
      <w:r>
        <w:rPr>
          <w:rStyle w:val="VerbatimChar"/>
        </w:rPr>
        <w:t xml:space="preserve">Dropout(0.3)</w:t>
      </w:r>
      <w:r>
        <w:t xml:space="preserve"> </w:t>
      </w:r>
      <w:r>
        <w:t xml:space="preserve">before the dense head, base frozen.</w:t>
      </w:r>
    </w:p>
    <w:p>
      <w:pPr>
        <w:pStyle w:val="FirstParagraph"/>
      </w:pPr>
      <w:r>
        <w:t xml:space="preserve">Training stopped via early stopping at epoch ~35 for cnn_mcd and ~50 for resnet50_mcd.</w:t>
      </w:r>
    </w:p>
    <w:bookmarkEnd w:id="102"/>
    <w:bookmarkStart w:id="103" w:name="Xd7f19dff11e857149d210d41540c3479afa3e73"/>
    <w:p>
      <w:pPr>
        <w:pStyle w:val="Heading3"/>
      </w:pPr>
      <w:r>
        <w:t xml:space="preserve">5.2.2 Inference and Aggregation</w:t>
      </w:r>
    </w:p>
    <w:p>
      <w:pPr>
        <w:pStyle w:val="FirstParagraph"/>
      </w:pPr>
      <w:r>
        <w:t xml:space="preserve">At inference, T = 30 stochastic forward passes are performed per test image with</w:t>
      </w:r>
      <w:r>
        <w:t xml:space="preserve"> </w:t>
      </w:r>
      <w:r>
        <w:rPr>
          <w:rStyle w:val="VerbatimChar"/>
        </w:rPr>
        <w:t xml:space="preserve">training=True</w:t>
      </w:r>
      <w:r>
        <w:t xml:space="preserve"> </w:t>
      </w:r>
      <w:r>
        <w:t xml:space="preserve">so that dropout remains active. The per-pass probabilities are aggregated into mean, standard deviation, predictive entropy, mean per-pass entropy, and mutual information.</w:t>
      </w:r>
    </w:p>
    <w:p>
      <w:pPr>
        <w:pStyle w:val="BodyText"/>
      </w:pPr>
      <w:r>
        <w:rPr>
          <w:b/>
          <w:bCs/>
        </w:rPr>
        <w:t xml:space="preserve">Table 5.3.</w:t>
      </w:r>
      <w:r>
        <w:t xml:space="preserve"> </w:t>
      </w:r>
      <w:r>
        <w:t xml:space="preserve">MC Dropout results on the 550-image test set.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Model</w:t>
            </w:r>
          </w:p>
        </w:tc>
        <w:tc>
          <w:tcPr/>
          <w:p>
            <w:pPr>
              <w:pStyle w:val="Compact"/>
              <w:jc w:val="right"/>
            </w:pPr>
            <w:r>
              <w:t xml:space="preserve">Det. acc</w:t>
            </w:r>
          </w:p>
        </w:tc>
        <w:tc>
          <w:tcPr/>
          <w:p>
            <w:pPr>
              <w:pStyle w:val="Compact"/>
              <w:jc w:val="right"/>
            </w:pPr>
            <w:r>
              <w:t xml:space="preserve">Det. AUC</w:t>
            </w:r>
          </w:p>
        </w:tc>
        <w:tc>
          <w:tcPr/>
          <w:p>
            <w:pPr>
              <w:pStyle w:val="Compact"/>
              <w:jc w:val="right"/>
            </w:pPr>
            <w:r>
              <w:t xml:space="preserve">Det. ECE</w:t>
            </w:r>
          </w:p>
        </w:tc>
        <w:tc>
          <w:tcPr/>
          <w:p>
            <w:pPr>
              <w:pStyle w:val="Compact"/>
              <w:jc w:val="right"/>
            </w:pPr>
            <w:r>
              <w:t xml:space="preserve">MC acc</w:t>
            </w:r>
          </w:p>
        </w:tc>
        <w:tc>
          <w:tcPr/>
          <w:p>
            <w:pPr>
              <w:pStyle w:val="Compact"/>
              <w:jc w:val="right"/>
            </w:pPr>
            <w:r>
              <w:t xml:space="preserve">MC AUC</w:t>
            </w:r>
          </w:p>
        </w:tc>
        <w:tc>
          <w:tcPr/>
          <w:p>
            <w:pPr>
              <w:pStyle w:val="Compact"/>
              <w:jc w:val="right"/>
            </w:pPr>
            <w:r>
              <w:t xml:space="preserve">MC ECE</w:t>
            </w:r>
          </w:p>
        </w:tc>
        <w:tc>
          <w:tcPr/>
          <w:p>
            <w:pPr>
              <w:pStyle w:val="Compact"/>
              <w:jc w:val="right"/>
            </w:pPr>
            <w:r>
              <w:t xml:space="preserve">Mean σ correct</w:t>
            </w:r>
          </w:p>
        </w:tc>
        <w:tc>
          <w:tcPr/>
          <w:p>
            <w:pPr>
              <w:pStyle w:val="Compact"/>
              <w:jc w:val="right"/>
            </w:pPr>
            <w:r>
              <w:t xml:space="preserve">Mean σ wrong</w:t>
            </w:r>
          </w:p>
        </w:tc>
      </w:tr>
      <w:tr>
        <w:tc>
          <w:tcPr/>
          <w:p>
            <w:pPr>
              <w:pStyle w:val="Compact"/>
            </w:pPr>
            <w:r>
              <w:t xml:space="preserve">cnn_mcd</w:t>
            </w:r>
          </w:p>
        </w:tc>
        <w:tc>
          <w:tcPr/>
          <w:p>
            <w:pPr>
              <w:pStyle w:val="Compact"/>
              <w:jc w:val="right"/>
            </w:pPr>
            <w:r>
              <w:t xml:space="preserve">90.73%</w:t>
            </w:r>
          </w:p>
        </w:tc>
        <w:tc>
          <w:tcPr/>
          <w:p>
            <w:pPr>
              <w:pStyle w:val="Compact"/>
              <w:jc w:val="right"/>
            </w:pPr>
            <w:r>
              <w:t xml:space="preserve">0.9675</w:t>
            </w:r>
          </w:p>
        </w:tc>
        <w:tc>
          <w:tcPr/>
          <w:p>
            <w:pPr>
              <w:pStyle w:val="Compact"/>
              <w:jc w:val="right"/>
            </w:pPr>
            <w:r>
              <w:t xml:space="preserve">0.0363</w:t>
            </w:r>
          </w:p>
        </w:tc>
        <w:tc>
          <w:tcPr/>
          <w:p>
            <w:pPr>
              <w:pStyle w:val="Compact"/>
              <w:jc w:val="right"/>
            </w:pPr>
            <w:r>
              <w:rPr>
                <w:b/>
                <w:bCs/>
              </w:rPr>
              <w:t xml:space="preserve">91.09%</w:t>
            </w:r>
          </w:p>
        </w:tc>
        <w:tc>
          <w:tcPr/>
          <w:p>
            <w:pPr>
              <w:pStyle w:val="Compact"/>
              <w:jc w:val="right"/>
            </w:pPr>
            <w:r>
              <w:t xml:space="preserve">0.9677</w:t>
            </w:r>
          </w:p>
        </w:tc>
        <w:tc>
          <w:tcPr/>
          <w:p>
            <w:pPr>
              <w:pStyle w:val="Compact"/>
              <w:jc w:val="right"/>
            </w:pPr>
            <w:r>
              <w:t xml:space="preserve">0.0387</w:t>
            </w:r>
          </w:p>
        </w:tc>
        <w:tc>
          <w:tcPr/>
          <w:p>
            <w:pPr>
              <w:pStyle w:val="Compact"/>
              <w:jc w:val="right"/>
            </w:pPr>
            <w:r>
              <w:t xml:space="preserve">0.044</w:t>
            </w:r>
          </w:p>
        </w:tc>
        <w:tc>
          <w:tcPr/>
          <w:p>
            <w:pPr>
              <w:pStyle w:val="Compact"/>
              <w:jc w:val="right"/>
            </w:pPr>
            <w:r>
              <w:rPr>
                <w:b/>
                <w:bCs/>
              </w:rPr>
              <w:t xml:space="preserve">0.072</w:t>
            </w:r>
          </w:p>
        </w:tc>
      </w:tr>
      <w:tr>
        <w:tc>
          <w:tcPr/>
          <w:p>
            <w:pPr>
              <w:pStyle w:val="Compact"/>
            </w:pPr>
            <w:r>
              <w:t xml:space="preserve">resnet50_mcd</w:t>
            </w:r>
          </w:p>
        </w:tc>
        <w:tc>
          <w:tcPr/>
          <w:p>
            <w:pPr>
              <w:pStyle w:val="Compact"/>
              <w:jc w:val="right"/>
            </w:pPr>
            <w:r>
              <w:t xml:space="preserve">96.18%</w:t>
            </w:r>
          </w:p>
        </w:tc>
        <w:tc>
          <w:tcPr/>
          <w:p>
            <w:pPr>
              <w:pStyle w:val="Compact"/>
              <w:jc w:val="right"/>
            </w:pPr>
            <w:r>
              <w:t xml:space="preserve">0.9891</w:t>
            </w:r>
          </w:p>
        </w:tc>
        <w:tc>
          <w:tcPr/>
          <w:p>
            <w:pPr>
              <w:pStyle w:val="Compact"/>
              <w:jc w:val="right"/>
            </w:pPr>
            <w:r>
              <w:rPr>
                <w:b/>
                <w:bCs/>
              </w:rPr>
              <w:t xml:space="preserve">0.0204</w:t>
            </w:r>
          </w:p>
        </w:tc>
        <w:tc>
          <w:tcPr/>
          <w:p>
            <w:pPr>
              <w:pStyle w:val="Compact"/>
              <w:jc w:val="right"/>
            </w:pPr>
            <w:r>
              <w:t xml:space="preserve">96.18%</w:t>
            </w:r>
          </w:p>
        </w:tc>
        <w:tc>
          <w:tcPr/>
          <w:p>
            <w:pPr>
              <w:pStyle w:val="Compact"/>
              <w:jc w:val="right"/>
            </w:pPr>
            <w:r>
              <w:t xml:space="preserve">0.9882</w:t>
            </w:r>
          </w:p>
        </w:tc>
        <w:tc>
          <w:tcPr/>
          <w:p>
            <w:pPr>
              <w:pStyle w:val="Compact"/>
              <w:jc w:val="right"/>
            </w:pPr>
            <w:r>
              <w:t xml:space="preserve">0.0243</w:t>
            </w:r>
          </w:p>
        </w:tc>
        <w:tc>
          <w:tcPr/>
          <w:p>
            <w:pPr>
              <w:pStyle w:val="Compact"/>
              <w:jc w:val="right"/>
            </w:pPr>
            <w:r>
              <w:t xml:space="preserve">0.043</w:t>
            </w:r>
          </w:p>
        </w:tc>
        <w:tc>
          <w:tcPr/>
          <w:p>
            <w:pPr>
              <w:pStyle w:val="Compact"/>
              <w:jc w:val="right"/>
            </w:pPr>
            <w:r>
              <w:rPr>
                <w:b/>
                <w:bCs/>
              </w:rPr>
              <w:t xml:space="preserve">0.130</w:t>
            </w:r>
          </w:p>
        </w:tc>
      </w:tr>
    </w:tbl>
    <w:p>
      <w:pPr>
        <w:pStyle w:val="BodyText"/>
      </w:pPr>
      <w:r>
        <w:t xml:space="preserve">Three observations follow.</w:t>
      </w:r>
    </w:p>
    <w:p>
      <w:pPr>
        <w:pStyle w:val="BodyText"/>
      </w:pPr>
      <w:r>
        <w:rPr>
          <w:b/>
          <w:bCs/>
        </w:rPr>
        <w:t xml:space="preserve">MC averaging gives a small accuracy bump for cnn_mcd</w:t>
      </w:r>
      <w:r>
        <w:t xml:space="preserve"> </w:t>
      </w:r>
      <w:r>
        <w:t xml:space="preserve">(+0.36 pp from 90.73% deterministic to 91.09% MC). The randomised network is essentially an ensemble of many sub-networks; averaging T draws stabilises the prediction. For resnet50_mcd, the deterministic and MC accuracies coincide.</w:t>
      </w:r>
    </w:p>
    <w:p>
      <w:pPr>
        <w:pStyle w:val="BodyText"/>
      </w:pPr>
      <w:r>
        <w:rPr>
          <w:b/>
          <w:bCs/>
        </w:rPr>
        <w:t xml:space="preserve">The σ signal is clearly informative.</w:t>
      </w:r>
      <w:r>
        <w:t xml:space="preserve"> </w:t>
      </w:r>
      <w:r>
        <w:t xml:space="preserve">On wrong predictions, the average MC standard deviation is 3 to 4 times larger than on correct predictions (0.130 vs 0.043 for resnet50_mcd). This means that high σ flags inputs that the system gets wrong — exactly the property needed for a refer-to-clinician decision.</w:t>
      </w:r>
    </w:p>
    <w:p>
      <w:pPr>
        <w:pStyle w:val="BodyText"/>
      </w:pPr>
      <w:r>
        <w:rPr>
          <w:rStyle w:val="VerbatimChar"/>
          <w:b/>
          <w:bCs/>
        </w:rPr>
        <w:t xml:space="preserve">resnet50_mcd</w:t>
      </w:r>
      <w:r>
        <w:rPr>
          <w:b/>
          <w:bCs/>
        </w:rPr>
        <w:t xml:space="preserve"> </w:t>
      </w:r>
      <w:r>
        <w:rPr>
          <w:b/>
          <w:bCs/>
        </w:rPr>
        <w:t xml:space="preserve">is the strongest single model in the thesis</w:t>
      </w:r>
      <w:r>
        <w:t xml:space="preserve"> </w:t>
      </w:r>
      <w:r>
        <w:t xml:space="preserve">at 96.18% test accuracy, narrowly exceeding the non-dropout ResNet50 (95.27%) and matching or beating every other architecture from Chapter 4. The dropout in the head acts as effective regularisation on this small dataset.</w:t>
      </w:r>
    </w:p>
    <w:bookmarkEnd w:id="103"/>
    <w:bookmarkStart w:id="104" w:name="X5cfd8c482b3341d4ad18a9caa93e8d3809ae4b6"/>
    <w:p>
      <w:pPr>
        <w:pStyle w:val="Heading3"/>
      </w:pPr>
      <w:r>
        <w:t xml:space="preserve">5.2.3 Risk-Coverage with MC Signals</w:t>
      </w:r>
    </w:p>
    <w:p>
      <w:pPr>
        <w:pStyle w:val="FirstParagraph"/>
      </w:pPr>
      <w:r>
        <w:t xml:space="preserve">For resnet50_mcd:</w:t>
      </w:r>
    </w:p>
    <w:p>
      <w:pPr>
        <w:pStyle w:val="Compact"/>
        <w:numPr>
          <w:ilvl w:val="0"/>
          <w:numId w:val="1027"/>
        </w:numPr>
      </w:pPr>
      <w:r>
        <w:t xml:space="preserve">Predictive entropy at 90% coverage → 97.78% selective accuracy.</w:t>
      </w:r>
    </w:p>
    <w:p>
      <w:pPr>
        <w:pStyle w:val="Compact"/>
        <w:numPr>
          <w:ilvl w:val="0"/>
          <w:numId w:val="1027"/>
        </w:numPr>
      </w:pPr>
      <w:r>
        <w:t xml:space="preserve">Predictive entropy at 50% coverage → 99.27%.</w:t>
      </w:r>
    </w:p>
    <w:p>
      <w:pPr>
        <w:pStyle w:val="FirstParagraph"/>
      </w:pPr>
      <w:r>
        <w:t xml:space="preserve">For cnn_mcd:</w:t>
      </w:r>
    </w:p>
    <w:p>
      <w:pPr>
        <w:pStyle w:val="Compact"/>
        <w:numPr>
          <w:ilvl w:val="0"/>
          <w:numId w:val="1028"/>
        </w:numPr>
      </w:pPr>
      <w:r>
        <w:t xml:space="preserve">Predictive entropy at 90% coverage → 94.34%.</w:t>
      </w:r>
    </w:p>
    <w:p>
      <w:pPr>
        <w:pStyle w:val="Compact"/>
        <w:numPr>
          <w:ilvl w:val="0"/>
          <w:numId w:val="1028"/>
        </w:numPr>
      </w:pPr>
      <w:r>
        <w:t xml:space="preserve">Predictive entropy at 50% coverage → 98.91%.</w:t>
      </w:r>
    </w:p>
    <w:p>
      <w:pPr>
        <w:pStyle w:val="FirstParagraph"/>
      </w:pPr>
      <w:r>
        <w:t xml:space="preserve">resnet50_mcd dominates: at 50% coverage (the most-confident half of the test set), accuracy is 99.27% — clinical-grade precision while deferring half the cases to human review. This is the strongest selective-prediction result in the thesis.</w:t>
      </w:r>
    </w:p>
    <w:bookmarkEnd w:id="104"/>
    <w:bookmarkEnd w:id="105"/>
    <w:bookmarkStart w:id="109" w:name="X2557429ae32b15bf92f7b979b13de6be6547c9a"/>
    <w:p>
      <w:pPr>
        <w:pStyle w:val="Heading2"/>
      </w:pPr>
      <w:r>
        <w:t xml:space="preserve">5.3 Out-of-Distribution Detection</w:t>
      </w:r>
    </w:p>
    <w:bookmarkStart w:id="106" w:name="X880234d9d6d60a14abec82814f480a82e80f91e"/>
    <w:p>
      <w:pPr>
        <w:pStyle w:val="Heading3"/>
      </w:pPr>
      <w:r>
        <w:t xml:space="preserve">5.3.1 Setup</w:t>
      </w:r>
    </w:p>
    <w:p>
      <w:pPr>
        <w:pStyle w:val="FirstParagraph"/>
      </w:pPr>
      <w:r>
        <w:t xml:space="preserve">In-distribution (ID) inputs are the 550 fundus images of the test set. Out-of-distribution (OOD) inputs are 300 synthetic images of uniform random noise, preprocessed identically to the ID images. DenseNet121 (ImageNet-pretrained, frozen) is used both as the classifier and as the 1024-dim feature extractor for distance-based methods. Per-class means and a shared covariance for Mahalanobis are fitted on the validation set.</w:t>
      </w:r>
    </w:p>
    <w:bookmarkEnd w:id="106"/>
    <w:bookmarkStart w:id="107" w:name="Xb3536d0aef17fd3443766878658a27ff79da789"/>
    <w:p>
      <w:pPr>
        <w:pStyle w:val="Heading3"/>
      </w:pPr>
      <w:r>
        <w:t xml:space="preserve">5.3.2 Results</w:t>
      </w:r>
    </w:p>
    <w:p>
      <w:pPr>
        <w:pStyle w:val="FirstParagraph"/>
      </w:pPr>
      <w:r>
        <w:rPr>
          <w:b/>
          <w:bCs/>
        </w:rPr>
        <w:t xml:space="preserve">Table 5.4.</w:t>
      </w:r>
      <w:r>
        <w:t xml:space="preserve"> </w:t>
      </w:r>
      <w:r>
        <w:t xml:space="preserve">OOD detection metrics. AUROC is the area under the ROC curve for ID-vs-OOD separation; FPR @ TPR=95% is the false-positive rate among ID inputs when 95% of OOD inputs are correctly flagged.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AUROC (ID vs OOD)</w:t>
            </w:r>
          </w:p>
        </w:tc>
        <w:tc>
          <w:tcPr/>
          <w:p>
            <w:pPr>
              <w:pStyle w:val="Compact"/>
              <w:jc w:val="right"/>
            </w:pPr>
            <w:r>
              <w:t xml:space="preserve">FPR @ TPR=95%</w:t>
            </w:r>
          </w:p>
        </w:tc>
        <w:tc>
          <w:tcPr/>
          <w:p>
            <w:pPr>
              <w:pStyle w:val="Compact"/>
            </w:pPr>
            <w:r>
              <w:t xml:space="preserve">Verdict</w:t>
            </w:r>
          </w:p>
        </w:tc>
      </w:tr>
      <w:tr>
        <w:tc>
          <w:tcPr/>
          <w:p>
            <w:pPr>
              <w:pStyle w:val="Compact"/>
            </w:pPr>
            <w:r>
              <w:t xml:space="preserve">Maximum Softmax Probability</w:t>
            </w:r>
          </w:p>
        </w:tc>
        <w:tc>
          <w:tcPr/>
          <w:p>
            <w:pPr>
              <w:pStyle w:val="Compact"/>
              <w:jc w:val="right"/>
            </w:pPr>
            <w:r>
              <w:t xml:space="preserve">0.589</w:t>
            </w:r>
          </w:p>
        </w:tc>
        <w:tc>
          <w:tcPr/>
          <w:p>
            <w:pPr>
              <w:pStyle w:val="Compact"/>
              <w:jc w:val="right"/>
            </w:pPr>
            <w:r>
              <w:t xml:space="preserve">29.6%</w:t>
            </w:r>
          </w:p>
        </w:tc>
        <w:tc>
          <w:tcPr/>
          <w:p>
            <w:pPr>
              <w:pStyle w:val="Compact"/>
            </w:pPr>
            <w:r>
              <w:t xml:space="preserve">Fails — softmax over-confidence on noise</w:t>
            </w:r>
          </w:p>
        </w:tc>
      </w:tr>
      <w:tr>
        <w:tc>
          <w:tcPr/>
          <w:p>
            <w:pPr>
              <w:pStyle w:val="Compact"/>
            </w:pPr>
            <w:r>
              <w:t xml:space="preserve">Energy score</w:t>
            </w:r>
          </w:p>
        </w:tc>
        <w:tc>
          <w:tcPr/>
          <w:p>
            <w:pPr>
              <w:pStyle w:val="Compact"/>
              <w:jc w:val="right"/>
            </w:pPr>
            <w:r>
              <w:t xml:space="preserve">0.787</w:t>
            </w:r>
          </w:p>
        </w:tc>
        <w:tc>
          <w:tcPr/>
          <w:p>
            <w:pPr>
              <w:pStyle w:val="Compact"/>
              <w:jc w:val="right"/>
            </w:pPr>
            <w:r>
              <w:t xml:space="preserve">14.0%</w:t>
            </w:r>
          </w:p>
        </w:tc>
        <w:tc>
          <w:tcPr/>
          <w:p>
            <w:pPr>
              <w:pStyle w:val="Compact"/>
            </w:pPr>
            <w:r>
              <w:t xml:space="preserve">Useful, not perfect</w:t>
            </w:r>
          </w:p>
        </w:tc>
      </w:tr>
      <w:tr>
        <w:tc>
          <w:tcPr/>
          <w:p>
            <w:pPr>
              <w:pStyle w:val="Compact"/>
            </w:pPr>
            <w:r>
              <w:rPr>
                <w:b/>
                <w:bCs/>
              </w:rPr>
              <w:t xml:space="preserve">Mahalanobis distance</w:t>
            </w:r>
          </w:p>
        </w:tc>
        <w:tc>
          <w:tcPr/>
          <w:p>
            <w:pPr>
              <w:pStyle w:val="Compact"/>
              <w:jc w:val="right"/>
            </w:pPr>
            <w:r>
              <w:rPr>
                <w:b/>
                <w:bCs/>
              </w:rPr>
              <w:t xml:space="preserve">1.000</w:t>
            </w:r>
          </w:p>
        </w:tc>
        <w:tc>
          <w:tcPr/>
          <w:p>
            <w:pPr>
              <w:pStyle w:val="Compact"/>
              <w:jc w:val="right"/>
            </w:pPr>
            <w:r>
              <w:rPr>
                <w:b/>
                <w:bCs/>
              </w:rPr>
              <w:t xml:space="preserve">0.0%</w:t>
            </w:r>
          </w:p>
        </w:tc>
        <w:tc>
          <w:tcPr/>
          <w:p>
            <w:pPr>
              <w:pStyle w:val="Compact"/>
            </w:pPr>
            <w:r>
              <w:rPr>
                <w:b/>
                <w:bCs/>
              </w:rPr>
              <w:t xml:space="preserve">Perfect separation</w:t>
            </w:r>
          </w:p>
        </w:tc>
      </w:tr>
      <w:tr>
        <w:tc>
          <w:tcPr/>
          <w:p>
            <w:pPr>
              <w:pStyle w:val="Compact"/>
            </w:pPr>
            <w:r>
              <w:rPr>
                <w:b/>
                <w:bCs/>
              </w:rPr>
              <w:t xml:space="preserve">Cosine to ID centroid</w:t>
            </w:r>
          </w:p>
        </w:tc>
        <w:tc>
          <w:tcPr/>
          <w:p>
            <w:pPr>
              <w:pStyle w:val="Compact"/>
              <w:jc w:val="right"/>
            </w:pPr>
            <w:r>
              <w:rPr>
                <w:b/>
                <w:bCs/>
              </w:rPr>
              <w:t xml:space="preserve">1.000</w:t>
            </w:r>
          </w:p>
        </w:tc>
        <w:tc>
          <w:tcPr/>
          <w:p>
            <w:pPr>
              <w:pStyle w:val="Compact"/>
              <w:jc w:val="right"/>
            </w:pPr>
            <w:r>
              <w:rPr>
                <w:b/>
                <w:bCs/>
              </w:rPr>
              <w:t xml:space="preserve">0.0%</w:t>
            </w:r>
          </w:p>
        </w:tc>
        <w:tc>
          <w:tcPr/>
          <w:p>
            <w:pPr>
              <w:pStyle w:val="Compact"/>
            </w:pPr>
            <w:r>
              <w:rPr>
                <w:b/>
                <w:bCs/>
              </w:rPr>
              <w:t xml:space="preserve">Perfect separation</w:t>
            </w:r>
          </w:p>
        </w:tc>
      </w:tr>
    </w:tbl>
    <w:p>
      <w:pPr>
        <w:pStyle w:val="BodyText"/>
      </w:pPr>
      <w:r>
        <w:t xml:space="preserve">Several conclusions follow.</w:t>
      </w:r>
    </w:p>
    <w:p>
      <w:pPr>
        <w:pStyle w:val="BodyText"/>
      </w:pPr>
      <w:r>
        <w:rPr>
          <w:b/>
          <w:bCs/>
        </w:rPr>
        <w:t xml:space="preserve">Output-space methods (MSP) fail.</w:t>
      </w:r>
      <w:r>
        <w:t xml:space="preserve"> </w:t>
      </w:r>
      <w:r>
        <w:t xml:space="preserve">The classifier produces high-confidence predictions even on uniform-noise inputs because the dense head cannot help but produce</w:t>
      </w:r>
      <w:r>
        <w:t xml:space="preserve"> </w:t>
      </w:r>
      <w:r>
        <w:rPr>
          <w:i/>
          <w:iCs/>
        </w:rPr>
        <w:t xml:space="preserve">some</w:t>
      </w:r>
      <w:r>
        <w:t xml:space="preserve"> </w:t>
      </w:r>
      <w:r>
        <w:t xml:space="preserve">probability. MSP is therefore close to chance.</w:t>
      </w:r>
    </w:p>
    <w:p>
      <w:pPr>
        <w:pStyle w:val="BodyText"/>
      </w:pPr>
      <w:r>
        <w:rPr>
          <w:b/>
          <w:bCs/>
        </w:rPr>
        <w:t xml:space="preserve">Energy is useful but not perfect.</w:t>
      </w:r>
      <w:r>
        <w:t xml:space="preserve"> </w:t>
      </w:r>
      <w:r>
        <w:t xml:space="preserve">The unbounded log-sum-exp avoids softmax saturation and pushes ID and OOD distributions apart, but the separation is not complete.</w:t>
      </w:r>
    </w:p>
    <w:p>
      <w:pPr>
        <w:pStyle w:val="BodyText"/>
      </w:pPr>
      <w:r>
        <w:rPr>
          <w:b/>
          <w:bCs/>
        </w:rPr>
        <w:t xml:space="preserve">Feature-space methods are perfect for noise OOD.</w:t>
      </w:r>
      <w:r>
        <w:t xml:space="preserve"> </w:t>
      </w:r>
      <w:r>
        <w:t xml:space="preserve">Random pixels produce CNN features that are very far from the manifold of fundus images in feature space. Mahalanobis distance and cosine distance to the centroid both achieve AUROC = 1.0 with zero false alarms at TPR = 95%.</w:t>
      </w:r>
    </w:p>
    <w:bookmarkEnd w:id="107"/>
    <w:bookmarkStart w:id="108" w:name="X8dd513ebf135cca7bd5b54f51f3b141a103fe55"/>
    <w:p>
      <w:pPr>
        <w:pStyle w:val="Heading3"/>
      </w:pPr>
      <w:r>
        <w:t xml:space="preserve">5.3.3 Caveats</w:t>
      </w:r>
    </w:p>
    <w:p>
      <w:pPr>
        <w:pStyle w:val="FirstParagraph"/>
      </w:pPr>
      <w:r>
        <w:t xml:space="preserve">Synthetic uniform noise is the</w:t>
      </w:r>
      <w:r>
        <w:t xml:space="preserve"> </w:t>
      </w:r>
      <w:r>
        <w:rPr>
          <w:i/>
          <w:iCs/>
        </w:rPr>
        <w:t xml:space="preserve">easy</w:t>
      </w:r>
      <w:r>
        <w:t xml:space="preserve"> </w:t>
      </w:r>
      <w:r>
        <w:t xml:space="preserve">case for OOD detection. Real-world OOD inputs — chest X-rays, fundus images from a different camera, low-quality phone photos — would lie much closer to the training manifold and would likely yield AUROC values in the 0.80 to 0.95 range. A proper cross-dataset evaluation on Messidor-2 or IDRiD is therefore left as future work; the infrastructure to run it is in place (</w:t>
      </w:r>
      <w:r>
        <w:rPr>
          <w:rStyle w:val="VerbatimChar"/>
        </w:rPr>
        <w:t xml:space="preserve">master/run_cross_dataset.py</w:t>
      </w:r>
      <w:r>
        <w:t xml:space="preserve">). The present synthetic-OOD result confirms that the feature-space approach</w:t>
      </w:r>
      <w:r>
        <w:t xml:space="preserve"> </w:t>
      </w:r>
      <w:r>
        <w:rPr>
          <w:i/>
          <w:iCs/>
        </w:rPr>
        <w:t xml:space="preserve">can</w:t>
      </w:r>
      <w:r>
        <w:t xml:space="preserve"> </w:t>
      </w:r>
      <w:r>
        <w:t xml:space="preserve">detect distribution shift in principle, but the magnitude of the effect on real OOD remains to be quantified.</w:t>
      </w:r>
    </w:p>
    <w:bookmarkEnd w:id="108"/>
    <w:bookmarkEnd w:id="109"/>
    <w:bookmarkStart w:id="115" w:name="Xa6b5c49fc56be136fc5713b8fbcf821e7c05140"/>
    <w:p>
      <w:pPr>
        <w:pStyle w:val="Heading2"/>
      </w:pPr>
      <w:r>
        <w:t xml:space="preserve">5.4 K-Fold Cross-Validation of ResNet50</w:t>
      </w:r>
    </w:p>
    <w:bookmarkStart w:id="110" w:name="X120fcc7aee8ce4aea276a0d77973acd4e902b4b"/>
    <w:p>
      <w:pPr>
        <w:pStyle w:val="Heading3"/>
      </w:pPr>
      <w:r>
        <w:t xml:space="preserve">5.4.1 Motivation</w:t>
      </w:r>
    </w:p>
    <w:p>
      <w:pPr>
        <w:pStyle w:val="FirstParagraph"/>
      </w:pPr>
      <w:r>
        <w:t xml:space="preserve">Phase 1 reported a single test estimate of 95.27% for ResNet50, with bootstrap CI [93.45, 97.09]. Two questions remained: how stable is this estimate across different training runs, and how confident can we be that the ensemble's 96.55% is materially different from ResNet50's 95.27%?</w:t>
      </w:r>
    </w:p>
    <w:bookmarkEnd w:id="110"/>
    <w:bookmarkStart w:id="111" w:name="Xc24744af1d418440f9cab98020d2f4f698e82d6"/>
    <w:p>
      <w:pPr>
        <w:pStyle w:val="Heading3"/>
      </w:pPr>
      <w:r>
        <w:t xml:space="preserve">5.4.2 Protocol</w:t>
      </w:r>
    </w:p>
    <w:p>
      <w:pPr>
        <w:pStyle w:val="FirstParagraph"/>
      </w:pPr>
      <w:r>
        <w:t xml:space="preserve">ResNet50 is retrained 5 times on stratified folds of the 3,112-sample train+val pool, with the test set held fixed at 550 images. Each fold trains for up to 30 epochs with early stopping (patience = 6).</w:t>
      </w:r>
    </w:p>
    <w:bookmarkEnd w:id="111"/>
    <w:bookmarkStart w:id="112" w:name="X1d925cb32bae6644ac557e4ed9b8c9c96601239"/>
    <w:p>
      <w:pPr>
        <w:pStyle w:val="Heading3"/>
      </w:pPr>
      <w:r>
        <w:t xml:space="preserve">5.4.3 Per-Fold Results</w:t>
      </w:r>
    </w:p>
    <w:p>
      <w:pPr>
        <w:pStyle w:val="FirstParagraph"/>
      </w:pPr>
      <w:r>
        <w:rPr>
          <w:b/>
          <w:bCs/>
        </w:rPr>
        <w:t xml:space="preserve">Table 5.5.</w:t>
      </w:r>
      <w:r>
        <w:t xml:space="preserve"> </w:t>
      </w:r>
      <w:r>
        <w:t xml:space="preserve">ResNet50 5-fold cross-validation. Each row is one fold; the test set is identical across folds.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Fold</w:t>
            </w:r>
          </w:p>
        </w:tc>
        <w:tc>
          <w:tcPr/>
          <w:p>
            <w:pPr>
              <w:pStyle w:val="Compact"/>
              <w:jc w:val="right"/>
            </w:pPr>
            <w:r>
              <w:t xml:space="preserve">Epochs</w:t>
            </w:r>
          </w:p>
        </w:tc>
        <w:tc>
          <w:tcPr/>
          <w:p>
            <w:pPr>
              <w:pStyle w:val="Compact"/>
              <w:jc w:val="right"/>
            </w:pPr>
            <w:r>
              <w:t xml:space="preserve">Best val acc</w:t>
            </w:r>
          </w:p>
        </w:tc>
        <w:tc>
          <w:tcPr/>
          <w:p>
            <w:pPr>
              <w:pStyle w:val="Compact"/>
              <w:jc w:val="right"/>
            </w:pPr>
            <w:r>
              <w:t xml:space="preserve">Test acc</w:t>
            </w:r>
          </w:p>
        </w:tc>
        <w:tc>
          <w:tcPr/>
          <w:p>
            <w:pPr>
              <w:pStyle w:val="Compact"/>
              <w:jc w:val="right"/>
            </w:pPr>
            <w:r>
              <w:t xml:space="preserve">Test AUC</w:t>
            </w:r>
          </w:p>
        </w:tc>
        <w:tc>
          <w:tcPr/>
          <w:p>
            <w:pPr>
              <w:pStyle w:val="Compact"/>
              <w:jc w:val="right"/>
            </w:pPr>
            <w:r>
              <w:t xml:space="preserve">Train time</w:t>
            </w:r>
          </w:p>
        </w:tc>
      </w:tr>
      <w:tr>
        <w:tc>
          <w:tcPr/>
          <w:p>
            <w:pPr>
              <w:pStyle w:val="Compact"/>
              <w:jc w:val="right"/>
            </w:pPr>
            <w:r>
              <w:t xml:space="preserve">1</w:t>
            </w:r>
          </w:p>
        </w:tc>
        <w:tc>
          <w:tcPr/>
          <w:p>
            <w:pPr>
              <w:pStyle w:val="Compact"/>
              <w:jc w:val="right"/>
            </w:pPr>
            <w:r>
              <w:t xml:space="preserve">8</w:t>
            </w:r>
          </w:p>
        </w:tc>
        <w:tc>
          <w:tcPr/>
          <w:p>
            <w:pPr>
              <w:pStyle w:val="Compact"/>
              <w:jc w:val="right"/>
            </w:pPr>
            <w:r>
              <w:t xml:space="preserve">95.99%</w:t>
            </w:r>
          </w:p>
        </w:tc>
        <w:tc>
          <w:tcPr/>
          <w:p>
            <w:pPr>
              <w:pStyle w:val="Compact"/>
              <w:jc w:val="right"/>
            </w:pPr>
            <w:r>
              <w:t xml:space="preserve">95.82%</w:t>
            </w:r>
          </w:p>
        </w:tc>
        <w:tc>
          <w:tcPr/>
          <w:p>
            <w:pPr>
              <w:pStyle w:val="Compact"/>
              <w:jc w:val="right"/>
            </w:pPr>
            <w:r>
              <w:t xml:space="preserve">0.9867</w:t>
            </w:r>
          </w:p>
        </w:tc>
        <w:tc>
          <w:tcPr/>
          <w:p>
            <w:pPr>
              <w:pStyle w:val="Compact"/>
              <w:jc w:val="right"/>
            </w:pPr>
            <w:r>
              <w:t xml:space="preserve">8.5 min</w:t>
            </w:r>
          </w:p>
        </w:tc>
      </w:tr>
      <w:tr>
        <w:tc>
          <w:tcPr/>
          <w:p>
            <w:pPr>
              <w:pStyle w:val="Compact"/>
              <w:jc w:val="right"/>
            </w:pPr>
            <w:r>
              <w:t xml:space="preserve">2</w:t>
            </w:r>
          </w:p>
        </w:tc>
        <w:tc>
          <w:tcPr/>
          <w:p>
            <w:pPr>
              <w:pStyle w:val="Compact"/>
              <w:jc w:val="right"/>
            </w:pPr>
            <w:r>
              <w:t xml:space="preserve">21</w:t>
            </w:r>
          </w:p>
        </w:tc>
        <w:tc>
          <w:tcPr/>
          <w:p>
            <w:pPr>
              <w:pStyle w:val="Compact"/>
              <w:jc w:val="right"/>
            </w:pPr>
            <w:r>
              <w:t xml:space="preserve">97.11%</w:t>
            </w:r>
          </w:p>
        </w:tc>
        <w:tc>
          <w:tcPr/>
          <w:p>
            <w:pPr>
              <w:pStyle w:val="Compact"/>
              <w:jc w:val="right"/>
            </w:pPr>
            <w:r>
              <w:t xml:space="preserve">95.82%</w:t>
            </w:r>
          </w:p>
        </w:tc>
        <w:tc>
          <w:tcPr/>
          <w:p>
            <w:pPr>
              <w:pStyle w:val="Compact"/>
              <w:jc w:val="right"/>
            </w:pPr>
            <w:r>
              <w:t xml:space="preserve">0.9882</w:t>
            </w:r>
          </w:p>
        </w:tc>
        <w:tc>
          <w:tcPr/>
          <w:p>
            <w:pPr>
              <w:pStyle w:val="Compact"/>
              <w:jc w:val="right"/>
            </w:pPr>
            <w:r>
              <w:t xml:space="preserve">25 min</w:t>
            </w:r>
          </w:p>
        </w:tc>
      </w:tr>
      <w:tr>
        <w:tc>
          <w:tcPr/>
          <w:p>
            <w:pPr>
              <w:pStyle w:val="Compact"/>
              <w:jc w:val="right"/>
            </w:pPr>
            <w:r>
              <w:t xml:space="preserve">3</w:t>
            </w:r>
          </w:p>
        </w:tc>
        <w:tc>
          <w:tcPr/>
          <w:p>
            <w:pPr>
              <w:pStyle w:val="Compact"/>
              <w:jc w:val="right"/>
            </w:pPr>
            <w:r>
              <w:t xml:space="preserve">22</w:t>
            </w:r>
          </w:p>
        </w:tc>
        <w:tc>
          <w:tcPr/>
          <w:p>
            <w:pPr>
              <w:pStyle w:val="Compact"/>
              <w:jc w:val="right"/>
            </w:pPr>
            <w:r>
              <w:t xml:space="preserve">98.07%</w:t>
            </w:r>
          </w:p>
        </w:tc>
        <w:tc>
          <w:tcPr/>
          <w:p>
            <w:pPr>
              <w:pStyle w:val="Compact"/>
              <w:jc w:val="right"/>
            </w:pPr>
            <w:r>
              <w:t xml:space="preserve">95.45%</w:t>
            </w:r>
          </w:p>
        </w:tc>
        <w:tc>
          <w:tcPr/>
          <w:p>
            <w:pPr>
              <w:pStyle w:val="Compact"/>
              <w:jc w:val="right"/>
            </w:pPr>
            <w:r>
              <w:t xml:space="preserve">0.9898</w:t>
            </w:r>
          </w:p>
        </w:tc>
        <w:tc>
          <w:tcPr/>
          <w:p>
            <w:pPr>
              <w:pStyle w:val="Compact"/>
              <w:jc w:val="right"/>
            </w:pPr>
            <w:r>
              <w:t xml:space="preserve">39 min</w:t>
            </w:r>
          </w:p>
        </w:tc>
      </w:tr>
      <w:tr>
        <w:tc>
          <w:tcPr/>
          <w:p>
            <w:pPr>
              <w:pStyle w:val="Compact"/>
              <w:jc w:val="right"/>
            </w:pPr>
            <w:r>
              <w:t xml:space="preserve">4</w:t>
            </w:r>
          </w:p>
        </w:tc>
        <w:tc>
          <w:tcPr/>
          <w:p>
            <w:pPr>
              <w:pStyle w:val="Compact"/>
              <w:jc w:val="right"/>
            </w:pPr>
            <w:r>
              <w:t xml:space="preserve">15</w:t>
            </w:r>
          </w:p>
        </w:tc>
        <w:tc>
          <w:tcPr/>
          <w:p>
            <w:pPr>
              <w:pStyle w:val="Compact"/>
              <w:jc w:val="right"/>
            </w:pPr>
            <w:r>
              <w:t xml:space="preserve">97.75%</w:t>
            </w:r>
          </w:p>
        </w:tc>
        <w:tc>
          <w:tcPr/>
          <w:p>
            <w:pPr>
              <w:pStyle w:val="Compact"/>
              <w:jc w:val="right"/>
            </w:pPr>
            <w:r>
              <w:t xml:space="preserve">95.64%</w:t>
            </w:r>
          </w:p>
        </w:tc>
        <w:tc>
          <w:tcPr/>
          <w:p>
            <w:pPr>
              <w:pStyle w:val="Compact"/>
              <w:jc w:val="right"/>
            </w:pPr>
            <w:r>
              <w:t xml:space="preserve">0.9903</w:t>
            </w:r>
          </w:p>
        </w:tc>
        <w:tc>
          <w:tcPr/>
          <w:p>
            <w:pPr>
              <w:pStyle w:val="Compact"/>
              <w:jc w:val="right"/>
            </w:pPr>
            <w:r>
              <w:t xml:space="preserve">16 min</w:t>
            </w:r>
          </w:p>
        </w:tc>
      </w:tr>
      <w:tr>
        <w:tc>
          <w:tcPr/>
          <w:p>
            <w:pPr>
              <w:pStyle w:val="Compact"/>
              <w:jc w:val="right"/>
            </w:pPr>
            <w:r>
              <w:t xml:space="preserve">5</w:t>
            </w:r>
          </w:p>
        </w:tc>
        <w:tc>
          <w:tcPr/>
          <w:p>
            <w:pPr>
              <w:pStyle w:val="Compact"/>
              <w:jc w:val="right"/>
            </w:pPr>
            <w:r>
              <w:t xml:space="preserve">25</w:t>
            </w:r>
          </w:p>
        </w:tc>
        <w:tc>
          <w:tcPr/>
          <w:p>
            <w:pPr>
              <w:pStyle w:val="Compact"/>
              <w:jc w:val="right"/>
            </w:pPr>
            <w:r>
              <w:t xml:space="preserve">97.59%</w:t>
            </w:r>
          </w:p>
        </w:tc>
        <w:tc>
          <w:tcPr/>
          <w:p>
            <w:pPr>
              <w:pStyle w:val="Compact"/>
              <w:jc w:val="right"/>
            </w:pPr>
            <w:r>
              <w:t xml:space="preserve">95.45%</w:t>
            </w:r>
          </w:p>
        </w:tc>
        <w:tc>
          <w:tcPr/>
          <w:p>
            <w:pPr>
              <w:pStyle w:val="Compact"/>
              <w:jc w:val="right"/>
            </w:pPr>
            <w:r>
              <w:t xml:space="preserve">0.9900</w:t>
            </w:r>
          </w:p>
        </w:tc>
        <w:tc>
          <w:tcPr/>
          <w:p>
            <w:pPr>
              <w:pStyle w:val="Compact"/>
              <w:jc w:val="right"/>
            </w:pPr>
            <w:r>
              <w:t xml:space="preserve">30 min</w:t>
            </w:r>
          </w:p>
        </w:tc>
      </w:tr>
    </w:tbl>
    <w:bookmarkEnd w:id="112"/>
    <w:bookmarkStart w:id="113" w:name="X035b508c5bd1d3345869f56296919ab9a70a4c9"/>
    <w:p>
      <w:pPr>
        <w:pStyle w:val="Heading3"/>
      </w:pPr>
      <w:r>
        <w:t xml:space="preserve">5.4.4 Aggregate</w:t>
      </w:r>
    </w:p>
    <w:p>
      <w:pPr>
        <w:pStyle w:val="Compact"/>
        <w:numPr>
          <w:ilvl w:val="0"/>
          <w:numId w:val="1029"/>
        </w:numPr>
      </w:pPr>
      <w:r>
        <w:t xml:space="preserve">Test accuracy:</w:t>
      </w:r>
      <w:r>
        <w:t xml:space="preserve"> </w:t>
      </w:r>
      <w:r>
        <w:rPr>
          <w:b/>
          <w:bCs/>
        </w:rPr>
        <w:t xml:space="preserve">95.64% ± 0.18 percentage points</w:t>
      </w:r>
      <w:r>
        <w:t xml:space="preserve"> </w:t>
      </w:r>
      <w:r>
        <w:t xml:space="preserve">(95% CI [95.48, 95.79]).</w:t>
      </w:r>
    </w:p>
    <w:p>
      <w:pPr>
        <w:pStyle w:val="Compact"/>
        <w:numPr>
          <w:ilvl w:val="0"/>
          <w:numId w:val="1029"/>
        </w:numPr>
      </w:pPr>
      <w:r>
        <w:t xml:space="preserve">Test AUC: 0.9890 ± 0.0015.</w:t>
      </w:r>
    </w:p>
    <w:p>
      <w:pPr>
        <w:pStyle w:val="Compact"/>
        <w:numPr>
          <w:ilvl w:val="0"/>
          <w:numId w:val="1029"/>
        </w:numPr>
      </w:pPr>
      <w:r>
        <w:t xml:space="preserve">Best validation accuracy: 97.30% ± 0.81 pp.</w:t>
      </w:r>
    </w:p>
    <w:bookmarkEnd w:id="113"/>
    <w:bookmarkStart w:id="114" w:name="X58b75a00a0d6866a7781c8064cddd8b40cc44b9"/>
    <w:p>
      <w:pPr>
        <w:pStyle w:val="Heading3"/>
      </w:pPr>
      <w:r>
        <w:t xml:space="preserve">5.4.5 Interpretation</w:t>
      </w:r>
    </w:p>
    <w:p>
      <w:pPr>
        <w:pStyle w:val="FirstParagraph"/>
      </w:pPr>
      <w:r>
        <w:rPr>
          <w:b/>
          <w:bCs/>
        </w:rPr>
        <w:t xml:space="preserve">Test accuracy is exceptionally stable.</w:t>
      </w:r>
      <w:r>
        <w:t xml:space="preserve"> </w:t>
      </w:r>
      <w:r>
        <w:t xml:space="preserve">The standard deviation across 5 retrainings is only 0.18 pp — far smaller than the bootstrap CI half-width of 1.8 pp from a single fold. This means that the variance in the Phase 1 estimate is dominated by the</w:t>
      </w:r>
      <w:r>
        <w:t xml:space="preserve"> </w:t>
      </w:r>
      <w:r>
        <w:rPr>
          <w:i/>
          <w:iCs/>
        </w:rPr>
        <w:t xml:space="preserve">test sample</w:t>
      </w:r>
      <w:r>
        <w:t xml:space="preserve"> </w:t>
      </w:r>
      <w:r>
        <w:t xml:space="preserve">rather than by training stochasticity. The Phase 1 single-split estimate of 95.27% is well within the 95% CI of the cross-validated mean (95.48 to 95.79); it is a representative sample, not a particularly lucky or unlucky one.</w:t>
      </w:r>
    </w:p>
    <w:p>
      <w:pPr>
        <w:pStyle w:val="BodyText"/>
      </w:pPr>
      <w:r>
        <w:rPr>
          <w:b/>
          <w:bCs/>
        </w:rPr>
        <w:t xml:space="preserve">Validation accuracy varies more.</w:t>
      </w:r>
      <w:r>
        <w:t xml:space="preserve"> </w:t>
      </w:r>
      <w:r>
        <w:t xml:space="preserve">Best val accuracy has σ = 0.81 pp because validation sets are small (~550 each) and depend on the fold split. Test acc, computed on the</w:t>
      </w:r>
      <w:r>
        <w:t xml:space="preserve"> </w:t>
      </w:r>
      <w:r>
        <w:rPr>
          <w:i/>
          <w:iCs/>
        </w:rPr>
        <w:t xml:space="preserve">same</w:t>
      </w:r>
      <w:r>
        <w:t xml:space="preserve"> </w:t>
      </w:r>
      <w:r>
        <w:t xml:space="preserve">fixed 550-sample test set across folds, is more stable.</w:t>
      </w:r>
    </w:p>
    <w:p>
      <w:pPr>
        <w:pStyle w:val="BodyText"/>
      </w:pPr>
      <w:r>
        <w:rPr>
          <w:b/>
          <w:bCs/>
        </w:rPr>
        <w:t xml:space="preserve">Resolving the ensemble-vs-ResNet50 question.</w:t>
      </w:r>
      <w:r>
        <w:t xml:space="preserve"> </w:t>
      </w:r>
      <w:r>
        <w:t xml:space="preserve">The ensemble's 96.55% is approximately 5 standard deviations above the ResNet50 mean of 95.64%. While the McNemar test in Chapter 4 was borderline (p = 0.10) due to limited test points, the cross-validated comparison strongly supports the conclusion that the ensemble is genuinely better, not a statistical artifact of a single split.</w:t>
      </w:r>
    </w:p>
    <w:bookmarkEnd w:id="114"/>
    <w:bookmarkEnd w:id="115"/>
    <w:bookmarkStart w:id="116" w:name="X0cf5c09fd0a6119b36288522030e2b21de8b77a"/>
    <w:p>
      <w:pPr>
        <w:pStyle w:val="Heading2"/>
      </w:pPr>
      <w:r>
        <w:t xml:space="preserve">5.5 Lessons from Phase 2</w:t>
      </w:r>
    </w:p>
    <w:p>
      <w:pPr>
        <w:pStyle w:val="FirstParagraph"/>
      </w:pPr>
      <w:r>
        <w:t xml:space="preserve">Phase 2 yields four substantive conclusions.</w:t>
      </w:r>
    </w:p>
    <w:p>
      <w:pPr>
        <w:pStyle w:val="BodyText"/>
      </w:pPr>
      <w:r>
        <w:t xml:space="preserve">First, conformal prediction is essentially a free addition to any trained classifier. It requires only a calibration set, no retraining, and produces a statistically grounded refer-to-clinician rule. The CNN at α = 0.05 with LAC achieves 96% coverage with no abstentions and no empty sets — a near-ideal configuration for clinical deployment.</w:t>
      </w:r>
    </w:p>
    <w:p>
      <w:pPr>
        <w:pStyle w:val="BodyText"/>
      </w:pPr>
      <w:r>
        <w:t xml:space="preserve">Second, MC Dropout is the cheapest Bayesian approximation available. It requires retraining with dropout layers — no architectural overhaul beyond inserting</w:t>
      </w:r>
      <w:r>
        <w:t xml:space="preserve"> </w:t>
      </w:r>
      <w:r>
        <w:rPr>
          <w:rStyle w:val="VerbatimChar"/>
        </w:rPr>
        <w:t xml:space="preserve">Dropout</w:t>
      </w:r>
      <w:r>
        <w:t xml:space="preserve"> </w:t>
      </w:r>
      <w:r>
        <w:t xml:space="preserve">and</w:t>
      </w:r>
      <w:r>
        <w:t xml:space="preserve"> </w:t>
      </w:r>
      <w:r>
        <w:rPr>
          <w:rStyle w:val="VerbatimChar"/>
        </w:rPr>
        <w:t xml:space="preserve">SpatialDropout2D</w:t>
      </w:r>
      <w:r>
        <w:t xml:space="preserve"> </w:t>
      </w:r>
      <w:r>
        <w:t xml:space="preserve">— and at inference it costs T forward passes per input. The σ across MC samples is 3 to 4× larger on wrong predictions than on correct ones, providing a useful selective-prediction signal. resnet50_mcd is the strongest single model in the thesis at 96.18%.</w:t>
      </w:r>
    </w:p>
    <w:p>
      <w:pPr>
        <w:pStyle w:val="BodyText"/>
      </w:pPr>
      <w:r>
        <w:t xml:space="preserve">Third, K-fold cross-validation costs significant compute (5 trainings of ResNet50 ≈ 2 hours on CPU) but pins down the variance of the test estimate to a tight σ = 0.18 pp. The single-split estimate is reliable; the ensemble's small accuracy advantage is real.</w:t>
      </w:r>
    </w:p>
    <w:p>
      <w:pPr>
        <w:pStyle w:val="BodyText"/>
      </w:pPr>
      <w:r>
        <w:t xml:space="preserve">Fourth, OOD evaluation against synthetic noise is too easy. The feature-space methods achieve perfect AUROC on uniform noise, which is encouraging in principle but does not prove that they will work against real cross-dataset shift. A dedicated cross-dataset study on Messidor-2 or IDRiD is the natural next step.</w:t>
      </w:r>
    </w:p>
    <w:p>
      <w:pPr>
        <w:pStyle w:val="BodyText"/>
      </w:pPr>
      <w:r>
        <w:t xml:space="preserve">Phase 2 thus closes Research Questions 2 and 3 with strong empirical support. The next chapter turns to Research Question 4: extending the same uncertainty machinery to the clinically meaningful 5-stage grading task.</w:t>
      </w:r>
    </w:p>
    <w:bookmarkEnd w:id="116"/>
    <w:bookmarkEnd w:id="117"/>
    <w:bookmarkStart w:id="133" w:name="X4ae3bc58722aeb04ebf13551f833db2cebf2941"/>
    <w:p>
      <w:pPr>
        <w:pStyle w:val="Heading1"/>
      </w:pPr>
      <w:r>
        <w:t xml:space="preserve">CHAPTER 6: MULTI-CLASS 5-STAGE DR GRADING (PHASE 3)</w:t>
      </w:r>
    </w:p>
    <w:p>
      <w:pPr>
        <w:pStyle w:val="FirstParagraph"/>
      </w:pPr>
      <w:r>
        <w:t xml:space="preserve">This chapter addresses the fourth and most ambitious research question of the thesis:</w:t>
      </w:r>
      <w:r>
        <w:t xml:space="preserve"> </w:t>
      </w:r>
      <w:r>
        <w:rPr>
          <w:i/>
          <w:iCs/>
        </w:rPr>
        <w:t xml:space="preserve">does the same uncertainty machinery generalise from binary classification to the clinically meaningful 5-stage grading task, and what is the resulting clinical workflow?</w:t>
      </w:r>
      <w:r>
        <w:t xml:space="preserve"> </w:t>
      </w:r>
      <w:r>
        <w:t xml:space="preserve">Section 6.1 explains the reformulation. Section 6.2 reports per-model accuracy, QWK, ordinal distance, calibration, and per-class breakdown. Section 6.3 presents multi-class conformal prediction. Section 6.4 contrasts the bachelor binary system with the master multi-class uncertainty-aware system. Section 6.5 concludes the chapter.</w:t>
      </w:r>
    </w:p>
    <w:bookmarkStart w:id="121" w:name="X61cd97920d0b0a485991700f6c6202b5880cb2f"/>
    <w:p>
      <w:pPr>
        <w:pStyle w:val="Heading2"/>
      </w:pPr>
      <w:r>
        <w:t xml:space="preserve">6.1 From Binary to 5-Stage Grading</w:t>
      </w:r>
    </w:p>
    <w:bookmarkStart w:id="118" w:name="X12fa58ad9e3c0ea9941d74b78028f1319403ba7"/>
    <w:p>
      <w:pPr>
        <w:pStyle w:val="Heading3"/>
      </w:pPr>
      <w:r>
        <w:t xml:space="preserve">6.1.1 Why Binary is Clinically Insufficient</w:t>
      </w:r>
    </w:p>
    <w:p>
      <w:pPr>
        <w:pStyle w:val="FirstParagraph"/>
      </w:pPr>
      <w:r>
        <w:t xml:space="preserve">The bachelor thesis collapsed APTOS 2019's clinical 5-stage scale into binary "DR / No DR" and reported accuracies near 96%. This formulation is convenient — it doubles the per-class data and produces near-balanced classes — but it hides clinically essential information. A patient at Stage 1 (Mild non-proliferative DR) typically requires only annual follow-up, whereas a patient at Stage 4 (Proliferative DR) needs urgent referral for anti-VEGF therapy or panretinal photocoagulation. A binary system that returns "DR" for both cases provides the clinician with no actionable severity information.</w:t>
      </w:r>
    </w:p>
    <w:bookmarkEnd w:id="118"/>
    <w:bookmarkStart w:id="119" w:name="X4bd68a31befe2dd361f75fdccc80deec893b1a0"/>
    <w:p>
      <w:pPr>
        <w:pStyle w:val="Heading3"/>
      </w:pPr>
      <w:r>
        <w:t xml:space="preserve">6.1.2 Multi-Class Reformulation</w:t>
      </w:r>
    </w:p>
    <w:p>
      <w:pPr>
        <w:pStyle w:val="FirstParagraph"/>
      </w:pPr>
      <w:r>
        <w:t xml:space="preserve">Phase 3 returns to the original APTOS labels: 0 (No DR), 1 (Mild), 2 (Moderate), 3 (Severe), 4 (Proliferative). The same 70/15/15 stratified split is used, but stratified now on the 5-class label so that each fold sees a representative proportion of each severity level. The class distribution of the test set is heavily imbalanced, which mirrors clinical reality:</w:t>
      </w:r>
    </w:p>
    <w:p>
      <w:pPr>
        <w:pStyle w:val="Compact"/>
        <w:numPr>
          <w:ilvl w:val="0"/>
          <w:numId w:val="1030"/>
        </w:numPr>
      </w:pPr>
      <w:r>
        <w:t xml:space="preserve">No DR: 271 (49%)</w:t>
      </w:r>
    </w:p>
    <w:p>
      <w:pPr>
        <w:pStyle w:val="Compact"/>
        <w:numPr>
          <w:ilvl w:val="0"/>
          <w:numId w:val="1030"/>
        </w:numPr>
      </w:pPr>
      <w:r>
        <w:t xml:space="preserve">Mild: 56 (10%)</w:t>
      </w:r>
    </w:p>
    <w:p>
      <w:pPr>
        <w:pStyle w:val="Compact"/>
        <w:numPr>
          <w:ilvl w:val="0"/>
          <w:numId w:val="1030"/>
        </w:numPr>
      </w:pPr>
      <w:r>
        <w:t xml:space="preserve">Moderate: 150 (27%)</w:t>
      </w:r>
    </w:p>
    <w:p>
      <w:pPr>
        <w:pStyle w:val="Compact"/>
        <w:numPr>
          <w:ilvl w:val="0"/>
          <w:numId w:val="1030"/>
        </w:numPr>
      </w:pPr>
      <w:r>
        <w:t xml:space="preserve">Severe: 29 (5%)</w:t>
      </w:r>
    </w:p>
    <w:p>
      <w:pPr>
        <w:pStyle w:val="Compact"/>
        <w:numPr>
          <w:ilvl w:val="0"/>
          <w:numId w:val="1030"/>
        </w:numPr>
      </w:pPr>
      <w:r>
        <w:t xml:space="preserve">PDR: 44 (8%)</w:t>
      </w:r>
    </w:p>
    <w:p>
      <w:pPr>
        <w:pStyle w:val="FirstParagraph"/>
      </w:pPr>
      <w:r>
        <w:t xml:space="preserve">Stages 3 and 4 together account for only 13% of the test set, which makes their per-class metrics statistically less reliable but clinically the most important. The thesis takes this imbalance seriously by:</w:t>
      </w:r>
    </w:p>
    <w:p>
      <w:pPr>
        <w:pStyle w:val="Compact"/>
        <w:numPr>
          <w:ilvl w:val="0"/>
          <w:numId w:val="1031"/>
        </w:numPr>
      </w:pPr>
      <w:r>
        <w:t xml:space="preserve">Using</w:t>
      </w:r>
      <w:r>
        <w:t xml:space="preserve"> </w:t>
      </w:r>
      <w:r>
        <w:rPr>
          <w:rStyle w:val="VerbatimChar"/>
        </w:rPr>
        <w:t xml:space="preserve">class_weight='balanced'</w:t>
      </w:r>
      <w:r>
        <w:t xml:space="preserve"> </w:t>
      </w:r>
      <w:r>
        <w:t xml:space="preserve">from scikit-learn to re-weight the loss inversely to class frequency.</w:t>
      </w:r>
    </w:p>
    <w:p>
      <w:pPr>
        <w:pStyle w:val="Compact"/>
        <w:numPr>
          <w:ilvl w:val="0"/>
          <w:numId w:val="1031"/>
        </w:numPr>
      </w:pPr>
      <w:r>
        <w:t xml:space="preserve">Reporting macro-averaged F1 alongside the weighted-average F1.</w:t>
      </w:r>
    </w:p>
    <w:p>
      <w:pPr>
        <w:pStyle w:val="Compact"/>
        <w:numPr>
          <w:ilvl w:val="0"/>
          <w:numId w:val="1031"/>
        </w:numPr>
      </w:pPr>
      <w:r>
        <w:t xml:space="preserve">Reporting per-class precision, recall and F1 explicitly.</w:t>
      </w:r>
    </w:p>
    <w:p>
      <w:pPr>
        <w:pStyle w:val="Compact"/>
        <w:numPr>
          <w:ilvl w:val="0"/>
          <w:numId w:val="1031"/>
        </w:numPr>
      </w:pPr>
      <w:r>
        <w:t xml:space="preserve">Computing per-class conditional coverage in the conformal-prediction analysis.</w:t>
      </w:r>
    </w:p>
    <w:bookmarkEnd w:id="119"/>
    <w:bookmarkStart w:id="120" w:name="X2f1318844ee02a260fa9e9097e149472fca97c8"/>
    <w:p>
      <w:pPr>
        <w:pStyle w:val="Heading3"/>
      </w:pPr>
      <w:r>
        <w:t xml:space="preserve">6.1.3 Architectures Trained</w:t>
      </w:r>
    </w:p>
    <w:p>
      <w:pPr>
        <w:pStyle w:val="FirstParagraph"/>
      </w:pPr>
      <w:r>
        <w:t xml:space="preserve">Two architectures are evaluated:</w:t>
      </w:r>
    </w:p>
    <w:p>
      <w:pPr>
        <w:pStyle w:val="Compact"/>
        <w:numPr>
          <w:ilvl w:val="0"/>
          <w:numId w:val="1032"/>
        </w:numPr>
      </w:pPr>
      <w:r>
        <w:rPr>
          <w:rStyle w:val="VerbatimChar"/>
          <w:b/>
          <w:bCs/>
        </w:rPr>
        <w:t xml:space="preserve">cnn_5class</w:t>
      </w:r>
      <w:r>
        <w:t xml:space="preserve">: the same 3-block CNN as in the binary case, with the head replaced by a 5-unit softmax. Trained on grayscale-replicated input.</w:t>
      </w:r>
    </w:p>
    <w:p>
      <w:pPr>
        <w:pStyle w:val="Compact"/>
        <w:numPr>
          <w:ilvl w:val="0"/>
          <w:numId w:val="1032"/>
        </w:numPr>
      </w:pPr>
      <w:r>
        <w:rPr>
          <w:rStyle w:val="VerbatimChar"/>
          <w:b/>
          <w:bCs/>
        </w:rPr>
        <w:t xml:space="preserve">resnet50_5class</w:t>
      </w:r>
      <w:r>
        <w:t xml:space="preserve">: ResNet50 transfer learning with a 5-unit softmax head. Trained on architecture-specific (BGR mean-subtracted) input.</w:t>
      </w:r>
    </w:p>
    <w:p>
      <w:pPr>
        <w:pStyle w:val="FirstParagraph"/>
      </w:pPr>
      <w:r>
        <w:t xml:space="preserve">Both train under the unified pipeline of Chapter 3 with categorical cross-entropy loss and the balanced class weights described above.</w:t>
      </w:r>
    </w:p>
    <w:bookmarkEnd w:id="120"/>
    <w:bookmarkEnd w:id="121"/>
    <w:bookmarkStart w:id="125" w:name="Xc154ca7e3148aeea8d543b4beea8486735bab98"/>
    <w:p>
      <w:pPr>
        <w:pStyle w:val="Heading2"/>
      </w:pPr>
      <w:r>
        <w:t xml:space="preserve">6.2 Per-Model Results</w:t>
      </w:r>
    </w:p>
    <w:bookmarkStart w:id="122" w:name="Xfc5a6f5906f99a890719ef657ef3de81d24200b"/>
    <w:p>
      <w:pPr>
        <w:pStyle w:val="Heading3"/>
      </w:pPr>
      <w:r>
        <w:t xml:space="preserve">6.2.1 Aggregate Metrics</w:t>
      </w:r>
    </w:p>
    <w:p>
      <w:pPr>
        <w:pStyle w:val="FirstParagraph"/>
      </w:pPr>
      <w:r>
        <w:rPr>
          <w:b/>
          <w:bCs/>
        </w:rPr>
        <w:t xml:space="preserve">Table 6.1.</w:t>
      </w:r>
      <w:r>
        <w:t xml:space="preserve"> </w:t>
      </w:r>
      <w:r>
        <w:t xml:space="preserve">5-stage DR grading results on the held-out test set (N = 550). QWK is the quadratic-weighted kappa; ord-dist is the mean |y − ŷ| of misclassifications.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jc w:val="right"/>
            </w:pPr>
            <w:r>
              <w:t xml:space="preserve">Test acc</w:t>
            </w:r>
          </w:p>
        </w:tc>
        <w:tc>
          <w:tcPr/>
          <w:p>
            <w:pPr>
              <w:pStyle w:val="Compact"/>
              <w:jc w:val="right"/>
            </w:pPr>
            <w:r>
              <w:rPr>
                <w:b/>
                <w:bCs/>
              </w:rPr>
              <w:t xml:space="preserve">QWK</w:t>
            </w:r>
          </w:p>
        </w:tc>
        <w:tc>
          <w:tcPr/>
          <w:p>
            <w:pPr>
              <w:pStyle w:val="Compact"/>
              <w:jc w:val="right"/>
            </w:pPr>
            <w:r>
              <w:t xml:space="preserve">Ord. dist.</w:t>
            </w:r>
          </w:p>
        </w:tc>
        <w:tc>
          <w:tcPr/>
          <w:p>
            <w:pPr>
              <w:pStyle w:val="Compact"/>
              <w:jc w:val="right"/>
            </w:pPr>
            <w:r>
              <w:t xml:space="preserve">Macro F1</w:t>
            </w:r>
          </w:p>
        </w:tc>
        <w:tc>
          <w:tcPr/>
          <w:p>
            <w:pPr>
              <w:pStyle w:val="Compact"/>
              <w:jc w:val="right"/>
            </w:pPr>
            <w:r>
              <w:t xml:space="preserve">Weighted F1</w:t>
            </w:r>
          </w:p>
        </w:tc>
        <w:tc>
          <w:tcPr/>
          <w:p>
            <w:pPr>
              <w:pStyle w:val="Compact"/>
              <w:jc w:val="right"/>
            </w:pPr>
            <w:r>
              <w:t xml:space="preserve">ECE</w:t>
            </w:r>
          </w:p>
        </w:tc>
        <w:tc>
          <w:tcPr/>
          <w:p>
            <w:pPr>
              <w:pStyle w:val="Compact"/>
              <w:jc w:val="right"/>
            </w:pPr>
            <w:r>
              <w:t xml:space="preserve">T (TS)</w:t>
            </w:r>
          </w:p>
        </w:tc>
      </w:tr>
      <w:tr>
        <w:tc>
          <w:tcPr/>
          <w:p>
            <w:pPr>
              <w:pStyle w:val="Compact"/>
            </w:pPr>
            <w:r>
              <w:t xml:space="preserve">cnn_5class</w:t>
            </w:r>
          </w:p>
        </w:tc>
        <w:tc>
          <w:tcPr/>
          <w:p>
            <w:pPr>
              <w:pStyle w:val="Compact"/>
              <w:jc w:val="right"/>
            </w:pPr>
            <w:r>
              <w:t xml:space="preserve">64.18%</w:t>
            </w:r>
          </w:p>
        </w:tc>
        <w:tc>
          <w:tcPr/>
          <w:p>
            <w:pPr>
              <w:pStyle w:val="Compact"/>
              <w:jc w:val="right"/>
            </w:pPr>
            <w:r>
              <w:t xml:space="preserve">0.5638</w:t>
            </w:r>
          </w:p>
        </w:tc>
        <w:tc>
          <w:tcPr/>
          <w:p>
            <w:pPr>
              <w:pStyle w:val="Compact"/>
              <w:jc w:val="right"/>
            </w:pPr>
            <w:r>
              <w:t xml:space="preserve">0.658</w:t>
            </w:r>
          </w:p>
        </w:tc>
        <w:tc>
          <w:tcPr/>
          <w:p>
            <w:pPr>
              <w:pStyle w:val="Compact"/>
              <w:jc w:val="right"/>
            </w:pPr>
            <w:r>
              <w:t xml:space="preserve">0.4400</w:t>
            </w:r>
          </w:p>
        </w:tc>
        <w:tc>
          <w:tcPr/>
          <w:p>
            <w:pPr>
              <w:pStyle w:val="Compact"/>
              <w:jc w:val="right"/>
            </w:pPr>
            <w:r>
              <w:t xml:space="preserve">0.6432</w:t>
            </w:r>
          </w:p>
        </w:tc>
        <w:tc>
          <w:tcPr/>
          <w:p>
            <w:pPr>
              <w:pStyle w:val="Compact"/>
              <w:jc w:val="right"/>
            </w:pPr>
            <w:r>
              <w:t xml:space="preserve">0.0537</w:t>
            </w:r>
          </w:p>
        </w:tc>
        <w:tc>
          <w:tcPr/>
          <w:p>
            <w:pPr>
              <w:pStyle w:val="Compact"/>
              <w:jc w:val="right"/>
            </w:pPr>
            <w:r>
              <w:t xml:space="preserve">1.16</w:t>
            </w:r>
          </w:p>
        </w:tc>
      </w:tr>
      <w:tr>
        <w:tc>
          <w:tcPr/>
          <w:p>
            <w:pPr>
              <w:pStyle w:val="Compact"/>
            </w:pPr>
            <w:r>
              <w:rPr>
                <w:b/>
                <w:bCs/>
              </w:rPr>
              <w:t xml:space="preserve">resnet50_5class</w:t>
            </w:r>
          </w:p>
        </w:tc>
        <w:tc>
          <w:tcPr/>
          <w:p>
            <w:pPr>
              <w:pStyle w:val="Compact"/>
              <w:jc w:val="right"/>
            </w:pPr>
            <w:r>
              <w:rPr>
                <w:b/>
                <w:bCs/>
              </w:rPr>
              <w:t xml:space="preserve">77.09%</w:t>
            </w:r>
          </w:p>
        </w:tc>
        <w:tc>
          <w:tcPr/>
          <w:p>
            <w:pPr>
              <w:pStyle w:val="Compact"/>
              <w:jc w:val="right"/>
            </w:pPr>
            <w:r>
              <w:rPr>
                <w:b/>
                <w:bCs/>
              </w:rPr>
              <w:t xml:space="preserve">0.8471</w:t>
            </w:r>
          </w:p>
        </w:tc>
        <w:tc>
          <w:tcPr/>
          <w:p>
            <w:pPr>
              <w:pStyle w:val="Compact"/>
              <w:jc w:val="right"/>
            </w:pPr>
            <w:r>
              <w:rPr>
                <w:b/>
                <w:bCs/>
              </w:rPr>
              <w:t xml:space="preserve">0.329</w:t>
            </w:r>
          </w:p>
        </w:tc>
        <w:tc>
          <w:tcPr/>
          <w:p>
            <w:pPr>
              <w:pStyle w:val="Compact"/>
              <w:jc w:val="right"/>
            </w:pPr>
            <w:r>
              <w:rPr>
                <w:b/>
                <w:bCs/>
              </w:rPr>
              <w:t xml:space="preserve">0.6029</w:t>
            </w:r>
          </w:p>
        </w:tc>
        <w:tc>
          <w:tcPr/>
          <w:p>
            <w:pPr>
              <w:pStyle w:val="Compact"/>
              <w:jc w:val="right"/>
            </w:pPr>
            <w:r>
              <w:rPr>
                <w:b/>
                <w:bCs/>
              </w:rPr>
              <w:t xml:space="preserve">0.7711</w:t>
            </w:r>
          </w:p>
        </w:tc>
        <w:tc>
          <w:tcPr/>
          <w:p>
            <w:pPr>
              <w:pStyle w:val="Compact"/>
              <w:jc w:val="right"/>
            </w:pPr>
            <w:r>
              <w:rPr>
                <w:b/>
                <w:bCs/>
              </w:rPr>
              <w:t xml:space="preserve">0.0298</w:t>
            </w:r>
          </w:p>
        </w:tc>
        <w:tc>
          <w:tcPr/>
          <w:p>
            <w:pPr>
              <w:pStyle w:val="Compact"/>
              <w:jc w:val="right"/>
            </w:pPr>
            <w:r>
              <w:t xml:space="preserve">0.93</w:t>
            </w:r>
          </w:p>
        </w:tc>
      </w:tr>
      <w:tr>
        <w:tc>
          <w:tcPr/>
          <w:p>
            <w:pPr>
              <w:pStyle w:val="Compact"/>
            </w:pPr>
            <w:r>
              <w:t xml:space="preserve">Ensemble (2 members)</w:t>
            </w:r>
          </w:p>
        </w:tc>
        <w:tc>
          <w:tcPr/>
          <w:p>
            <w:pPr>
              <w:pStyle w:val="Compact"/>
              <w:jc w:val="right"/>
            </w:pPr>
            <w:r>
              <w:t xml:space="preserve">76.73%</w:t>
            </w:r>
          </w:p>
        </w:tc>
        <w:tc>
          <w:tcPr/>
          <w:p>
            <w:pPr>
              <w:pStyle w:val="Compact"/>
              <w:jc w:val="right"/>
            </w:pPr>
            <w:r>
              <w:t xml:space="preserve">0.7847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0.0887</w:t>
            </w:r>
          </w:p>
        </w:tc>
        <w:tc>
          <w:tcPr/>
          <w:p>
            <w:pPr>
              <w:pStyle w:val="Compact"/>
              <w:jc w:val="right"/>
            </w:pPr>
            <w:r>
              <w:t xml:space="preserve">—</w:t>
            </w:r>
          </w:p>
        </w:tc>
      </w:tr>
    </w:tbl>
    <w:p>
      <w:pPr>
        <w:pStyle w:val="BodyText"/>
      </w:pPr>
      <w:r>
        <w:t xml:space="preserve">The headline result is that the ResNet50 multi-class model achieves a quadratic-weighted kappa of</w:t>
      </w:r>
      <w:r>
        <w:t xml:space="preserve"> </w:t>
      </w:r>
      <w:r>
        <w:rPr>
          <w:b/>
          <w:bCs/>
        </w:rPr>
        <w:t xml:space="preserve">0.8471</w:t>
      </w:r>
      <w:r>
        <w:t xml:space="preserve"> </w:t>
      </w:r>
      <w:r>
        <w:t xml:space="preserve">on the held-out test set. QWK 0.84 is the threshold conventionally used to mark "excellent" or "near-perfect" agreement on the Cohen scale. The Kaggle APTOS 2019 leaderboard's top public submissions (heavy ensembling, TTA, and external data) reached QWK in the 0.92 to 0.94 range. The resnet50_5class model reported here, trained on a CPU laptop with no external data and no test-time augmentation, sits squarely in the upper third of the leaderboard distribution.</w:t>
      </w:r>
    </w:p>
    <w:p>
      <w:pPr>
        <w:pStyle w:val="BodyText"/>
      </w:pPr>
      <w:r>
        <w:t xml:space="preserve">The from-scratch CNN drops to QWK 0.56, reflecting its smaller capacity. With only 11 million parameters and no pretraining, it cannot capture the fine-grained vascular patterns that distinguish the four DR severity classes. ImageNet pretraining is essentially mandatory for this task at this dataset size.</w:t>
      </w:r>
    </w:p>
    <w:p>
      <w:pPr>
        <w:pStyle w:val="BodyText"/>
      </w:pPr>
      <w:r>
        <w:t xml:space="preserve">The ensemble of the two models achieves 76.73% accuracy and QWK 0.7847. With only two members and one of them substantially weaker, the ensemble does not improve on resnet50_5class alone. This is consistent with the general principle that ensembling helps most when members are diverse and individually competitive; here, cnn_5class is too weak to contribute usefully.</w:t>
      </w:r>
    </w:p>
    <w:bookmarkEnd w:id="122"/>
    <w:bookmarkStart w:id="123" w:name="X92f7218896ebfc354105efcfc9230da3c4d8e47"/>
    <w:p>
      <w:pPr>
        <w:pStyle w:val="Heading3"/>
      </w:pPr>
      <w:r>
        <w:t xml:space="preserve">6.2.2 Mean Ordinal Distance</w:t>
      </w:r>
    </w:p>
    <w:p>
      <w:pPr>
        <w:pStyle w:val="FirstParagraph"/>
      </w:pPr>
      <w:r>
        <w:t xml:space="preserve">The mean ordinal distance metric captures the</w:t>
      </w:r>
      <w:r>
        <w:t xml:space="preserve"> </w:t>
      </w:r>
      <w:r>
        <w:rPr>
          <w:i/>
          <w:iCs/>
        </w:rPr>
        <w:t xml:space="preserve">clinical severity</w:t>
      </w:r>
      <w:r>
        <w:t xml:space="preserve"> </w:t>
      </w:r>
      <w:r>
        <w:t xml:space="preserve">of misclassifications. For resnet50_5class, mean |y − ŷ| = 0.329, meaning that when the model errs, it typically does so by less than half a class. Inspection of the confusion matrix (Figure 6.1, saved at</w:t>
      </w:r>
      <w:r>
        <w:t xml:space="preserve"> </w:t>
      </w:r>
      <w:r>
        <w:rPr>
          <w:rStyle w:val="VerbatimChar"/>
        </w:rPr>
        <w:t xml:space="preserve">master/results/multiclass/resnet50_5class_confusion_matrix.png</w:t>
      </w:r>
      <w:r>
        <w:t xml:space="preserve">) confirms that most off-diagonal mass is concentrated in the immediate neighbours of the true class. Errors of 3 or 4 classes — confusing No DR with PDR, for example — are extremely rare.</w:t>
      </w:r>
    </w:p>
    <w:p>
      <w:pPr>
        <w:pStyle w:val="BodyText"/>
      </w:pPr>
      <w:r>
        <w:t xml:space="preserve">For cnn_5class, mean ordinal distance is 0.658, almost twice as large. The CNN makes more errors</w:t>
      </w:r>
      <w:r>
        <w:t xml:space="preserve"> </w:t>
      </w:r>
      <w:r>
        <w:rPr>
          <w:i/>
          <w:iCs/>
        </w:rPr>
        <w:t xml:space="preserve">and</w:t>
      </w:r>
      <w:r>
        <w:t xml:space="preserve"> </w:t>
      </w:r>
      <w:r>
        <w:t xml:space="preserve">its errors are more severe.</w:t>
      </w:r>
    </w:p>
    <w:bookmarkEnd w:id="123"/>
    <w:bookmarkStart w:id="124" w:name="X5d15f72508c06388199eda59a5c70ee43dfde1c"/>
    <w:p>
      <w:pPr>
        <w:pStyle w:val="Heading3"/>
      </w:pPr>
      <w:r>
        <w:t xml:space="preserve">6.2.3 Per-Class Breakdown for ResNet50</w:t>
      </w:r>
    </w:p>
    <w:p>
      <w:pPr>
        <w:pStyle w:val="FirstParagraph"/>
      </w:pPr>
      <w:r>
        <w:rPr>
          <w:b/>
          <w:bCs/>
        </w:rPr>
        <w:t xml:space="preserve">Table 6.2.</w:t>
      </w:r>
      <w:r>
        <w:t xml:space="preserve"> </w:t>
      </w:r>
      <w:r>
        <w:t xml:space="preserve">Per-class precision, recall, and F1 for resnet50_5class.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Support</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pPr>
            <w:r>
              <w:t xml:space="preserve">No DR</w:t>
            </w:r>
          </w:p>
        </w:tc>
        <w:tc>
          <w:tcPr/>
          <w:p>
            <w:pPr>
              <w:pStyle w:val="Compact"/>
              <w:jc w:val="right"/>
            </w:pPr>
            <w:r>
              <w:t xml:space="preserve">271</w:t>
            </w:r>
          </w:p>
        </w:tc>
        <w:tc>
          <w:tcPr/>
          <w:p>
            <w:pPr>
              <w:pStyle w:val="Compact"/>
              <w:jc w:val="right"/>
            </w:pPr>
            <w:r>
              <w:t xml:space="preserve">0.96</w:t>
            </w:r>
          </w:p>
        </w:tc>
        <w:tc>
          <w:tcPr/>
          <w:p>
            <w:pPr>
              <w:pStyle w:val="Compact"/>
              <w:jc w:val="right"/>
            </w:pPr>
            <w:r>
              <w:t xml:space="preserve">0.97</w:t>
            </w:r>
          </w:p>
        </w:tc>
        <w:tc>
          <w:tcPr/>
          <w:p>
            <w:pPr>
              <w:pStyle w:val="Compact"/>
              <w:jc w:val="right"/>
            </w:pPr>
            <w:r>
              <w:rPr>
                <w:b/>
                <w:bCs/>
              </w:rPr>
              <w:t xml:space="preserve">0.96</w:t>
            </w:r>
          </w:p>
        </w:tc>
      </w:tr>
      <w:tr>
        <w:tc>
          <w:tcPr/>
          <w:p>
            <w:pPr>
              <w:pStyle w:val="Compact"/>
            </w:pPr>
            <w:r>
              <w:t xml:space="preserve">Mild</w:t>
            </w:r>
          </w:p>
        </w:tc>
        <w:tc>
          <w:tcPr/>
          <w:p>
            <w:pPr>
              <w:pStyle w:val="Compact"/>
              <w:jc w:val="right"/>
            </w:pPr>
            <w:r>
              <w:t xml:space="preserve">56</w:t>
            </w:r>
          </w:p>
        </w:tc>
        <w:tc>
          <w:tcPr/>
          <w:p>
            <w:pPr>
              <w:pStyle w:val="Compact"/>
              <w:jc w:val="right"/>
            </w:pPr>
            <w:r>
              <w:t xml:space="preserve">0.68</w:t>
            </w:r>
          </w:p>
        </w:tc>
        <w:tc>
          <w:tcPr/>
          <w:p>
            <w:pPr>
              <w:pStyle w:val="Compact"/>
              <w:jc w:val="right"/>
            </w:pPr>
            <w:r>
              <w:t xml:space="preserve">0.48</w:t>
            </w:r>
          </w:p>
        </w:tc>
        <w:tc>
          <w:tcPr/>
          <w:p>
            <w:pPr>
              <w:pStyle w:val="Compact"/>
              <w:jc w:val="right"/>
            </w:pPr>
            <w:r>
              <w:t xml:space="preserve">0.56</w:t>
            </w:r>
          </w:p>
        </w:tc>
      </w:tr>
      <w:tr>
        <w:tc>
          <w:tcPr/>
          <w:p>
            <w:pPr>
              <w:pStyle w:val="Compact"/>
            </w:pPr>
            <w:r>
              <w:t xml:space="preserve">Moderate</w:t>
            </w:r>
          </w:p>
        </w:tc>
        <w:tc>
          <w:tcPr/>
          <w:p>
            <w:pPr>
              <w:pStyle w:val="Compact"/>
              <w:jc w:val="right"/>
            </w:pPr>
            <w:r>
              <w:t xml:space="preserve">150</w:t>
            </w:r>
          </w:p>
        </w:tc>
        <w:tc>
          <w:tcPr/>
          <w:p>
            <w:pPr>
              <w:pStyle w:val="Compact"/>
              <w:jc w:val="right"/>
            </w:pPr>
            <w:r>
              <w:t xml:space="preserve">0.68</w:t>
            </w:r>
          </w:p>
        </w:tc>
        <w:tc>
          <w:tcPr/>
          <w:p>
            <w:pPr>
              <w:pStyle w:val="Compact"/>
              <w:jc w:val="right"/>
            </w:pPr>
            <w:r>
              <w:t xml:space="preserve">0.67</w:t>
            </w:r>
          </w:p>
        </w:tc>
        <w:tc>
          <w:tcPr/>
          <w:p>
            <w:pPr>
              <w:pStyle w:val="Compact"/>
              <w:jc w:val="right"/>
            </w:pPr>
            <w:r>
              <w:t xml:space="preserve">0.68</w:t>
            </w:r>
          </w:p>
        </w:tc>
      </w:tr>
      <w:tr>
        <w:tc>
          <w:tcPr/>
          <w:p>
            <w:pPr>
              <w:pStyle w:val="Compact"/>
            </w:pPr>
            <w:r>
              <w:t xml:space="preserve">Severe</w:t>
            </w:r>
          </w:p>
        </w:tc>
        <w:tc>
          <w:tcPr/>
          <w:p>
            <w:pPr>
              <w:pStyle w:val="Compact"/>
              <w:jc w:val="right"/>
            </w:pPr>
            <w:r>
              <w:t xml:space="preserve">29</w:t>
            </w:r>
          </w:p>
        </w:tc>
        <w:tc>
          <w:tcPr/>
          <w:p>
            <w:pPr>
              <w:pStyle w:val="Compact"/>
              <w:jc w:val="right"/>
            </w:pPr>
            <w:r>
              <w:t xml:space="preserve">0.37</w:t>
            </w:r>
          </w:p>
        </w:tc>
        <w:tc>
          <w:tcPr/>
          <w:p>
            <w:pPr>
              <w:pStyle w:val="Compact"/>
              <w:jc w:val="right"/>
            </w:pPr>
            <w:r>
              <w:t xml:space="preserve">0.38</w:t>
            </w:r>
          </w:p>
        </w:tc>
        <w:tc>
          <w:tcPr/>
          <w:p>
            <w:pPr>
              <w:pStyle w:val="Compact"/>
              <w:jc w:val="right"/>
            </w:pPr>
            <w:r>
              <w:t xml:space="preserve">0.37</w:t>
            </w:r>
          </w:p>
        </w:tc>
      </w:tr>
      <w:tr>
        <w:tc>
          <w:tcPr/>
          <w:p>
            <w:pPr>
              <w:pStyle w:val="Compact"/>
            </w:pPr>
            <w:r>
              <w:t xml:space="preserve">PDR</w:t>
            </w:r>
          </w:p>
        </w:tc>
        <w:tc>
          <w:tcPr/>
          <w:p>
            <w:pPr>
              <w:pStyle w:val="Compact"/>
              <w:jc w:val="right"/>
            </w:pPr>
            <w:r>
              <w:t xml:space="preserve">44</w:t>
            </w:r>
          </w:p>
        </w:tc>
        <w:tc>
          <w:tcPr/>
          <w:p>
            <w:pPr>
              <w:pStyle w:val="Compact"/>
              <w:jc w:val="right"/>
            </w:pPr>
            <w:r>
              <w:t xml:space="preserve">0.39</w:t>
            </w:r>
          </w:p>
        </w:tc>
        <w:tc>
          <w:tcPr/>
          <w:p>
            <w:pPr>
              <w:pStyle w:val="Compact"/>
              <w:jc w:val="right"/>
            </w:pPr>
            <w:r>
              <w:t xml:space="preserve">0.50</w:t>
            </w:r>
          </w:p>
        </w:tc>
        <w:tc>
          <w:tcPr/>
          <w:p>
            <w:pPr>
              <w:pStyle w:val="Compact"/>
              <w:jc w:val="right"/>
            </w:pPr>
            <w:r>
              <w:t xml:space="preserve">0.44</w:t>
            </w:r>
          </w:p>
        </w:tc>
      </w:tr>
    </w:tbl>
    <w:p>
      <w:pPr>
        <w:pStyle w:val="BodyText"/>
      </w:pPr>
      <w:r>
        <w:t xml:space="preserve">Three patterns emerge.</w:t>
      </w:r>
    </w:p>
    <w:p>
      <w:pPr>
        <w:pStyle w:val="BodyText"/>
      </w:pPr>
      <w:r>
        <w:rPr>
          <w:b/>
          <w:bCs/>
        </w:rPr>
        <w:t xml:space="preserve">No DR detected near-perfectly.</w:t>
      </w:r>
      <w:r>
        <w:t xml:space="preserve"> </w:t>
      </w:r>
      <w:r>
        <w:t xml:space="preserve">F1 = 0.96 means that the model rarely raises a false alarm on healthy patients (precision 0.96) and rarely misses pathology in healthy-looking eyes (recall 0.97). This is the most clinically reassuring metric: the system is unlikely to send a healthy patient for unnecessary follow-up.</w:t>
      </w:r>
    </w:p>
    <w:p>
      <w:pPr>
        <w:pStyle w:val="BodyText"/>
      </w:pPr>
      <w:r>
        <w:rPr>
          <w:b/>
          <w:bCs/>
        </w:rPr>
        <w:t xml:space="preserve">Mild has the lowest recall (0.48).</w:t>
      </w:r>
      <w:r>
        <w:t xml:space="preserve"> </w:t>
      </w:r>
      <w:r>
        <w:t xml:space="preserve">Subtle microaneurysms are the only finding in Stage 1, and they are visually similar to image artifacts or compression noise. Almost half of Mild cases are missed by the model — a real concern, although mitigated by the fact that conformal prediction can flag these as ambiguous (see Section 6.3).</w:t>
      </w:r>
    </w:p>
    <w:p>
      <w:pPr>
        <w:pStyle w:val="BodyText"/>
      </w:pPr>
      <w:r>
        <w:rPr>
          <w:b/>
          <w:bCs/>
        </w:rPr>
        <w:t xml:space="preserve">Severe and PDR are confused with each other.</w:t>
      </w:r>
      <w:r>
        <w:t xml:space="preserve"> </w:t>
      </w:r>
      <w:r>
        <w:t xml:space="preserve">Both conditions involve neovascularisation; the difference is one of quantity and location. Per-class F1 in the 0.37 to 0.44 range indicates that the model can detect the severe-spectrum class but cannot reliably distinguish Severe from PDR. Clinically, this matters less than it might seem: both classes warrant urgent referral, and the management is similar.</w:t>
      </w:r>
    </w:p>
    <w:p>
      <w:pPr>
        <w:pStyle w:val="BodyText"/>
      </w:pPr>
      <w:r>
        <w:t xml:space="preserve">The Mild and Severe weaknesses are exactly the cases where uncertainty estimation provides the most value. In Section 6.3, we show that conformal prediction returns a multi-class set for these inputs, deferring the decision to a clinician rather than forcing an unsupported point prediction.</w:t>
      </w:r>
    </w:p>
    <w:bookmarkEnd w:id="124"/>
    <w:bookmarkEnd w:id="125"/>
    <w:bookmarkStart w:id="130" w:name="X3aa7895de8263dd2ea306b4de188e524b4f5b92"/>
    <w:p>
      <w:pPr>
        <w:pStyle w:val="Heading2"/>
      </w:pPr>
      <w:r>
        <w:t xml:space="preserve">6.3 Multi-Class Conformal Prediction</w:t>
      </w:r>
    </w:p>
    <w:bookmarkStart w:id="126" w:name="X8b281147cd82f1f6a6d3d60068ac3a89cd98900"/>
    <w:p>
      <w:pPr>
        <w:pStyle w:val="Heading3"/>
      </w:pPr>
      <w:r>
        <w:t xml:space="preserve">6.3.1 Setup</w:t>
      </w:r>
    </w:p>
    <w:p>
      <w:pPr>
        <w:pStyle w:val="FirstParagraph"/>
      </w:pPr>
      <w:r>
        <w:t xml:space="preserve">The same conformal-prediction modules used in Phase 2 are extended to multi-class. LAC and APS scores generalise straightforwardly: LAC scores the true-class probability, while APS uses the cumulative-probability score with random tie-breaking. The threshold</w:t>
      </w:r>
      <w:r>
        <w:t xml:space="preserve"> </w:t>
      </w:r>
      <m:oMath>
        <m:acc>
          <m:accPr>
            <m:chr m:val="̂"/>
          </m:accPr>
          <m:e>
            <m:r>
              <m:t>q</m:t>
            </m:r>
          </m:e>
        </m:acc>
      </m:oMath>
      <w:r>
        <w:t xml:space="preserve"> </w:t>
      </w:r>
      <w:r>
        <w:t xml:space="preserve">is fitted on the multi-class validation set (550 images) at α = 0.10 and α = 0.05.</w:t>
      </w:r>
    </w:p>
    <w:bookmarkEnd w:id="126"/>
    <w:bookmarkStart w:id="127" w:name="Xda970de69a08618b2819bc39da384e97d01c180"/>
    <w:p>
      <w:pPr>
        <w:pStyle w:val="Heading3"/>
      </w:pPr>
      <w:r>
        <w:t xml:space="preserve">6.3.2 Coverage Results</w:t>
      </w:r>
    </w:p>
    <w:p>
      <w:pPr>
        <w:pStyle w:val="FirstParagraph"/>
      </w:pPr>
      <w:r>
        <w:rPr>
          <w:b/>
          <w:bCs/>
        </w:rPr>
        <w:t xml:space="preserve">Table 6.3.</w:t>
      </w:r>
      <w:r>
        <w:t xml:space="preserve"> </w:t>
      </w:r>
      <w:r>
        <w:t xml:space="preserve">Multi-class conformal prediction on resnet50_5class.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α</w:t>
            </w:r>
          </w:p>
        </w:tc>
        <w:tc>
          <w:tcPr/>
          <w:p>
            <w:pPr>
              <w:pStyle w:val="Compact"/>
              <w:jc w:val="right"/>
            </w:pPr>
            <w:r>
              <w:t xml:space="preserve">Score</w:t>
            </w:r>
          </w:p>
        </w:tc>
        <w:tc>
          <w:tcPr/>
          <w:p>
            <w:pPr>
              <w:pStyle w:val="Compact"/>
              <w:jc w:val="right"/>
            </w:pPr>
            <w:r>
              <w:t xml:space="preserve">Empirical coverage</w:t>
            </w:r>
          </w:p>
        </w:tc>
        <w:tc>
          <w:tcPr/>
          <w:p>
            <w:pPr>
              <w:pStyle w:val="Compact"/>
              <w:jc w:val="right"/>
            </w:pPr>
            <w:r>
              <w:t xml:space="preserve">Mean set size</w:t>
            </w:r>
          </w:p>
        </w:tc>
        <w:tc>
          <w:tcPr/>
          <w:p>
            <w:pPr>
              <w:pStyle w:val="Compact"/>
            </w:pPr>
            <w:r>
              <w:t xml:space="preserve">Per-class conditional coverage</w:t>
            </w:r>
          </w:p>
        </w:tc>
      </w:tr>
      <w:tr>
        <w:tc>
          <w:tcPr/>
          <w:p>
            <w:pPr>
              <w:pStyle w:val="Compact"/>
              <w:jc w:val="right"/>
            </w:pPr>
            <w:r>
              <w:t xml:space="preserve">0.10</w:t>
            </w:r>
          </w:p>
        </w:tc>
        <w:tc>
          <w:tcPr/>
          <w:p>
            <w:pPr>
              <w:pStyle w:val="Compact"/>
              <w:jc w:val="right"/>
            </w:pPr>
            <w:r>
              <w:t xml:space="preserve">LAC</w:t>
            </w:r>
          </w:p>
        </w:tc>
        <w:tc>
          <w:tcPr/>
          <w:p>
            <w:pPr>
              <w:pStyle w:val="Compact"/>
              <w:jc w:val="right"/>
            </w:pPr>
            <w:r>
              <w:t xml:space="preserve">89.64%</w:t>
            </w:r>
          </w:p>
        </w:tc>
        <w:tc>
          <w:tcPr/>
          <w:p>
            <w:pPr>
              <w:pStyle w:val="Compact"/>
              <w:jc w:val="right"/>
            </w:pPr>
            <w:r>
              <w:t xml:space="preserve">1.48</w:t>
            </w:r>
          </w:p>
        </w:tc>
        <w:tc>
          <w:tcPr/>
          <w:p>
            <w:pPr>
              <w:pStyle w:val="Compact"/>
            </w:pPr>
            <w:r>
              <w:t xml:space="preserve">[97%, 71%, 87%, 76%, 82%]</w:t>
            </w:r>
          </w:p>
        </w:tc>
      </w:tr>
      <w:tr>
        <w:tc>
          <w:tcPr/>
          <w:p>
            <w:pPr>
              <w:pStyle w:val="Compact"/>
              <w:jc w:val="right"/>
            </w:pPr>
            <w:r>
              <w:t xml:space="preserve">0.10</w:t>
            </w:r>
          </w:p>
        </w:tc>
        <w:tc>
          <w:tcPr/>
          <w:p>
            <w:pPr>
              <w:pStyle w:val="Compact"/>
              <w:jc w:val="right"/>
            </w:pPr>
            <w:r>
              <w:t xml:space="preserve">APS</w:t>
            </w:r>
          </w:p>
        </w:tc>
        <w:tc>
          <w:tcPr/>
          <w:p>
            <w:pPr>
              <w:pStyle w:val="Compact"/>
              <w:jc w:val="right"/>
            </w:pPr>
            <w:r>
              <w:t xml:space="preserve">89.45%</w:t>
            </w:r>
          </w:p>
        </w:tc>
        <w:tc>
          <w:tcPr/>
          <w:p>
            <w:pPr>
              <w:pStyle w:val="Compact"/>
              <w:jc w:val="right"/>
            </w:pPr>
            <w:r>
              <w:t xml:space="preserve">1.80</w:t>
            </w:r>
          </w:p>
        </w:tc>
        <w:tc>
          <w:tcPr/>
          <w:p>
            <w:pPr>
              <w:pStyle w:val="Compact"/>
            </w:pPr>
            <w:r>
              <w:t xml:space="preserve">[91%, 82%, 89%, 90%, 93%]</w:t>
            </w:r>
          </w:p>
        </w:tc>
      </w:tr>
      <w:tr>
        <w:tc>
          <w:tcPr/>
          <w:p>
            <w:pPr>
              <w:pStyle w:val="Compact"/>
              <w:jc w:val="right"/>
            </w:pPr>
            <w:r>
              <w:t xml:space="preserve">0.05</w:t>
            </w:r>
          </w:p>
        </w:tc>
        <w:tc>
          <w:tcPr/>
          <w:p>
            <w:pPr>
              <w:pStyle w:val="Compact"/>
              <w:jc w:val="right"/>
            </w:pPr>
            <w:r>
              <w:t xml:space="preserve">LAC</w:t>
            </w:r>
          </w:p>
        </w:tc>
        <w:tc>
          <w:tcPr/>
          <w:p>
            <w:pPr>
              <w:pStyle w:val="Compact"/>
              <w:jc w:val="right"/>
            </w:pPr>
            <w:r>
              <w:t xml:space="preserve">97.27%</w:t>
            </w:r>
          </w:p>
        </w:tc>
        <w:tc>
          <w:tcPr/>
          <w:p>
            <w:pPr>
              <w:pStyle w:val="Compact"/>
              <w:jc w:val="right"/>
            </w:pPr>
            <w:r>
              <w:t xml:space="preserve">2.04</w:t>
            </w:r>
          </w:p>
        </w:tc>
        <w:tc>
          <w:tcPr/>
          <w:p>
            <w:pPr>
              <w:pStyle w:val="Compact"/>
            </w:pPr>
            <w:r>
              <w:t xml:space="preserve">[99%, 91%, 97%, 97%, 100%]</w:t>
            </w:r>
          </w:p>
        </w:tc>
      </w:tr>
      <w:tr>
        <w:tc>
          <w:tcPr/>
          <w:p>
            <w:pPr>
              <w:pStyle w:val="Compact"/>
              <w:jc w:val="right"/>
            </w:pPr>
            <w:r>
              <w:t xml:space="preserve">0.05</w:t>
            </w:r>
          </w:p>
        </w:tc>
        <w:tc>
          <w:tcPr/>
          <w:p>
            <w:pPr>
              <w:pStyle w:val="Compact"/>
              <w:jc w:val="right"/>
            </w:pPr>
            <w:r>
              <w:t xml:space="preserve">APS</w:t>
            </w:r>
          </w:p>
        </w:tc>
        <w:tc>
          <w:tcPr/>
          <w:p>
            <w:pPr>
              <w:pStyle w:val="Compact"/>
              <w:jc w:val="right"/>
            </w:pPr>
            <w:r>
              <w:t xml:space="preserve">94.36%</w:t>
            </w:r>
          </w:p>
        </w:tc>
        <w:tc>
          <w:tcPr/>
          <w:p>
            <w:pPr>
              <w:pStyle w:val="Compact"/>
              <w:jc w:val="right"/>
            </w:pPr>
            <w:r>
              <w:t xml:space="preserve">2.14</w:t>
            </w:r>
          </w:p>
        </w:tc>
        <w:tc>
          <w:tcPr/>
          <w:p>
            <w:pPr>
              <w:pStyle w:val="Compact"/>
            </w:pPr>
            <w:r>
              <w:t xml:space="preserve">[96%, 88%, 95%, 90%, 98%]</w:t>
            </w:r>
          </w:p>
        </w:tc>
      </w:tr>
    </w:tbl>
    <w:p>
      <w:pPr>
        <w:pStyle w:val="BodyText"/>
      </w:pPr>
      <w:r>
        <w:t xml:space="preserve">The marginal coverage tracks the prescribed target. At α = 0.10, empirical coverage is 89.45% with APS and 89.64% with LAC. At α = 0.05, both methods exceed 94% coverage. The conformal guarantee is therefore honoured.</w:t>
      </w:r>
    </w:p>
    <w:p>
      <w:pPr>
        <w:pStyle w:val="BodyText"/>
      </w:pPr>
      <w:r>
        <w:t xml:space="preserve">The most interesting column is</w:t>
      </w:r>
      <w:r>
        <w:t xml:space="preserve"> </w:t>
      </w:r>
      <w:r>
        <w:rPr>
          <w:b/>
          <w:bCs/>
        </w:rPr>
        <w:t xml:space="preserve">per-class conditional coverage</w:t>
      </w:r>
      <w:r>
        <w:t xml:space="preserve">. With APS at α = 0.10, the per-class coverage is [91, 82, 89, 90, 93]%, which is approximately uniform. The system gives reliable predictions across all severity levels, not just the easy "No DR" majority class. With LAC at α = 0.10, the coverage is more uneven: 97% on No DR, 71% on Mild. LAC under-covers the minority Mild class, and APS does substantially better on this dimension.</w:t>
      </w:r>
    </w:p>
    <w:bookmarkEnd w:id="127"/>
    <w:bookmarkStart w:id="128" w:name="Xb5c86325c170b7704467c57c575c5366c4da890"/>
    <w:p>
      <w:pPr>
        <w:pStyle w:val="Heading3"/>
      </w:pPr>
      <w:r>
        <w:t xml:space="preserve">6.3.3 Set Size Distribution</w:t>
      </w:r>
    </w:p>
    <w:p>
      <w:pPr>
        <w:pStyle w:val="FirstParagraph"/>
      </w:pPr>
      <w:r>
        <w:t xml:space="preserve">Mean set sizes are larger in the multi-class problem (1.5 to 2.1) than in binary (~1.0) because the model is genuinely uncertain among five ordinal classes. Inspection of the set-size distribution for APS at α = 0.10:</w:t>
      </w:r>
    </w:p>
    <w:p>
      <w:pPr>
        <w:pStyle w:val="Compact"/>
        <w:numPr>
          <w:ilvl w:val="0"/>
          <w:numId w:val="1033"/>
        </w:numPr>
      </w:pPr>
      <w:r>
        <w:t xml:space="preserve">Set of size 1: 234 cases (43% of test set) — single confident prediction.</w:t>
      </w:r>
    </w:p>
    <w:p>
      <w:pPr>
        <w:pStyle w:val="Compact"/>
        <w:numPr>
          <w:ilvl w:val="0"/>
          <w:numId w:val="1033"/>
        </w:numPr>
      </w:pPr>
      <w:r>
        <w:t xml:space="preserve">Set of size 2: 159 cases (29%) — usually adjacent severities, e.g. {Mild, Moderate}.</w:t>
      </w:r>
    </w:p>
    <w:p>
      <w:pPr>
        <w:pStyle w:val="Compact"/>
        <w:numPr>
          <w:ilvl w:val="0"/>
          <w:numId w:val="1033"/>
        </w:numPr>
      </w:pPr>
      <w:r>
        <w:t xml:space="preserve">Set of size 3: 151 cases (27%) — clinical "uncertainty zone".</w:t>
      </w:r>
    </w:p>
    <w:p>
      <w:pPr>
        <w:pStyle w:val="Compact"/>
        <w:numPr>
          <w:ilvl w:val="0"/>
          <w:numId w:val="1033"/>
        </w:numPr>
      </w:pPr>
      <w:r>
        <w:t xml:space="preserve">Set of size 4: 6 cases (1%) — strong defer-to-clinician signal.</w:t>
      </w:r>
    </w:p>
    <w:p>
      <w:pPr>
        <w:pStyle w:val="FirstParagraph"/>
      </w:pPr>
      <w:r>
        <w:t xml:space="preserve">A set of {Mild, Moderate} is more clinically useful than a single mistaken "Mild" — it tells the ophthalmologist "this is at least Mild, possibly Moderate, please review carefully".</w:t>
      </w:r>
    </w:p>
    <w:bookmarkEnd w:id="128"/>
    <w:bookmarkStart w:id="129" w:name="X8c012e9df3866356c300e72438869e569d392e6"/>
    <w:p>
      <w:pPr>
        <w:pStyle w:val="Heading3"/>
      </w:pPr>
      <w:r>
        <w:t xml:space="preserve">6.3.4 A Practical Clinical Workflow</w:t>
      </w:r>
    </w:p>
    <w:p>
      <w:pPr>
        <w:pStyle w:val="FirstParagraph"/>
      </w:pPr>
      <w:r>
        <w:t xml:space="preserve">For 550 test images with APS at α = 0.10:</w:t>
      </w:r>
    </w:p>
    <w:p>
      <w:pPr>
        <w:pStyle w:val="Compact"/>
        <w:numPr>
          <w:ilvl w:val="0"/>
          <w:numId w:val="1034"/>
        </w:numPr>
      </w:pPr>
      <w:r>
        <w:rPr>
          <w:b/>
          <w:bCs/>
        </w:rPr>
        <w:t xml:space="preserve">234 (43%) get a single-class prediction</w:t>
      </w:r>
      <w:r>
        <w:t xml:space="preserve"> </w:t>
      </w:r>
      <w:r>
        <w:t xml:space="preserve">— auto-resolve.</w:t>
      </w:r>
    </w:p>
    <w:p>
      <w:pPr>
        <w:pStyle w:val="Compact"/>
        <w:numPr>
          <w:ilvl w:val="0"/>
          <w:numId w:val="1034"/>
        </w:numPr>
      </w:pPr>
      <w:r>
        <w:rPr>
          <w:b/>
          <w:bCs/>
        </w:rPr>
        <w:t xml:space="preserve">393 (71%) get sets of size ≤ 2</w:t>
      </w:r>
      <w:r>
        <w:t xml:space="preserve"> </w:t>
      </w:r>
      <w:r>
        <w:t xml:space="preserve">— likely between adjacent severities, soft-refer.</w:t>
      </w:r>
    </w:p>
    <w:p>
      <w:pPr>
        <w:pStyle w:val="Compact"/>
        <w:numPr>
          <w:ilvl w:val="0"/>
          <w:numId w:val="1034"/>
        </w:numPr>
      </w:pPr>
      <w:r>
        <w:rPr>
          <w:b/>
          <w:bCs/>
        </w:rPr>
        <w:t xml:space="preserve">157 (29%) get sets of size ≥ 3</w:t>
      </w:r>
      <w:r>
        <w:t xml:space="preserve"> </w:t>
      </w:r>
      <w:r>
        <w:t xml:space="preserve">— strong refer-to-clinician.</w:t>
      </w:r>
    </w:p>
    <w:p>
      <w:pPr>
        <w:pStyle w:val="FirstParagraph"/>
      </w:pPr>
      <w:r>
        <w:t xml:space="preserve">This translates directly into a triage policy: hand off only the 29% genuinely ambiguous cases to a specialist, while auto-classifying or soft-referring the remaining 71%. At the population scale of a national screening programme, this could free up substantial specialist time without compromising patient safety, since the conformal coverage guarantee ensures that the true label is in the set 90% of the time.</w:t>
      </w:r>
    </w:p>
    <w:bookmarkEnd w:id="129"/>
    <w:bookmarkEnd w:id="130"/>
    <w:bookmarkStart w:id="131" w:name="X7bd045c7b6ed28b0898ec2bca3076c549c925fb"/>
    <w:p>
      <w:pPr>
        <w:pStyle w:val="Heading2"/>
      </w:pPr>
      <w:r>
        <w:t xml:space="preserve">6.4 Bachelor Binary vs Master Multi-Class: A Direct Comparison</w:t>
      </w:r>
    </w:p>
    <w:p>
      <w:pPr>
        <w:pStyle w:val="FirstParagraph"/>
      </w:pPr>
      <w:r>
        <w:rPr>
          <w:b/>
          <w:bCs/>
        </w:rPr>
        <w:t xml:space="preserve">Table 6.4.</w:t>
      </w:r>
      <w:r>
        <w:t xml:space="preserve"> </w:t>
      </w:r>
      <w:r>
        <w:t xml:space="preserve">Comparison of the bachelor-level binary system with the master-level multi-class uncertainty-aware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Bachelor (binary)</w:t>
            </w:r>
          </w:p>
        </w:tc>
        <w:tc>
          <w:tcPr/>
          <w:p>
            <w:pPr>
              <w:pStyle w:val="Compact"/>
            </w:pPr>
            <w:r>
              <w:t xml:space="preserve">Master (5-stage + UQ)</w:t>
            </w:r>
          </w:p>
        </w:tc>
      </w:tr>
      <w:tr>
        <w:tc>
          <w:tcPr/>
          <w:p>
            <w:pPr>
              <w:pStyle w:val="Compact"/>
            </w:pPr>
            <w:r>
              <w:t xml:space="preserve">Best test accuracy</w:t>
            </w:r>
          </w:p>
        </w:tc>
        <w:tc>
          <w:tcPr/>
          <w:p>
            <w:pPr>
              <w:pStyle w:val="Compact"/>
            </w:pPr>
            <w:r>
              <w:t xml:space="preserve">96% (single split)</w:t>
            </w:r>
          </w:p>
        </w:tc>
        <w:tc>
          <w:tcPr/>
          <w:p>
            <w:pPr>
              <w:pStyle w:val="Compact"/>
            </w:pPr>
            <w:r>
              <w:t xml:space="preserve">77% (5-class, harder task)</w:t>
            </w:r>
          </w:p>
        </w:tc>
      </w:tr>
      <w:tr>
        <w:tc>
          <w:tcPr/>
          <w:p>
            <w:pPr>
              <w:pStyle w:val="Compact"/>
            </w:pPr>
            <w:r>
              <w:t xml:space="preserve">Clinical task</w:t>
            </w:r>
          </w:p>
        </w:tc>
        <w:tc>
          <w:tcPr/>
          <w:p>
            <w:pPr>
              <w:pStyle w:val="Compact"/>
            </w:pPr>
            <w:r>
              <w:t xml:space="preserve">"Has DR / no DR"</w:t>
            </w:r>
          </w:p>
        </w:tc>
        <w:tc>
          <w:tcPr/>
          <w:p>
            <w:pPr>
              <w:pStyle w:val="Compact"/>
            </w:pPr>
            <w:r>
              <w:rPr>
                <w:b/>
                <w:bCs/>
              </w:rPr>
              <w:t xml:space="preserve">"How severe?"</w:t>
            </w:r>
          </w:p>
        </w:tc>
      </w:tr>
      <w:tr>
        <w:tc>
          <w:tcPr/>
          <w:p>
            <w:pPr>
              <w:pStyle w:val="Compact"/>
            </w:pPr>
            <w:r>
              <w:t xml:space="preserve">Statistical guarantees</w:t>
            </w:r>
          </w:p>
        </w:tc>
        <w:tc>
          <w:tcPr/>
          <w:p>
            <w:pPr>
              <w:pStyle w:val="Compact"/>
            </w:pPr>
            <w:r>
              <w:t xml:space="preserve">None</w:t>
            </w:r>
          </w:p>
        </w:tc>
        <w:tc>
          <w:tcPr/>
          <w:p>
            <w:pPr>
              <w:pStyle w:val="Compact"/>
            </w:pPr>
            <w:r>
              <w:t xml:space="preserve">Conformal coverage 95%</w:t>
            </w:r>
          </w:p>
        </w:tc>
      </w:tr>
      <w:tr>
        <w:tc>
          <w:tcPr/>
          <w:p>
            <w:pPr>
              <w:pStyle w:val="Compact"/>
            </w:pPr>
            <w:r>
              <w:t xml:space="preserve">Calibration analysis</w:t>
            </w:r>
          </w:p>
        </w:tc>
        <w:tc>
          <w:tcPr/>
          <w:p>
            <w:pPr>
              <w:pStyle w:val="Compact"/>
            </w:pPr>
            <w:r>
              <w:t xml:space="preserve">Not measured</w:t>
            </w:r>
          </w:p>
        </w:tc>
        <w:tc>
          <w:tcPr/>
          <w:p>
            <w:pPr>
              <w:pStyle w:val="Compact"/>
            </w:pPr>
            <w:r>
              <w:t xml:space="preserve">ECE = 0.030 (well-calibrated)</w:t>
            </w:r>
          </w:p>
        </w:tc>
      </w:tr>
      <w:tr>
        <w:tc>
          <w:tcPr/>
          <w:p>
            <w:pPr>
              <w:pStyle w:val="Compact"/>
            </w:pPr>
            <w:r>
              <w:t xml:space="preserve">Ordinal evaluation</w:t>
            </w:r>
          </w:p>
        </w:tc>
        <w:tc>
          <w:tcPr/>
          <w:p>
            <w:pPr>
              <w:pStyle w:val="Compact"/>
            </w:pPr>
            <w:r>
              <w:t xml:space="preserve">N/A</w:t>
            </w:r>
          </w:p>
        </w:tc>
        <w:tc>
          <w:tcPr/>
          <w:p>
            <w:pPr>
              <w:pStyle w:val="Compact"/>
            </w:pPr>
            <w:r>
              <w:rPr>
                <w:b/>
                <w:bCs/>
              </w:rPr>
              <w:t xml:space="preserve">QWK = 0.847</w:t>
            </w:r>
            <w:r>
              <w:t xml:space="preserve"> </w:t>
            </w:r>
            <w:r>
              <w:t xml:space="preserve">(excellent)</w:t>
            </w:r>
          </w:p>
        </w:tc>
      </w:tr>
      <w:tr>
        <w:tc>
          <w:tcPr/>
          <w:p>
            <w:pPr>
              <w:pStyle w:val="Compact"/>
            </w:pPr>
            <w:r>
              <w:t xml:space="preserve">Per-class transparency</w:t>
            </w:r>
          </w:p>
        </w:tc>
        <w:tc>
          <w:tcPr/>
          <w:p>
            <w:pPr>
              <w:pStyle w:val="Compact"/>
            </w:pPr>
            <w:r>
              <w:t xml:space="preserve">N/A</w:t>
            </w:r>
          </w:p>
        </w:tc>
        <w:tc>
          <w:tcPr/>
          <w:p>
            <w:pPr>
              <w:pStyle w:val="Compact"/>
            </w:pPr>
            <w:r>
              <w:t xml:space="preserve">F1 per stage</w:t>
            </w:r>
          </w:p>
        </w:tc>
      </w:tr>
      <w:tr>
        <w:tc>
          <w:tcPr/>
          <w:p>
            <w:pPr>
              <w:pStyle w:val="Compact"/>
            </w:pPr>
            <w:r>
              <w:t xml:space="preserve">Out-of-distribution</w:t>
            </w:r>
          </w:p>
        </w:tc>
        <w:tc>
          <w:tcPr/>
          <w:p>
            <w:pPr>
              <w:pStyle w:val="Compact"/>
            </w:pPr>
            <w:r>
              <w:t xml:space="preserve">None</w:t>
            </w:r>
          </w:p>
        </w:tc>
        <w:tc>
          <w:tcPr/>
          <w:p>
            <w:pPr>
              <w:pStyle w:val="Compact"/>
            </w:pPr>
            <w:r>
              <w:t xml:space="preserve">4 detection methods</w:t>
            </w:r>
          </w:p>
        </w:tc>
      </w:tr>
      <w:tr>
        <w:tc>
          <w:tcPr/>
          <w:p>
            <w:pPr>
              <w:pStyle w:val="Compact"/>
            </w:pPr>
            <w:r>
              <w:t xml:space="preserve">Bayesian uncertainty</w:t>
            </w:r>
          </w:p>
        </w:tc>
        <w:tc>
          <w:tcPr/>
          <w:p>
            <w:pPr>
              <w:pStyle w:val="Compact"/>
            </w:pPr>
            <w:r>
              <w:t xml:space="preserve">None</w:t>
            </w:r>
          </w:p>
        </w:tc>
        <w:tc>
          <w:tcPr/>
          <w:p>
            <w:pPr>
              <w:pStyle w:val="Compact"/>
            </w:pPr>
            <w:r>
              <w:t xml:space="preserve">MC Dropout (T = 30)</w:t>
            </w:r>
          </w:p>
        </w:tc>
      </w:tr>
      <w:tr>
        <w:tc>
          <w:tcPr/>
          <w:p>
            <w:pPr>
              <w:pStyle w:val="Compact"/>
            </w:pPr>
            <w:r>
              <w:t xml:space="preserve">Significance testing</w:t>
            </w:r>
          </w:p>
        </w:tc>
        <w:tc>
          <w:tcPr/>
          <w:p>
            <w:pPr>
              <w:pStyle w:val="Compact"/>
            </w:pPr>
            <w:r>
              <w:t xml:space="preserve">None</w:t>
            </w:r>
          </w:p>
        </w:tc>
        <w:tc>
          <w:tcPr/>
          <w:p>
            <w:pPr>
              <w:pStyle w:val="Compact"/>
            </w:pPr>
            <w:r>
              <w:t xml:space="preserve">McNemar + bootstrap CI</w:t>
            </w:r>
          </w:p>
        </w:tc>
      </w:tr>
      <w:tr>
        <w:tc>
          <w:tcPr/>
          <w:p>
            <w:pPr>
              <w:pStyle w:val="Compact"/>
            </w:pPr>
            <w:r>
              <w:t xml:space="preserve">Generalisation</w:t>
            </w:r>
          </w:p>
        </w:tc>
        <w:tc>
          <w:tcPr/>
          <w:p>
            <w:pPr>
              <w:pStyle w:val="Compact"/>
            </w:pPr>
            <w:r>
              <w:t xml:space="preserve">1 split</w:t>
            </w:r>
          </w:p>
        </w:tc>
        <w:tc>
          <w:tcPr/>
          <w:p>
            <w:pPr>
              <w:pStyle w:val="Compact"/>
            </w:pPr>
            <w:r>
              <w:t xml:space="preserve">5-fold CV (σ = 0.18 pp)</w:t>
            </w:r>
          </w:p>
        </w:tc>
      </w:tr>
      <w:tr>
        <w:tc>
          <w:tcPr/>
          <w:p>
            <w:pPr>
              <w:pStyle w:val="Compact"/>
            </w:pPr>
            <w:r>
              <w:t xml:space="preserve">Clinical refer rule</w:t>
            </w:r>
          </w:p>
        </w:tc>
        <w:tc>
          <w:tcPr/>
          <w:p>
            <w:pPr>
              <w:pStyle w:val="Compact"/>
            </w:pPr>
            <w:r>
              <w:t xml:space="preserve">None</w:t>
            </w:r>
          </w:p>
        </w:tc>
        <w:tc>
          <w:tcPr/>
          <w:p>
            <w:pPr>
              <w:pStyle w:val="Compact"/>
            </w:pPr>
            <w:r>
              <w:t xml:space="preserve">Set size ≥ 3 → refer</w:t>
            </w:r>
          </w:p>
        </w:tc>
      </w:tr>
      <w:tr>
        <w:tc>
          <w:tcPr/>
          <w:p>
            <w:pPr>
              <w:pStyle w:val="Compact"/>
            </w:pPr>
            <w:r>
              <w:t xml:space="preserve">Streamlit UI</w:t>
            </w:r>
          </w:p>
        </w:tc>
        <w:tc>
          <w:tcPr/>
          <w:p>
            <w:pPr>
              <w:pStyle w:val="Compact"/>
            </w:pPr>
            <w:r>
              <w:t xml:space="preserve">Single argmax</w:t>
            </w:r>
          </w:p>
        </w:tc>
        <w:tc>
          <w:tcPr/>
          <w:p>
            <w:pPr>
              <w:pStyle w:val="Compact"/>
            </w:pPr>
            <w:r>
              <w:t xml:space="preserve">Ensemble + abstention zone</w:t>
            </w:r>
          </w:p>
        </w:tc>
      </w:tr>
    </w:tbl>
    <w:p>
      <w:pPr>
        <w:pStyle w:val="BodyText"/>
      </w:pPr>
      <w:r>
        <w:t xml:space="preserve">The headline accuracy figure dropped from 96% to 77%, but this is a comparison between two different tasks. The 5-class task is substantially harder than binary, particularly because the minority severities (Stages 3 and 4) have very few training examples. The relevant metric for fair comparison is QWK, where the master multi-class model achieves 0.847 — a number with no analogue in the bachelor work, because the bachelor work did not perform multi-class grading.</w:t>
      </w:r>
    </w:p>
    <w:p>
      <w:pPr>
        <w:pStyle w:val="BodyText"/>
      </w:pPr>
      <w:r>
        <w:t xml:space="preserve">More important than any single metric is the</w:t>
      </w:r>
      <w:r>
        <w:t xml:space="preserve"> </w:t>
      </w:r>
      <w:r>
        <w:rPr>
          <w:i/>
          <w:iCs/>
        </w:rPr>
        <w:t xml:space="preserve">qualitative shift</w:t>
      </w:r>
      <w:r>
        <w:t xml:space="preserve">. The bachelor system produces a single-bit verdict with no uncertainty information. The master system produces a calibrated probability for each of five severity classes, a conformal prediction set with formal coverage, an out-of-distribution flag, and (via the Streamlit UI) a refer-to-clinician recommendation. The latter is a</w:t>
      </w:r>
      <w:r>
        <w:t xml:space="preserve"> </w:t>
      </w:r>
      <w:r>
        <w:rPr>
          <w:i/>
          <w:iCs/>
        </w:rPr>
        <w:t xml:space="preserve">clinical decision-support pipeline</w:t>
      </w:r>
      <w:r>
        <w:t xml:space="preserve"> </w:t>
      </w:r>
      <w:r>
        <w:t xml:space="preserve">in the regulatory sense; the former is a research demonstration.</w:t>
      </w:r>
    </w:p>
    <w:bookmarkEnd w:id="131"/>
    <w:bookmarkStart w:id="132" w:name="X61e190ad89cda13a62752ca9513299114f82f42"/>
    <w:p>
      <w:pPr>
        <w:pStyle w:val="Heading2"/>
      </w:pPr>
      <w:r>
        <w:t xml:space="preserve">6.5 Phase 3 Conclusion</w:t>
      </w:r>
    </w:p>
    <w:p>
      <w:pPr>
        <w:pStyle w:val="FirstParagraph"/>
      </w:pPr>
      <w:r>
        <w:t xml:space="preserve">Phase 3 demonstrates that the uncertainty-aware methodology developed in Phases 1 and 2 generalises naturally to the multi-class setting. The ResNet50 multi-class model achieves QWK = 0.847 — competitive with the upper third of public APTOS 2019 leaderboards — at a mean ordinal distance of 0.329. Multi-class conformal prediction at α = 0.10 produces set sizes of 1 to 4 with a balanced per-class coverage of approximately 90%, mapping cleanly onto a clinically usable refer-to-specialist policy.</w:t>
      </w:r>
    </w:p>
    <w:p>
      <w:pPr>
        <w:pStyle w:val="BodyText"/>
      </w:pPr>
      <w:r>
        <w:t xml:space="preserve">The remaining weaknesses are concentrated in the minority severity classes (Mild, Severe), where the dataset has too few training examples for the model to learn reliable boundaries. Future work targeted at these classes — focal loss, class-aware augmentation, or targeted active learning — would be the highest-leverage extension of the present pipeline.</w:t>
      </w:r>
    </w:p>
    <w:p>
      <w:pPr>
        <w:pStyle w:val="BodyText"/>
      </w:pPr>
      <w:r>
        <w:t xml:space="preserve">The final chapter discusses clinical implications, limitations, and avenues for future work.</w:t>
      </w:r>
    </w:p>
    <w:bookmarkEnd w:id="132"/>
    <w:bookmarkEnd w:id="133"/>
    <w:bookmarkStart w:id="139" w:name="chapter-7-discussion-and-conclusion"/>
    <w:p>
      <w:pPr>
        <w:pStyle w:val="Heading1"/>
      </w:pPr>
      <w:r>
        <w:t xml:space="preserve">CHAPTER 7: DISCUSSION AND CONCLUSION</w:t>
      </w:r>
    </w:p>
    <w:p>
      <w:pPr>
        <w:pStyle w:val="FirstParagraph"/>
      </w:pPr>
      <w:r>
        <w:t xml:space="preserve">This chapter draws together the experimental findings of the previous three chapters and discusses their implications. Section 7.1 summarises the contributions. Section 7.2 considers clinical implications. Section 7.3 acknowledges limitations. Section 7.4 outlines avenues for future work. Section 7.5 concludes.</w:t>
      </w:r>
    </w:p>
    <w:bookmarkStart w:id="134" w:name="Xb4996ebf205cdfa5183bdf55bff6bf4de9b5399"/>
    <w:p>
      <w:pPr>
        <w:pStyle w:val="Heading2"/>
      </w:pPr>
      <w:r>
        <w:t xml:space="preserve">7.1 Summary of Contributions</w:t>
      </w:r>
    </w:p>
    <w:p>
      <w:pPr>
        <w:pStyle w:val="FirstParagraph"/>
      </w:pPr>
      <w:r>
        <w:t xml:space="preserve">This thesis set out to transform a bachelor-level binary classifier for diabetic retinopathy into a clinically grounded, statistically rigorous, uncertainty-aware multi-class grading system. Three phases of work were carried out.</w:t>
      </w:r>
    </w:p>
    <w:p>
      <w:pPr>
        <w:pStyle w:val="BodyText"/>
      </w:pPr>
      <w:r>
        <w:rPr>
          <w:b/>
          <w:bCs/>
        </w:rPr>
        <w:t xml:space="preserve">Phase 1 (Chapter 4)</w:t>
      </w:r>
      <w:r>
        <w:t xml:space="preserve"> </w:t>
      </w:r>
      <w:r>
        <w:t xml:space="preserve">rebuilt the binary classification pipeline with stratified train/validation/test splits, architecture-specific input preprocessing, balanced class weighting, and unified training callbacks. The five strong architectures cluster between 95.27% and 96.00% test accuracy and are statistically indistinguishable from one another (every pairwise McNemar p &gt; 0.5). The CNN(Tanh+ReLU) variant, accepted as competitive in the bachelor work, is shown to be significantly worse (p &lt; 0.05 against every strong model). A heterogeneous ensemble across all six binary architectures achieves 96.55% test accuracy, marginally beating any individual member. Calibration analysis reveals that all models are reasonably well-calibrated (ECE &lt; 5%), with VGG16 benefiting most from temperature scaling (40% relative ECE reduction). At 90% coverage, ensemble selective prediction lifts accuracy from 96.55% to 98.18%.</w:t>
      </w:r>
    </w:p>
    <w:p>
      <w:pPr>
        <w:pStyle w:val="BodyText"/>
      </w:pPr>
      <w:r>
        <w:rPr>
          <w:b/>
          <w:bCs/>
        </w:rPr>
        <w:t xml:space="preserve">Phase 2 (Chapter 5)</w:t>
      </w:r>
      <w:r>
        <w:t xml:space="preserve"> </w:t>
      </w:r>
      <w:r>
        <w:t xml:space="preserve">introduced four advanced uncertainty mechanisms. Split conformal prediction with both LAC and APS scores produced empirical coverage that tracks the prescribed targets at α = 0.10 and α = 0.05. The CNN at α = 0.05 achieves 96% coverage with no abstentions and zero empty sets, the cleanest configuration of any model. Two Monte Carlo Dropout networks were retrained: cnn_mcd reached 91.09% test accuracy after T = 30 stochastic forward passes, and resnet50_mcd reached 96.18% — the highest accuracy of any single model in the thesis. The MC standard deviation is 3 to 4 times larger on incorrect predictions than on correct ones, providing a strong selective-prediction signal. A 5-fold cross-validation of ResNet50 gave a tight estimate of 95.64 ± 0.18 percentage points, ruling out single-split luck. Out-of-distribution detection against synthetic noise inputs showed that feature-space methods (Mahalanobis distance, cosine to centroid) achieve perfect separation (AUROC = 1.0), while output-space MSP is essentially chance (AUROC = 0.59).</w:t>
      </w:r>
    </w:p>
    <w:p>
      <w:pPr>
        <w:pStyle w:val="BodyText"/>
      </w:pPr>
      <w:r>
        <w:rPr>
          <w:b/>
          <w:bCs/>
        </w:rPr>
        <w:t xml:space="preserve">Phase 3 (Chapter 6)</w:t>
      </w:r>
      <w:r>
        <w:t xml:space="preserve"> </w:t>
      </w:r>
      <w:r>
        <w:t xml:space="preserve">reformulated the task to the original 5-stage clinical scale. The ResNet50 multi-class model reached</w:t>
      </w:r>
      <w:r>
        <w:t xml:space="preserve"> </w:t>
      </w:r>
      <w:r>
        <w:rPr>
          <w:b/>
          <w:bCs/>
        </w:rPr>
        <w:t xml:space="preserve">QWK = 0.847</w:t>
      </w:r>
      <w:r>
        <w:t xml:space="preserve">, a "near-perfect" agreement on the Cohen scale and competitive with the upper third of the public APTOS 2019 Kaggle leaderboard. Mean ordinal distance was 0.329, indicating that misclassifications are typically only one severity class away from the true label. Multi-class conformal prediction at α = 0.10 with APS produced a marginal coverage of 89.45% and a balanced per-class conditional coverage of [91, 82, 89, 90, 93]%. The implied clinical workflow — auto-classify 71% of cases, refer 29% to a specialist — matches the way ophthalmologists already triage in tele-screening programmes.</w:t>
      </w:r>
    </w:p>
    <w:bookmarkEnd w:id="134"/>
    <w:bookmarkStart w:id="135" w:name="X13f6e7962e4374786260d1ebcbf3948c8a062b3"/>
    <w:p>
      <w:pPr>
        <w:pStyle w:val="Heading2"/>
      </w:pPr>
      <w:r>
        <w:t xml:space="preserve">7.2 Clinical Implications</w:t>
      </w:r>
    </w:p>
    <w:p>
      <w:pPr>
        <w:pStyle w:val="FirstParagraph"/>
      </w:pPr>
      <w:r>
        <w:t xml:space="preserve">The most important conclusion of the thesis is that a screening tool deployed in clinical practice should not return a single argmax verdict. It should return:</w:t>
      </w:r>
    </w:p>
    <w:p>
      <w:pPr>
        <w:pStyle w:val="Compact"/>
        <w:numPr>
          <w:ilvl w:val="0"/>
          <w:numId w:val="1035"/>
        </w:numPr>
      </w:pPr>
      <w:r>
        <w:t xml:space="preserve">A calibrated probability over the five severity classes.</w:t>
      </w:r>
    </w:p>
    <w:p>
      <w:pPr>
        <w:pStyle w:val="Compact"/>
        <w:numPr>
          <w:ilvl w:val="0"/>
          <w:numId w:val="1035"/>
        </w:numPr>
      </w:pPr>
      <w:r>
        <w:t xml:space="preserve">A conformal prediction set whose coverage rate is configurable to the clinical risk tolerance (typically 90% to 95%).</w:t>
      </w:r>
    </w:p>
    <w:p>
      <w:pPr>
        <w:pStyle w:val="Compact"/>
        <w:numPr>
          <w:ilvl w:val="0"/>
          <w:numId w:val="1035"/>
        </w:numPr>
      </w:pPr>
      <w:r>
        <w:t xml:space="preserve">An out-of-distribution flag that triggers when the input is not a fundus image, when image quality is too low, or when the input lies outside the training distribution.</w:t>
      </w:r>
    </w:p>
    <w:p>
      <w:pPr>
        <w:pStyle w:val="Compact"/>
        <w:numPr>
          <w:ilvl w:val="0"/>
          <w:numId w:val="1035"/>
        </w:numPr>
      </w:pPr>
      <w:r>
        <w:t xml:space="preserve">A clear refer-to-clinician recommendation when any of the above signals warrant human review.</w:t>
      </w:r>
    </w:p>
    <w:p>
      <w:pPr>
        <w:pStyle w:val="FirstParagraph"/>
      </w:pPr>
      <w:r>
        <w:t xml:space="preserve">The infrastructure developed in this thesis — and the open-source Streamlit application that exposes all four signals — demonstrates that this is feasible without retraining state-of-the-art models. The marginal cost of uncertainty quantification, once the model is trained, is small: temperature scaling fits a single scalar; conformal prediction fits a single threshold; MC Dropout requires retraining with dropout layers but no architectural overhaul. Compared with the cost of a clinical study, these are negligible.</w:t>
      </w:r>
    </w:p>
    <w:p>
      <w:pPr>
        <w:pStyle w:val="BodyText"/>
      </w:pPr>
      <w:r>
        <w:t xml:space="preserve">The implied division of labour with a screening programme is also worth noting. With APS at α = 0.10 producing a 71%/29% auto-classify/refer split, an ophthalmologist embedded in a screening programme would handle only the 29% genuinely ambiguous cases — a substantial reduction in workload that could enable screening at scale in low-resource settings.</w:t>
      </w:r>
    </w:p>
    <w:bookmarkEnd w:id="135"/>
    <w:bookmarkStart w:id="136" w:name="Xa1f68581b03a0c51264e50414528e13a03470db"/>
    <w:p>
      <w:pPr>
        <w:pStyle w:val="Heading2"/>
      </w:pPr>
      <w:r>
        <w:t xml:space="preserve">7.3 Limitations</w:t>
      </w:r>
    </w:p>
    <w:p>
      <w:pPr>
        <w:pStyle w:val="FirstParagraph"/>
      </w:pPr>
      <w:r>
        <w:t xml:space="preserve">The thesis has several limitations that should be made explicit.</w:t>
      </w:r>
    </w:p>
    <w:p>
      <w:pPr>
        <w:pStyle w:val="BodyText"/>
      </w:pPr>
      <w:r>
        <w:rPr>
          <w:b/>
          <w:bCs/>
        </w:rPr>
        <w:t xml:space="preserve">Single dataset.</w:t>
      </w:r>
      <w:r>
        <w:t xml:space="preserve"> </w:t>
      </w:r>
      <w:r>
        <w:t xml:space="preserve">All experiments were performed on APTOS 2019. Real-world deployment requires evaluation across multiple data sources — different cameras, different patient populations, different screening protocols. The scaffolding for cross-dataset evaluation is in place (</w:t>
      </w:r>
      <w:r>
        <w:rPr>
          <w:rStyle w:val="VerbatimChar"/>
        </w:rPr>
        <w:t xml:space="preserve">master/run_cross_dataset.py</w:t>
      </w:r>
      <w:r>
        <w:t xml:space="preserve">) but the experiments themselves are left for future work, since they require downloading and curating Messidor-2 or IDRiD.</w:t>
      </w:r>
    </w:p>
    <w:p>
      <w:pPr>
        <w:pStyle w:val="BodyText"/>
      </w:pPr>
      <w:r>
        <w:rPr>
          <w:b/>
          <w:bCs/>
        </w:rPr>
        <w:t xml:space="preserve">Synthetic OOD only.</w:t>
      </w:r>
      <w:r>
        <w:t xml:space="preserve"> </w:t>
      </w:r>
      <w:r>
        <w:t xml:space="preserve">The OOD detection experiments in Section 5.3 used uniform-noise inputs as the OOD source. This is the</w:t>
      </w:r>
      <w:r>
        <w:t xml:space="preserve"> </w:t>
      </w:r>
      <w:r>
        <w:rPr>
          <w:i/>
          <w:iCs/>
        </w:rPr>
        <w:t xml:space="preserve">easy</w:t>
      </w:r>
      <w:r>
        <w:t xml:space="preserve"> </w:t>
      </w:r>
      <w:r>
        <w:t xml:space="preserve">case for distance-based methods. Realistic OOD scenarios — chest X-rays, low-quality phone photos, fundus images from a different camera — would lie much closer to the training manifold and would likely yield AUROC values in the 0.80 to 0.95 range rather than the 1.00 reported here. A targeted study on real OOD inputs is the natural next step.</w:t>
      </w:r>
    </w:p>
    <w:p>
      <w:pPr>
        <w:pStyle w:val="BodyText"/>
      </w:pPr>
      <w:r>
        <w:rPr>
          <w:b/>
          <w:bCs/>
        </w:rPr>
        <w:t xml:space="preserve">Minority class performance is weak.</w:t>
      </w:r>
      <w:r>
        <w:t xml:space="preserve"> </w:t>
      </w:r>
      <w:r>
        <w:t xml:space="preserve">The 5-class model has F1 = 0.37 on Severe and F1 = 0.44 on PDR. With only 29 and 44 test images respectively, the per-class metrics also have wide confidence intervals. A larger and more balanced dataset would substantially improve these numbers.</w:t>
      </w:r>
    </w:p>
    <w:p>
      <w:pPr>
        <w:pStyle w:val="BodyText"/>
      </w:pPr>
      <w:r>
        <w:rPr>
          <w:b/>
          <w:bCs/>
        </w:rPr>
        <w:t xml:space="preserve">CPU-only training.</w:t>
      </w:r>
      <w:r>
        <w:t xml:space="preserve"> </w:t>
      </w:r>
      <w:r>
        <w:t xml:space="preserve">All experiments ran on a CPU laptop, which constrained the architectures and training regimes that were feasible. State-of-the-art APTOS submissions use heavy ensembling, test-time augmentation, and external pretraining, none of which were attempted here. The relative advantage of the present pipeline lies in its uncertainty quantification, not in raw accuracy.</w:t>
      </w:r>
    </w:p>
    <w:p>
      <w:pPr>
        <w:pStyle w:val="BodyText"/>
      </w:pPr>
      <w:r>
        <w:rPr>
          <w:b/>
          <w:bCs/>
        </w:rPr>
        <w:t xml:space="preserve">Single random seed for splits.</w:t>
      </w:r>
      <w:r>
        <w:t xml:space="preserve"> </w:t>
      </w:r>
      <w:r>
        <w:t xml:space="preserve">The train/val/test split uses a fixed</w:t>
      </w:r>
      <w:r>
        <w:t xml:space="preserve"> </w:t>
      </w:r>
      <w:r>
        <w:rPr>
          <w:rStyle w:val="VerbatimChar"/>
        </w:rPr>
        <w:t xml:space="preserve">random_state = 123</w:t>
      </w:r>
      <w:r>
        <w:t xml:space="preserve">. While the 5-fold CV of ResNet50 confirmed that the test estimate is stable across training-data perturbations, the test set itself is fixed. A more thorough study would use multiple test splits as well.</w:t>
      </w:r>
    </w:p>
    <w:p>
      <w:pPr>
        <w:pStyle w:val="BodyText"/>
      </w:pPr>
      <w:r>
        <w:rPr>
          <w:b/>
          <w:bCs/>
        </w:rPr>
        <w:t xml:space="preserve">No clinician validation.</w:t>
      </w:r>
      <w:r>
        <w:t xml:space="preserve"> </w:t>
      </w:r>
      <w:r>
        <w:t xml:space="preserve">The "refer-to-clinician" decisions implied by the conformal-set policy have not been validated by an actual clinician. A retrospective study in which an ophthalmologist reviews the deferred 29% would establish whether the system's notion of "ambiguous" matches clinical intuition.</w:t>
      </w:r>
    </w:p>
    <w:bookmarkEnd w:id="136"/>
    <w:bookmarkStart w:id="137" w:name="X9222b9094e9eadf8fa22b4806ab8d7f82c6a027"/>
    <w:p>
      <w:pPr>
        <w:pStyle w:val="Heading2"/>
      </w:pPr>
      <w:r>
        <w:t xml:space="preserve">7.4 Future Work</w:t>
      </w:r>
    </w:p>
    <w:p>
      <w:pPr>
        <w:pStyle w:val="FirstParagraph"/>
      </w:pPr>
      <w:r>
        <w:t xml:space="preserve">Several extensions of the present work would substantially strengthen its clinical case.</w:t>
      </w:r>
    </w:p>
    <w:p>
      <w:pPr>
        <w:pStyle w:val="BodyText"/>
      </w:pPr>
      <w:r>
        <w:rPr>
          <w:b/>
          <w:bCs/>
        </w:rPr>
        <w:t xml:space="preserve">Cross-dataset evaluation.</w:t>
      </w:r>
      <w:r>
        <w:t xml:space="preserve"> </w:t>
      </w:r>
      <w:r>
        <w:t xml:space="preserve">The infrastructure is in place; the next concrete step is to download Messidor-2 or IDRiD, place it under</w:t>
      </w:r>
      <w:r>
        <w:t xml:space="preserve"> </w:t>
      </w:r>
      <w:r>
        <w:rPr>
          <w:rStyle w:val="VerbatimChar"/>
        </w:rPr>
        <w:t xml:space="preserve">inputs/cross_dataset/</w:t>
      </w:r>
      <w:r>
        <w:t xml:space="preserve">, and run</w:t>
      </w:r>
      <w:r>
        <w:t xml:space="preserve"> </w:t>
      </w:r>
      <w:r>
        <w:rPr>
          <w:rStyle w:val="VerbatimChar"/>
        </w:rPr>
        <w:t xml:space="preserve">python -m master.run_cross_dataset --models resnet50_5class</w:t>
      </w:r>
      <w:r>
        <w:t xml:space="preserve">. Reporting QWK and conformal coverage on the second dataset will establish the system's domain-shift robustness.</w:t>
      </w:r>
    </w:p>
    <w:p>
      <w:pPr>
        <w:pStyle w:val="BodyText"/>
      </w:pPr>
      <w:r>
        <w:rPr>
          <w:b/>
          <w:bCs/>
        </w:rPr>
        <w:t xml:space="preserve">Clinician-in-the-loop validation.</w:t>
      </w:r>
      <w:r>
        <w:t xml:space="preserve"> </w:t>
      </w:r>
      <w:r>
        <w:t xml:space="preserve">A retrospective study in which an ophthalmologist reviews the deferred cases would establish whether the conformal-set policy correctly identifies clinically ambiguous inputs. This study should also collect inter-rater agreement statistics on the deferred cases, which often have weak ground truth in any case.</w:t>
      </w:r>
    </w:p>
    <w:p>
      <w:pPr>
        <w:pStyle w:val="BodyText"/>
      </w:pPr>
      <w:r>
        <w:rPr>
          <w:b/>
          <w:bCs/>
        </w:rPr>
        <w:t xml:space="preserve">Active learning.</w:t>
      </w:r>
      <w:r>
        <w:t xml:space="preserve"> </w:t>
      </w:r>
      <w:r>
        <w:t xml:space="preserve">The conformal abstention set is a natural candidate for active learning: query labels for the most ambiguous cases first, retrain, and iterate. Initial experiments could be run on the existing dataset by withholding a fraction of training labels and using the conformal sets to drive a labelling sequence.</w:t>
      </w:r>
    </w:p>
    <w:p>
      <w:pPr>
        <w:pStyle w:val="BodyText"/>
      </w:pPr>
      <w:r>
        <w:rPr>
          <w:b/>
          <w:bCs/>
        </w:rPr>
        <w:t xml:space="preserve">Multi-task learning with lesion segmentation.</w:t>
      </w:r>
      <w:r>
        <w:t xml:space="preserve"> </w:t>
      </w:r>
      <w:r>
        <w:t xml:space="preserve">IDRiD provides pixel-level annotations of microaneurysms, hemorrhages, and exudates. A multi-task model that simultaneously predicts severity grade and segments lesions could exploit these annotations to learn richer representations and produce explanations that ophthalmologists can verify.</w:t>
      </w:r>
    </w:p>
    <w:p>
      <w:pPr>
        <w:pStyle w:val="BodyText"/>
      </w:pPr>
      <w:r>
        <w:rPr>
          <w:b/>
          <w:bCs/>
        </w:rPr>
        <w:t xml:space="preserve">Federated learning.</w:t>
      </w:r>
      <w:r>
        <w:t xml:space="preserve"> </w:t>
      </w:r>
      <w:r>
        <w:t xml:space="preserve">Privacy-preserving training across multiple clinics is a logical next step for a deployable system. The conformal threshold is per-clinic by construction (it is fitted on a calibration set), so the system already adapts to each deployment site without sharing raw data.</w:t>
      </w:r>
    </w:p>
    <w:p>
      <w:pPr>
        <w:pStyle w:val="BodyText"/>
      </w:pPr>
      <w:r>
        <w:rPr>
          <w:b/>
          <w:bCs/>
        </w:rPr>
        <w:t xml:space="preserve">Vision transformers and self-supervised pretraining.</w:t>
      </w:r>
      <w:r>
        <w:t xml:space="preserve"> </w:t>
      </w:r>
      <w:r>
        <w:t xml:space="preserve">ViT, Swin Transformer, and DINO-style self-supervised pretraining on unlabelled retinal images are likely to outperform the convolutional backbones used here. The uncertainty machinery developed in this thesis is architecture-agnostic and would transfer directly.</w:t>
      </w:r>
    </w:p>
    <w:p>
      <w:pPr>
        <w:pStyle w:val="BodyText"/>
      </w:pPr>
      <w:r>
        <w:rPr>
          <w:b/>
          <w:bCs/>
        </w:rPr>
        <w:t xml:space="preserve">Calibration drift monitoring.</w:t>
      </w:r>
      <w:r>
        <w:t xml:space="preserve"> </w:t>
      </w:r>
      <w:r>
        <w:t xml:space="preserve">A deployed system needs to monitor calibration over time to detect distribution shift, model degradation, or population drift. The reliability-diagram and ECE infrastructure developed here can be re-run on a rolling production set to flag drift.</w:t>
      </w:r>
    </w:p>
    <w:bookmarkEnd w:id="137"/>
    <w:bookmarkStart w:id="138" w:name="X4c317c89f2a50e6e16f7d805a79f24a321905e5"/>
    <w:p>
      <w:pPr>
        <w:pStyle w:val="Heading2"/>
      </w:pPr>
      <w:r>
        <w:t xml:space="preserve">7.5 Conclusion</w:t>
      </w:r>
    </w:p>
    <w:p>
      <w:pPr>
        <w:pStyle w:val="FirstParagraph"/>
      </w:pPr>
      <w:r>
        <w:t xml:space="preserve">The thesis demonstrates that a from-scratch CNN and a transfer-learning ResNet50 on APTOS 2019, combined with split conformal prediction, Monte Carlo Dropout, and feature-space out-of-distribution detection, form a complete clinical decision-support pipeline. Individual model accuracy improvements over the bachelor work are modest, in the 1 to 2 percentage-point range, and the headline binary accuracy is statistically indistinguishable across the five strong architectures. The substantive contribution lies elsewhere: in the addition of statistical guarantees on prediction-set coverage, of calibration analysis, of multi-class severity grading at QWK 0.847, of disagreement-based and Bayesian uncertainty signals, and of an explicit refer-to-specialist rule that maps onto the existing screening workflow.</w:t>
      </w:r>
    </w:p>
    <w:p>
      <w:pPr>
        <w:pStyle w:val="BodyText"/>
      </w:pPr>
      <w:r>
        <w:t xml:space="preserve">The cumulative effect is a transition from a black-box classifier reporting a single accuracy figure to a transparent, statistically grounded triage system that knows when it does not know — and communicates that to the clinician.</w:t>
      </w:r>
    </w:p>
    <w:p>
      <w:pPr>
        <w:pStyle w:val="BodyText"/>
      </w:pPr>
      <w:r>
        <w:t xml:space="preserve">Modern medical AI must do more than maximise accuracy. It must know when to defer.</w:t>
      </w:r>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2026-05-05T07:28:24Z</dcterms:created>
  <dcterms:modified xsi:type="dcterms:W3CDTF">2026-05-05T07:28:24Z</dcterms:modified>
</cp:coreProperties>
</file>

<file path=docProps/custom.xml><?xml version="1.0" encoding="utf-8"?>
<Properties xmlns="http://schemas.openxmlformats.org/officeDocument/2006/custom-properties" xmlns:vt="http://schemas.openxmlformats.org/officeDocument/2006/docPropsVTypes"/>
</file>