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00000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000000" w:rsidRPr="0047743F" w:rsidRDefault="00DF68BE">
            <w:pPr>
              <w:pStyle w:val="ECVPersonalInfoHeading"/>
              <w:rPr>
                <w:sz w:val="20"/>
                <w:szCs w:val="20"/>
              </w:rPr>
            </w:pPr>
            <w:r w:rsidRPr="0047743F">
              <w:rPr>
                <w:caps w:val="0"/>
                <w:sz w:val="20"/>
                <w:szCs w:val="2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000000" w:rsidRPr="0047743F" w:rsidRDefault="00DF68BE">
            <w:pPr>
              <w:pStyle w:val="ECVNameField"/>
              <w:rPr>
                <w:sz w:val="32"/>
                <w:szCs w:val="32"/>
              </w:rPr>
            </w:pPr>
            <w:r w:rsidRPr="0047743F">
              <w:rPr>
                <w:sz w:val="32"/>
                <w:szCs w:val="32"/>
              </w:rPr>
              <w:t xml:space="preserve">Orkhan </w:t>
            </w:r>
            <w:r w:rsidRPr="0047743F">
              <w:rPr>
                <w:sz w:val="32"/>
                <w:szCs w:val="32"/>
              </w:rPr>
              <w:t xml:space="preserve">Aghayev </w:t>
            </w:r>
          </w:p>
        </w:tc>
      </w:tr>
      <w:tr w:rsidR="00000000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000000" w:rsidRDefault="00DF68BE"/>
        </w:tc>
      </w:tr>
      <w:tr w:rsidR="00000000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000000" w:rsidRDefault="00DF68BE">
            <w:pPr>
              <w:pStyle w:val="ECVLeftHeading"/>
            </w:pPr>
          </w:p>
        </w:tc>
        <w:tc>
          <w:tcPr>
            <w:tcW w:w="7541" w:type="dxa"/>
            <w:shd w:val="clear" w:color="auto" w:fill="auto"/>
          </w:tcPr>
          <w:p w:rsidR="00000000" w:rsidRPr="00591428" w:rsidRDefault="005C1DE8">
            <w:pPr>
              <w:pStyle w:val="ECVContactDetails0"/>
              <w:rPr>
                <w:sz w:val="24"/>
                <w:szCs w:val="24"/>
              </w:rPr>
            </w:pPr>
            <w:r w:rsidRPr="00591428">
              <w:rPr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8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68BE" w:rsidRPr="00591428">
              <w:rPr>
                <w:sz w:val="24"/>
                <w:szCs w:val="24"/>
              </w:rPr>
              <w:t xml:space="preserve">(Azerbaijan) </w:t>
            </w:r>
          </w:p>
        </w:tc>
      </w:tr>
      <w:tr w:rsidR="00000000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DF68BE"/>
        </w:tc>
        <w:tc>
          <w:tcPr>
            <w:tcW w:w="7541" w:type="dxa"/>
            <w:shd w:val="clear" w:color="auto" w:fill="auto"/>
            <w:vAlign w:val="center"/>
          </w:tcPr>
          <w:p w:rsidR="00000000" w:rsidRPr="00591428" w:rsidRDefault="005C1DE8">
            <w:pPr>
              <w:pStyle w:val="ECVContactDetails0"/>
              <w:rPr>
                <w:sz w:val="24"/>
                <w:szCs w:val="24"/>
              </w:rPr>
            </w:pPr>
            <w:r w:rsidRPr="00591428">
              <w:rPr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7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68BE" w:rsidRPr="00591428">
              <w:rPr>
                <w:sz w:val="24"/>
                <w:szCs w:val="24"/>
              </w:rPr>
              <w:t xml:space="preserve"> orkhanaghayev@gmail.com </w:t>
            </w:r>
          </w:p>
        </w:tc>
      </w:tr>
      <w:tr w:rsidR="00000000">
        <w:trPr>
          <w:trHeight w:val="397"/>
        </w:trPr>
        <w:tc>
          <w:tcPr>
            <w:tcW w:w="2834" w:type="dxa"/>
            <w:vMerge/>
            <w:shd w:val="clear" w:color="auto" w:fill="auto"/>
          </w:tcPr>
          <w:p w:rsidR="00000000" w:rsidRDefault="00DF68BE"/>
        </w:tc>
        <w:tc>
          <w:tcPr>
            <w:tcW w:w="7541" w:type="dxa"/>
            <w:shd w:val="clear" w:color="auto" w:fill="auto"/>
            <w:vAlign w:val="center"/>
          </w:tcPr>
          <w:p w:rsidR="00000000" w:rsidRPr="00591428" w:rsidRDefault="00DF68BE">
            <w:pPr>
              <w:pStyle w:val="ECVGenderRow"/>
              <w:rPr>
                <w:sz w:val="24"/>
              </w:rPr>
            </w:pPr>
            <w:r w:rsidRPr="00591428">
              <w:rPr>
                <w:rStyle w:val="ECVHeadingContactDetails"/>
                <w:sz w:val="24"/>
                <w:szCs w:val="24"/>
              </w:rPr>
              <w:t>Sex</w:t>
            </w:r>
            <w:r w:rsidRPr="00591428">
              <w:rPr>
                <w:sz w:val="24"/>
              </w:rPr>
              <w:t xml:space="preserve"> </w:t>
            </w:r>
            <w:r w:rsidRPr="00591428">
              <w:rPr>
                <w:rStyle w:val="ECVContactDetails"/>
                <w:sz w:val="24"/>
                <w:szCs w:val="24"/>
              </w:rPr>
              <w:t xml:space="preserve">Male </w:t>
            </w:r>
            <w:r w:rsidRPr="00591428">
              <w:rPr>
                <w:rStyle w:val="ECVHeadingContactDetails"/>
                <w:sz w:val="24"/>
                <w:szCs w:val="24"/>
              </w:rPr>
              <w:t xml:space="preserve">| Date of birth </w:t>
            </w:r>
            <w:r w:rsidRPr="00591428">
              <w:rPr>
                <w:rStyle w:val="ECVContactDetails"/>
                <w:sz w:val="24"/>
                <w:szCs w:val="24"/>
              </w:rPr>
              <w:t xml:space="preserve">12 Nov 1989 </w:t>
            </w:r>
            <w:r w:rsidRPr="00591428">
              <w:rPr>
                <w:rStyle w:val="ECVHeadingContactDetails"/>
                <w:sz w:val="24"/>
                <w:szCs w:val="24"/>
              </w:rPr>
              <w:t xml:space="preserve">| Nationality </w:t>
            </w:r>
            <w:r w:rsidRPr="00591428">
              <w:rPr>
                <w:rStyle w:val="ECVContactDetails"/>
                <w:sz w:val="24"/>
                <w:szCs w:val="24"/>
              </w:rPr>
              <w:t>Azerbaijani</w:t>
            </w:r>
            <w:r w:rsidRPr="00591428">
              <w:rPr>
                <w:sz w:val="24"/>
              </w:rPr>
              <w:t xml:space="preserve"> </w:t>
            </w:r>
          </w:p>
        </w:tc>
      </w:tr>
    </w:tbl>
    <w:p w:rsidR="00000000" w:rsidRDefault="00DF68BE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00000">
        <w:trPr>
          <w:trHeight w:val="170"/>
        </w:trPr>
        <w:tc>
          <w:tcPr>
            <w:tcW w:w="2835" w:type="dxa"/>
            <w:shd w:val="clear" w:color="auto" w:fill="auto"/>
          </w:tcPr>
          <w:p w:rsidR="00000000" w:rsidRPr="0047743F" w:rsidRDefault="00DF68BE">
            <w:pPr>
              <w:pStyle w:val="ECVLeftHeading"/>
              <w:rPr>
                <w:sz w:val="20"/>
                <w:szCs w:val="20"/>
              </w:rPr>
            </w:pPr>
            <w:r w:rsidRPr="0047743F">
              <w:rPr>
                <w:caps w:val="0"/>
                <w:sz w:val="20"/>
                <w:szCs w:val="2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000000" w:rsidRDefault="005C1DE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0" b="0"/>
                  <wp:docPr id="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F68BE">
              <w:t xml:space="preserve"> </w:t>
            </w:r>
          </w:p>
        </w:tc>
      </w:tr>
    </w:tbl>
    <w:p w:rsidR="00000000" w:rsidRDefault="00DF68B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</w:tblGrid>
      <w:tr w:rsidR="00C04E34">
        <w:trPr>
          <w:trHeight w:val="184"/>
        </w:trPr>
        <w:tc>
          <w:tcPr>
            <w:tcW w:w="2834" w:type="dxa"/>
            <w:vMerge w:val="restart"/>
            <w:shd w:val="clear" w:color="auto" w:fill="auto"/>
          </w:tcPr>
          <w:p w:rsidR="00C04E34" w:rsidRDefault="00C04E34"/>
        </w:tc>
      </w:tr>
      <w:tr w:rsidR="00C04E34">
        <w:trPr>
          <w:trHeight w:val="184"/>
        </w:trPr>
        <w:tc>
          <w:tcPr>
            <w:tcW w:w="2834" w:type="dxa"/>
            <w:vMerge/>
            <w:shd w:val="clear" w:color="auto" w:fill="auto"/>
          </w:tcPr>
          <w:p w:rsidR="00C04E34" w:rsidRDefault="00C04E34"/>
        </w:tc>
      </w:tr>
      <w:tr w:rsidR="00C04E34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C04E34" w:rsidRDefault="00C04E34"/>
        </w:tc>
      </w:tr>
    </w:tbl>
    <w:p w:rsidR="00000000" w:rsidRDefault="00DF68B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000000">
        <w:tc>
          <w:tcPr>
            <w:tcW w:w="2834" w:type="dxa"/>
            <w:vMerge w:val="restart"/>
            <w:shd w:val="clear" w:color="auto" w:fill="auto"/>
          </w:tcPr>
          <w:p w:rsidR="00000000" w:rsidRPr="0047743F" w:rsidRDefault="00DF68BE">
            <w:pPr>
              <w:pStyle w:val="ECVDate"/>
              <w:rPr>
                <w:sz w:val="20"/>
                <w:szCs w:val="20"/>
              </w:rPr>
            </w:pPr>
            <w:r w:rsidRPr="0047743F">
              <w:rPr>
                <w:sz w:val="20"/>
                <w:szCs w:val="20"/>
              </w:rPr>
              <w:t>15 Sep 2014–15 Apr 2015</w:t>
            </w:r>
          </w:p>
        </w:tc>
        <w:tc>
          <w:tcPr>
            <w:tcW w:w="7541" w:type="dxa"/>
            <w:shd w:val="clear" w:color="auto" w:fill="auto"/>
          </w:tcPr>
          <w:p w:rsidR="00000000" w:rsidRPr="00591428" w:rsidRDefault="00DF68BE">
            <w:pPr>
              <w:pStyle w:val="ECVSubSectionHeading"/>
              <w:rPr>
                <w:sz w:val="24"/>
              </w:rPr>
            </w:pPr>
            <w:r w:rsidRPr="00591428">
              <w:rPr>
                <w:sz w:val="24"/>
              </w:rPr>
              <w:t>Accountant</w:t>
            </w:r>
          </w:p>
        </w:tc>
      </w:tr>
      <w:tr w:rsidR="00000000">
        <w:tc>
          <w:tcPr>
            <w:tcW w:w="2834" w:type="dxa"/>
            <w:vMerge/>
            <w:shd w:val="clear" w:color="auto" w:fill="auto"/>
          </w:tcPr>
          <w:p w:rsidR="00000000" w:rsidRDefault="00DF68BE"/>
        </w:tc>
        <w:tc>
          <w:tcPr>
            <w:tcW w:w="7541" w:type="dxa"/>
            <w:shd w:val="clear" w:color="auto" w:fill="auto"/>
          </w:tcPr>
          <w:p w:rsidR="00000000" w:rsidRPr="00591428" w:rsidRDefault="00DF68BE">
            <w:pPr>
              <w:pStyle w:val="ECVOrganisationDetails"/>
              <w:rPr>
                <w:sz w:val="24"/>
                <w:szCs w:val="24"/>
              </w:rPr>
            </w:pPr>
            <w:r w:rsidRPr="00591428">
              <w:rPr>
                <w:sz w:val="24"/>
                <w:szCs w:val="24"/>
              </w:rPr>
              <w:t xml:space="preserve">Caspian Accounting and Consulting Services, Baku (Azerbaijan) </w:t>
            </w:r>
          </w:p>
        </w:tc>
      </w:tr>
      <w:tr w:rsidR="00000000">
        <w:tc>
          <w:tcPr>
            <w:tcW w:w="2834" w:type="dxa"/>
            <w:vMerge/>
            <w:shd w:val="clear" w:color="auto" w:fill="auto"/>
          </w:tcPr>
          <w:p w:rsidR="00000000" w:rsidRDefault="00DF68BE"/>
        </w:tc>
        <w:tc>
          <w:tcPr>
            <w:tcW w:w="7541" w:type="dxa"/>
            <w:shd w:val="clear" w:color="auto" w:fill="auto"/>
          </w:tcPr>
          <w:p w:rsidR="00000000" w:rsidRPr="00591428" w:rsidRDefault="00DF68BE">
            <w:pPr>
              <w:pStyle w:val="EuropassSectionDetails"/>
              <w:rPr>
                <w:sz w:val="24"/>
              </w:rPr>
            </w:pPr>
            <w:r w:rsidRPr="00591428">
              <w:rPr>
                <w:sz w:val="24"/>
              </w:rPr>
              <w:t>Worked on a tem</w:t>
            </w:r>
            <w:bookmarkStart w:id="0" w:name="_GoBack"/>
            <w:bookmarkEnd w:id="0"/>
            <w:r w:rsidRPr="00591428">
              <w:rPr>
                <w:sz w:val="24"/>
              </w:rPr>
              <w:t>porary contract at Nokia Azerbaijan office as internal Accountant/</w:t>
            </w:r>
            <w:r w:rsidR="0014535B">
              <w:rPr>
                <w:sz w:val="24"/>
                <w:lang w:val="en-US"/>
              </w:rPr>
              <w:t xml:space="preserve"> </w:t>
            </w:r>
            <w:r w:rsidRPr="00591428">
              <w:rPr>
                <w:sz w:val="24"/>
              </w:rPr>
              <w:t>Assistant Fina</w:t>
            </w:r>
            <w:r w:rsidRPr="00591428">
              <w:rPr>
                <w:sz w:val="24"/>
              </w:rPr>
              <w:t xml:space="preserve">ncial Manager </w:t>
            </w:r>
          </w:p>
          <w:p w:rsidR="00000000" w:rsidRPr="00591428" w:rsidRDefault="00DF68BE" w:rsidP="00785CE2">
            <w:pPr>
              <w:pStyle w:val="EuropassSectionDetails"/>
              <w:numPr>
                <w:ilvl w:val="0"/>
                <w:numId w:val="2"/>
              </w:numPr>
              <w:rPr>
                <w:sz w:val="24"/>
              </w:rPr>
            </w:pPr>
            <w:r w:rsidRPr="00591428">
              <w:rPr>
                <w:sz w:val="24"/>
              </w:rPr>
              <w:t xml:space="preserve">Responsible person for intercompany AR/AP accounts for Nokia Azerbaijan and Nokia Georgia branches. </w:t>
            </w:r>
          </w:p>
          <w:p w:rsidR="00000000" w:rsidRPr="00591428" w:rsidRDefault="00DF68BE" w:rsidP="00785CE2">
            <w:pPr>
              <w:pStyle w:val="EuropassSectionDetails"/>
              <w:numPr>
                <w:ilvl w:val="0"/>
                <w:numId w:val="2"/>
              </w:numPr>
              <w:rPr>
                <w:sz w:val="24"/>
              </w:rPr>
            </w:pPr>
            <w:r w:rsidRPr="00591428">
              <w:rPr>
                <w:sz w:val="24"/>
              </w:rPr>
              <w:t xml:space="preserve">Supplementary help in internal and external audit processes. </w:t>
            </w:r>
          </w:p>
          <w:p w:rsidR="00000000" w:rsidRPr="0014535B" w:rsidRDefault="00DF68BE" w:rsidP="0014535B">
            <w:pPr>
              <w:pStyle w:val="EuropassSectionDetails"/>
              <w:numPr>
                <w:ilvl w:val="0"/>
                <w:numId w:val="2"/>
              </w:numPr>
              <w:rPr>
                <w:sz w:val="24"/>
              </w:rPr>
            </w:pPr>
            <w:r w:rsidRPr="00591428">
              <w:rPr>
                <w:sz w:val="24"/>
              </w:rPr>
              <w:t>Daily contacts with accountants in Nokia worldwide team in order to appl</w:t>
            </w:r>
            <w:r w:rsidRPr="00591428">
              <w:rPr>
                <w:sz w:val="24"/>
              </w:rPr>
              <w:t>y the financia</w:t>
            </w:r>
            <w:r w:rsidR="00015985">
              <w:rPr>
                <w:sz w:val="24"/>
              </w:rPr>
              <w:t>l duties of services contracts.</w:t>
            </w:r>
          </w:p>
        </w:tc>
      </w:tr>
      <w:tr w:rsidR="00000000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DF68BE"/>
        </w:tc>
        <w:tc>
          <w:tcPr>
            <w:tcW w:w="7541" w:type="dxa"/>
            <w:shd w:val="clear" w:color="auto" w:fill="auto"/>
            <w:vAlign w:val="bottom"/>
          </w:tcPr>
          <w:p w:rsidR="00000000" w:rsidRPr="00591428" w:rsidRDefault="00DF68BE">
            <w:pPr>
              <w:pStyle w:val="ECVBusinessSectorRow"/>
              <w:rPr>
                <w:sz w:val="24"/>
              </w:rPr>
            </w:pPr>
            <w:r w:rsidRPr="00591428">
              <w:rPr>
                <w:rStyle w:val="ECVHeadingBusinessSector"/>
                <w:sz w:val="24"/>
                <w:szCs w:val="24"/>
              </w:rPr>
              <w:t>Business or sector</w:t>
            </w:r>
            <w:r w:rsidRPr="00591428">
              <w:rPr>
                <w:sz w:val="24"/>
              </w:rPr>
              <w:t xml:space="preserve"> </w:t>
            </w:r>
            <w:r w:rsidR="00B57742" w:rsidRPr="00591428">
              <w:rPr>
                <w:sz w:val="24"/>
                <w:lang w:val="en-US"/>
              </w:rPr>
              <w:t>Telecommunication</w:t>
            </w:r>
            <w:r w:rsidRPr="00591428">
              <w:rPr>
                <w:sz w:val="24"/>
              </w:rPr>
              <w:t xml:space="preserve"> </w:t>
            </w:r>
          </w:p>
        </w:tc>
      </w:tr>
    </w:tbl>
    <w:p w:rsidR="00000000" w:rsidRDefault="00DF68BE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00000">
        <w:trPr>
          <w:trHeight w:val="170"/>
        </w:trPr>
        <w:tc>
          <w:tcPr>
            <w:tcW w:w="2835" w:type="dxa"/>
            <w:shd w:val="clear" w:color="auto" w:fill="auto"/>
          </w:tcPr>
          <w:p w:rsidR="00000000" w:rsidRPr="0047743F" w:rsidRDefault="00DF68BE">
            <w:pPr>
              <w:pStyle w:val="ECVLeftHeading"/>
              <w:rPr>
                <w:sz w:val="20"/>
                <w:szCs w:val="20"/>
              </w:rPr>
            </w:pPr>
            <w:r w:rsidRPr="0047743F">
              <w:rPr>
                <w:caps w:val="0"/>
                <w:sz w:val="20"/>
                <w:szCs w:val="2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000000" w:rsidRDefault="005C1DE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0" b="0"/>
                  <wp:docPr id="5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F68BE">
              <w:t xml:space="preserve"> </w:t>
            </w:r>
          </w:p>
        </w:tc>
      </w:tr>
    </w:tbl>
    <w:p w:rsidR="00000000" w:rsidRDefault="00DF68B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5536"/>
        <w:gridCol w:w="2006"/>
      </w:tblGrid>
      <w:tr w:rsidR="00000000" w:rsidTr="001608D2">
        <w:tc>
          <w:tcPr>
            <w:tcW w:w="2834" w:type="dxa"/>
            <w:vMerge w:val="restart"/>
            <w:shd w:val="clear" w:color="auto" w:fill="auto"/>
          </w:tcPr>
          <w:p w:rsidR="00000000" w:rsidRPr="0047743F" w:rsidRDefault="00EE171E">
            <w:pPr>
              <w:pStyle w:val="ECV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F68BE" w:rsidRPr="004774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Jan</w:t>
            </w:r>
            <w:r w:rsidR="00DF68BE" w:rsidRPr="0047743F"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09</w:t>
            </w:r>
            <w:r w:rsidR="00DF68BE" w:rsidRPr="0047743F">
              <w:rPr>
                <w:sz w:val="20"/>
                <w:szCs w:val="20"/>
              </w:rPr>
              <w:t>–6 Jun 2014</w:t>
            </w:r>
          </w:p>
        </w:tc>
        <w:tc>
          <w:tcPr>
            <w:tcW w:w="5536" w:type="dxa"/>
            <w:shd w:val="clear" w:color="auto" w:fill="auto"/>
          </w:tcPr>
          <w:p w:rsidR="00000000" w:rsidRPr="003E698D" w:rsidRDefault="00DF68BE">
            <w:pPr>
              <w:pStyle w:val="ECVSubSectionHeading"/>
              <w:rPr>
                <w:sz w:val="24"/>
              </w:rPr>
            </w:pPr>
            <w:r w:rsidRPr="003E698D">
              <w:rPr>
                <w:sz w:val="24"/>
              </w:rPr>
              <w:t>Bachelor degree of Science</w:t>
            </w:r>
          </w:p>
        </w:tc>
        <w:tc>
          <w:tcPr>
            <w:tcW w:w="2006" w:type="dxa"/>
            <w:shd w:val="clear" w:color="auto" w:fill="auto"/>
          </w:tcPr>
          <w:p w:rsidR="00000000" w:rsidRPr="003E698D" w:rsidRDefault="00DF68BE">
            <w:pPr>
              <w:pStyle w:val="ECVRightHeading"/>
              <w:rPr>
                <w:sz w:val="24"/>
                <w:szCs w:val="24"/>
              </w:rPr>
            </w:pPr>
            <w:r w:rsidRPr="003E698D">
              <w:rPr>
                <w:sz w:val="24"/>
                <w:szCs w:val="24"/>
              </w:rPr>
              <w:t>University studies (Bachelor)</w:t>
            </w:r>
          </w:p>
        </w:tc>
      </w:tr>
      <w:tr w:rsidR="00000000">
        <w:tc>
          <w:tcPr>
            <w:tcW w:w="2834" w:type="dxa"/>
            <w:vMerge/>
            <w:shd w:val="clear" w:color="auto" w:fill="auto"/>
          </w:tcPr>
          <w:p w:rsidR="00000000" w:rsidRDefault="00DF68BE"/>
        </w:tc>
        <w:tc>
          <w:tcPr>
            <w:tcW w:w="7542" w:type="dxa"/>
            <w:gridSpan w:val="2"/>
            <w:shd w:val="clear" w:color="auto" w:fill="auto"/>
          </w:tcPr>
          <w:p w:rsidR="00000000" w:rsidRPr="00015985" w:rsidRDefault="00DF68BE">
            <w:pPr>
              <w:pStyle w:val="ECVOrganisationDetails"/>
              <w:rPr>
                <w:sz w:val="24"/>
                <w:szCs w:val="24"/>
              </w:rPr>
            </w:pPr>
            <w:r w:rsidRPr="00015985">
              <w:rPr>
                <w:sz w:val="24"/>
                <w:szCs w:val="24"/>
              </w:rPr>
              <w:t>Northeastern University</w:t>
            </w:r>
            <w:r w:rsidRPr="00015985">
              <w:rPr>
                <w:sz w:val="24"/>
                <w:szCs w:val="24"/>
              </w:rPr>
              <w:br/>
              <w:t xml:space="preserve">360 Huntington Avenue, 02115 Boston (United States) </w:t>
            </w:r>
          </w:p>
        </w:tc>
      </w:tr>
      <w:tr w:rsidR="00000000">
        <w:tc>
          <w:tcPr>
            <w:tcW w:w="2834" w:type="dxa"/>
            <w:vMerge/>
            <w:shd w:val="clear" w:color="auto" w:fill="auto"/>
          </w:tcPr>
          <w:p w:rsidR="00000000" w:rsidRDefault="00DF68BE"/>
        </w:tc>
        <w:tc>
          <w:tcPr>
            <w:tcW w:w="7542" w:type="dxa"/>
            <w:gridSpan w:val="2"/>
            <w:shd w:val="clear" w:color="auto" w:fill="auto"/>
          </w:tcPr>
          <w:p w:rsidR="00000000" w:rsidRPr="00015985" w:rsidRDefault="00DF68BE">
            <w:pPr>
              <w:pStyle w:val="EuropassSectionDetails"/>
              <w:rPr>
                <w:sz w:val="24"/>
              </w:rPr>
            </w:pPr>
            <w:r w:rsidRPr="00015985">
              <w:rPr>
                <w:sz w:val="24"/>
              </w:rPr>
              <w:t>Finance and Accounting Management</w:t>
            </w:r>
          </w:p>
        </w:tc>
      </w:tr>
    </w:tbl>
    <w:p w:rsidR="00000000" w:rsidRDefault="00DF68B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5716"/>
        <w:gridCol w:w="1826"/>
      </w:tblGrid>
      <w:tr w:rsidR="00000000" w:rsidTr="001608D2">
        <w:tc>
          <w:tcPr>
            <w:tcW w:w="2834" w:type="dxa"/>
            <w:vMerge w:val="restart"/>
            <w:shd w:val="clear" w:color="auto" w:fill="auto"/>
          </w:tcPr>
          <w:p w:rsidR="00000000" w:rsidRPr="0047743F" w:rsidRDefault="00DF68BE">
            <w:pPr>
              <w:pStyle w:val="ECVDate"/>
              <w:rPr>
                <w:sz w:val="20"/>
                <w:szCs w:val="20"/>
              </w:rPr>
            </w:pPr>
            <w:r w:rsidRPr="0047743F">
              <w:rPr>
                <w:sz w:val="20"/>
                <w:szCs w:val="20"/>
              </w:rPr>
              <w:t>15 Sep 2007–13 Jul 2013</w:t>
            </w:r>
          </w:p>
        </w:tc>
        <w:tc>
          <w:tcPr>
            <w:tcW w:w="5716" w:type="dxa"/>
            <w:shd w:val="clear" w:color="auto" w:fill="auto"/>
          </w:tcPr>
          <w:p w:rsidR="00000000" w:rsidRPr="00B56166" w:rsidRDefault="00DF68BE">
            <w:pPr>
              <w:pStyle w:val="ECVSubSectionHeading"/>
              <w:rPr>
                <w:sz w:val="24"/>
              </w:rPr>
            </w:pPr>
            <w:r w:rsidRPr="00B56166">
              <w:rPr>
                <w:sz w:val="24"/>
              </w:rPr>
              <w:t>Bachelor degree</w:t>
            </w:r>
          </w:p>
        </w:tc>
        <w:tc>
          <w:tcPr>
            <w:tcW w:w="1826" w:type="dxa"/>
            <w:shd w:val="clear" w:color="auto" w:fill="auto"/>
          </w:tcPr>
          <w:p w:rsidR="00000000" w:rsidRPr="00B56166" w:rsidRDefault="00DF68BE">
            <w:pPr>
              <w:pStyle w:val="ECVRightHeading"/>
              <w:rPr>
                <w:sz w:val="24"/>
                <w:szCs w:val="24"/>
              </w:rPr>
            </w:pPr>
            <w:r w:rsidRPr="00B56166">
              <w:rPr>
                <w:sz w:val="24"/>
                <w:szCs w:val="24"/>
              </w:rPr>
              <w:t>University studies (Bachelor</w:t>
            </w:r>
            <w:r w:rsidRPr="00B56166">
              <w:rPr>
                <w:sz w:val="24"/>
                <w:szCs w:val="24"/>
              </w:rPr>
              <w:t>)</w:t>
            </w:r>
          </w:p>
        </w:tc>
      </w:tr>
      <w:tr w:rsidR="00000000">
        <w:tc>
          <w:tcPr>
            <w:tcW w:w="2834" w:type="dxa"/>
            <w:vMerge/>
            <w:shd w:val="clear" w:color="auto" w:fill="auto"/>
          </w:tcPr>
          <w:p w:rsidR="00000000" w:rsidRDefault="00DF68BE"/>
        </w:tc>
        <w:tc>
          <w:tcPr>
            <w:tcW w:w="7542" w:type="dxa"/>
            <w:gridSpan w:val="2"/>
            <w:shd w:val="clear" w:color="auto" w:fill="auto"/>
          </w:tcPr>
          <w:p w:rsidR="00000000" w:rsidRPr="00B56166" w:rsidRDefault="00DF68BE">
            <w:pPr>
              <w:pStyle w:val="ECVOrganisationDetails"/>
              <w:rPr>
                <w:sz w:val="24"/>
                <w:szCs w:val="24"/>
              </w:rPr>
            </w:pPr>
            <w:r w:rsidRPr="00B56166">
              <w:rPr>
                <w:sz w:val="24"/>
                <w:szCs w:val="24"/>
              </w:rPr>
              <w:t xml:space="preserve">Azerbaijan State Economics University, Baku (Azerbaijan) </w:t>
            </w:r>
          </w:p>
        </w:tc>
      </w:tr>
      <w:tr w:rsidR="00000000">
        <w:tc>
          <w:tcPr>
            <w:tcW w:w="2834" w:type="dxa"/>
            <w:vMerge/>
            <w:shd w:val="clear" w:color="auto" w:fill="auto"/>
          </w:tcPr>
          <w:p w:rsidR="00000000" w:rsidRDefault="00DF68BE"/>
        </w:tc>
        <w:tc>
          <w:tcPr>
            <w:tcW w:w="7542" w:type="dxa"/>
            <w:gridSpan w:val="2"/>
            <w:shd w:val="clear" w:color="auto" w:fill="auto"/>
          </w:tcPr>
          <w:p w:rsidR="00000000" w:rsidRPr="00B56166" w:rsidRDefault="00DF68BE">
            <w:pPr>
              <w:pStyle w:val="EuropassSectionDetails"/>
              <w:rPr>
                <w:sz w:val="24"/>
              </w:rPr>
            </w:pPr>
            <w:r w:rsidRPr="00B56166">
              <w:rPr>
                <w:sz w:val="24"/>
              </w:rPr>
              <w:t>International Trade</w:t>
            </w:r>
          </w:p>
        </w:tc>
      </w:tr>
    </w:tbl>
    <w:p w:rsidR="00000000" w:rsidRDefault="00DF68B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5716"/>
        <w:gridCol w:w="1826"/>
      </w:tblGrid>
      <w:tr w:rsidR="00000000" w:rsidTr="001608D2">
        <w:tc>
          <w:tcPr>
            <w:tcW w:w="2834" w:type="dxa"/>
            <w:vMerge w:val="restart"/>
            <w:shd w:val="clear" w:color="auto" w:fill="auto"/>
          </w:tcPr>
          <w:p w:rsidR="00000000" w:rsidRPr="0047743F" w:rsidRDefault="00DF68BE">
            <w:pPr>
              <w:pStyle w:val="ECVDate"/>
              <w:rPr>
                <w:sz w:val="20"/>
                <w:szCs w:val="20"/>
              </w:rPr>
            </w:pPr>
            <w:r w:rsidRPr="0047743F">
              <w:rPr>
                <w:sz w:val="20"/>
                <w:szCs w:val="20"/>
              </w:rPr>
              <w:t>15 Sep 2001–31 May 2007</w:t>
            </w:r>
          </w:p>
        </w:tc>
        <w:tc>
          <w:tcPr>
            <w:tcW w:w="5716" w:type="dxa"/>
            <w:shd w:val="clear" w:color="auto" w:fill="auto"/>
          </w:tcPr>
          <w:p w:rsidR="00000000" w:rsidRPr="00B56166" w:rsidRDefault="00DF68BE">
            <w:pPr>
              <w:pStyle w:val="ECVSubSectionHeading"/>
              <w:rPr>
                <w:sz w:val="24"/>
              </w:rPr>
            </w:pPr>
            <w:r w:rsidRPr="00B56166">
              <w:rPr>
                <w:sz w:val="24"/>
              </w:rPr>
              <w:t>High School diploma</w:t>
            </w:r>
          </w:p>
        </w:tc>
        <w:tc>
          <w:tcPr>
            <w:tcW w:w="1826" w:type="dxa"/>
            <w:shd w:val="clear" w:color="auto" w:fill="auto"/>
          </w:tcPr>
          <w:p w:rsidR="00000000" w:rsidRPr="00B56166" w:rsidRDefault="00DF68BE">
            <w:pPr>
              <w:pStyle w:val="ECVRightHeading"/>
              <w:rPr>
                <w:sz w:val="24"/>
                <w:szCs w:val="24"/>
              </w:rPr>
            </w:pPr>
            <w:r w:rsidRPr="00B56166">
              <w:rPr>
                <w:sz w:val="24"/>
                <w:szCs w:val="24"/>
              </w:rPr>
              <w:t>Upper secondary education</w:t>
            </w:r>
          </w:p>
        </w:tc>
      </w:tr>
      <w:tr w:rsidR="00000000">
        <w:tc>
          <w:tcPr>
            <w:tcW w:w="2834" w:type="dxa"/>
            <w:vMerge/>
            <w:shd w:val="clear" w:color="auto" w:fill="auto"/>
          </w:tcPr>
          <w:p w:rsidR="00000000" w:rsidRDefault="00DF68BE"/>
        </w:tc>
        <w:tc>
          <w:tcPr>
            <w:tcW w:w="7542" w:type="dxa"/>
            <w:gridSpan w:val="2"/>
            <w:shd w:val="clear" w:color="auto" w:fill="auto"/>
          </w:tcPr>
          <w:p w:rsidR="00000000" w:rsidRPr="00B56166" w:rsidRDefault="00DF68BE">
            <w:pPr>
              <w:pStyle w:val="ECVOrganisationDetails"/>
              <w:rPr>
                <w:sz w:val="24"/>
                <w:szCs w:val="24"/>
              </w:rPr>
            </w:pPr>
            <w:r w:rsidRPr="00B56166">
              <w:rPr>
                <w:sz w:val="24"/>
                <w:szCs w:val="24"/>
              </w:rPr>
              <w:t xml:space="preserve">Qafqaz Azerbaijan- Turkey Private Gymnasium, Baku (Azerbaijan) </w:t>
            </w:r>
          </w:p>
        </w:tc>
      </w:tr>
    </w:tbl>
    <w:p w:rsidR="00000000" w:rsidRDefault="00DF68BE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00000">
        <w:trPr>
          <w:trHeight w:val="170"/>
        </w:trPr>
        <w:tc>
          <w:tcPr>
            <w:tcW w:w="2835" w:type="dxa"/>
            <w:shd w:val="clear" w:color="auto" w:fill="auto"/>
          </w:tcPr>
          <w:p w:rsidR="00000000" w:rsidRPr="0047743F" w:rsidRDefault="00DF68BE">
            <w:pPr>
              <w:pStyle w:val="ECVLeftHeading"/>
              <w:rPr>
                <w:sz w:val="20"/>
                <w:szCs w:val="20"/>
              </w:rPr>
            </w:pPr>
            <w:r w:rsidRPr="0047743F">
              <w:rPr>
                <w:caps w:val="0"/>
                <w:sz w:val="20"/>
                <w:szCs w:val="2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000000" w:rsidRDefault="005C1DE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0" b="0"/>
                  <wp:docPr id="4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F68BE">
              <w:t xml:space="preserve"> </w:t>
            </w:r>
          </w:p>
        </w:tc>
      </w:tr>
    </w:tbl>
    <w:p w:rsidR="00000000" w:rsidRDefault="00DF68B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000000">
        <w:trPr>
          <w:trHeight w:val="255"/>
        </w:trPr>
        <w:tc>
          <w:tcPr>
            <w:tcW w:w="2834" w:type="dxa"/>
            <w:shd w:val="clear" w:color="auto" w:fill="auto"/>
          </w:tcPr>
          <w:p w:rsidR="00000000" w:rsidRPr="0047743F" w:rsidRDefault="00DF68BE">
            <w:pPr>
              <w:pStyle w:val="ECVLeftDetails"/>
              <w:rPr>
                <w:sz w:val="20"/>
                <w:szCs w:val="20"/>
              </w:rPr>
            </w:pPr>
            <w:r w:rsidRPr="0047743F">
              <w:rPr>
                <w:sz w:val="20"/>
                <w:szCs w:val="20"/>
              </w:rPr>
              <w:t>Mother tong</w:t>
            </w:r>
            <w:r w:rsidRPr="0047743F">
              <w:rPr>
                <w:sz w:val="20"/>
                <w:szCs w:val="20"/>
              </w:rPr>
              <w:t>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000000" w:rsidRPr="00D645CF" w:rsidRDefault="00DF68BE">
            <w:pPr>
              <w:pStyle w:val="EuropassSectionDetails"/>
              <w:rPr>
                <w:sz w:val="24"/>
              </w:rPr>
            </w:pPr>
            <w:r w:rsidRPr="00D645CF">
              <w:rPr>
                <w:sz w:val="24"/>
              </w:rPr>
              <w:t>Azerbaijani</w:t>
            </w:r>
          </w:p>
        </w:tc>
      </w:tr>
      <w:tr w:rsidR="00000000">
        <w:trPr>
          <w:trHeight w:val="340"/>
        </w:trPr>
        <w:tc>
          <w:tcPr>
            <w:tcW w:w="2834" w:type="dxa"/>
            <w:shd w:val="clear" w:color="auto" w:fill="auto"/>
          </w:tcPr>
          <w:p w:rsidR="00000000" w:rsidRDefault="00DF68BE">
            <w:pPr>
              <w:pStyle w:val="ECVLeftHeading"/>
            </w:pPr>
          </w:p>
          <w:p w:rsidR="00D645CF" w:rsidRDefault="00D645CF">
            <w:pPr>
              <w:pStyle w:val="ECVLeftHeading"/>
            </w:pPr>
          </w:p>
          <w:p w:rsidR="00D645CF" w:rsidRDefault="00D645CF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000000" w:rsidRPr="00D645CF" w:rsidRDefault="00DF68BE">
            <w:pPr>
              <w:pStyle w:val="ECVRightColumn"/>
              <w:rPr>
                <w:sz w:val="24"/>
              </w:rPr>
            </w:pPr>
          </w:p>
        </w:tc>
      </w:tr>
      <w:tr w:rsidR="00000000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000000" w:rsidRPr="0047743F" w:rsidRDefault="00DF68BE">
            <w:pPr>
              <w:pStyle w:val="ECVLeftDetails"/>
              <w:rPr>
                <w:sz w:val="20"/>
                <w:szCs w:val="20"/>
              </w:rPr>
            </w:pPr>
            <w:r w:rsidRPr="0047743F">
              <w:rPr>
                <w:sz w:val="20"/>
                <w:szCs w:val="20"/>
              </w:rPr>
              <w:lastRenderedPageBreak/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Heading"/>
              <w:rPr>
                <w:caps w:val="0"/>
                <w:sz w:val="24"/>
              </w:rPr>
            </w:pPr>
            <w:r w:rsidRPr="00D645CF">
              <w:rPr>
                <w:caps w:val="0"/>
                <w:sz w:val="24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Heading"/>
              <w:rPr>
                <w:caps w:val="0"/>
                <w:sz w:val="24"/>
              </w:rPr>
            </w:pPr>
            <w:r w:rsidRPr="00D645CF">
              <w:rPr>
                <w:caps w:val="0"/>
                <w:sz w:val="24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Heading"/>
              <w:rPr>
                <w:sz w:val="24"/>
              </w:rPr>
            </w:pPr>
            <w:r w:rsidRPr="00D645CF">
              <w:rPr>
                <w:caps w:val="0"/>
                <w:sz w:val="24"/>
              </w:rPr>
              <w:t>WRITING</w:t>
            </w:r>
          </w:p>
        </w:tc>
      </w:tr>
      <w:tr w:rsidR="00000000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DF68BE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SubHeading"/>
              <w:rPr>
                <w:sz w:val="24"/>
              </w:rPr>
            </w:pPr>
            <w:r w:rsidRPr="00D645CF">
              <w:rPr>
                <w:sz w:val="24"/>
              </w:rP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SubHeading"/>
              <w:rPr>
                <w:sz w:val="24"/>
              </w:rPr>
            </w:pPr>
            <w:r w:rsidRPr="00D645CF">
              <w:rPr>
                <w:sz w:val="24"/>
              </w:rP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SubHeading"/>
              <w:rPr>
                <w:sz w:val="24"/>
              </w:rPr>
            </w:pPr>
            <w:r w:rsidRPr="00D645CF">
              <w:rPr>
                <w:sz w:val="24"/>
              </w:rPr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SubHeading"/>
              <w:rPr>
                <w:sz w:val="24"/>
              </w:rPr>
            </w:pPr>
            <w:r w:rsidRPr="00D645CF">
              <w:rPr>
                <w:sz w:val="24"/>
              </w:rP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RightColumn"/>
              <w:rPr>
                <w:sz w:val="24"/>
              </w:rPr>
            </w:pPr>
          </w:p>
        </w:tc>
      </w:tr>
      <w:tr w:rsidR="00000000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000000" w:rsidRPr="0047743F" w:rsidRDefault="00DF68BE">
            <w:pPr>
              <w:pStyle w:val="ECVLanguageName"/>
              <w:rPr>
                <w:sz w:val="20"/>
                <w:szCs w:val="20"/>
              </w:rPr>
            </w:pPr>
            <w:r w:rsidRPr="0047743F">
              <w:rPr>
                <w:sz w:val="20"/>
                <w:szCs w:val="20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Level"/>
              <w:rPr>
                <w:caps w:val="0"/>
                <w:sz w:val="24"/>
              </w:rPr>
            </w:pPr>
            <w:r w:rsidRPr="00D645CF">
              <w:rPr>
                <w:caps w:val="0"/>
                <w:sz w:val="24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Level"/>
              <w:rPr>
                <w:caps w:val="0"/>
                <w:sz w:val="24"/>
              </w:rPr>
            </w:pPr>
            <w:r w:rsidRPr="00D645CF">
              <w:rPr>
                <w:caps w:val="0"/>
                <w:sz w:val="24"/>
              </w:rPr>
              <w:t>C2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Level"/>
              <w:rPr>
                <w:caps w:val="0"/>
                <w:sz w:val="24"/>
              </w:rPr>
            </w:pPr>
            <w:r w:rsidRPr="00D645CF">
              <w:rPr>
                <w:caps w:val="0"/>
                <w:sz w:val="24"/>
              </w:rPr>
              <w:t>C2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Level"/>
              <w:rPr>
                <w:caps w:val="0"/>
                <w:sz w:val="24"/>
              </w:rPr>
            </w:pPr>
            <w:r w:rsidRPr="00D645CF">
              <w:rPr>
                <w:caps w:val="0"/>
                <w:sz w:val="24"/>
              </w:rPr>
              <w:t>C2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Level"/>
              <w:rPr>
                <w:sz w:val="24"/>
              </w:rPr>
            </w:pPr>
            <w:r w:rsidRPr="00D645CF">
              <w:rPr>
                <w:caps w:val="0"/>
                <w:sz w:val="24"/>
              </w:rPr>
              <w:t>C2</w:t>
            </w:r>
          </w:p>
        </w:tc>
      </w:tr>
      <w:tr w:rsidR="00000000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000000" w:rsidRPr="0047743F" w:rsidRDefault="00DF68BE">
            <w:pPr>
              <w:pStyle w:val="ECVLanguageName"/>
              <w:rPr>
                <w:sz w:val="20"/>
                <w:szCs w:val="20"/>
              </w:rPr>
            </w:pPr>
            <w:r w:rsidRPr="0047743F">
              <w:rPr>
                <w:sz w:val="20"/>
                <w:szCs w:val="20"/>
              </w:rPr>
              <w:t>Turkish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Level"/>
              <w:rPr>
                <w:caps w:val="0"/>
                <w:sz w:val="24"/>
              </w:rPr>
            </w:pPr>
            <w:r w:rsidRPr="00D645CF">
              <w:rPr>
                <w:caps w:val="0"/>
                <w:sz w:val="24"/>
              </w:rPr>
              <w:t>C2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Level"/>
              <w:rPr>
                <w:caps w:val="0"/>
                <w:sz w:val="24"/>
              </w:rPr>
            </w:pPr>
            <w:r w:rsidRPr="00D645CF">
              <w:rPr>
                <w:caps w:val="0"/>
                <w:sz w:val="24"/>
              </w:rPr>
              <w:t>C2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Level"/>
              <w:rPr>
                <w:caps w:val="0"/>
                <w:sz w:val="24"/>
              </w:rPr>
            </w:pPr>
            <w:r w:rsidRPr="00D645CF">
              <w:rPr>
                <w:caps w:val="0"/>
                <w:sz w:val="24"/>
              </w:rPr>
              <w:t>C2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Level"/>
              <w:rPr>
                <w:caps w:val="0"/>
                <w:sz w:val="24"/>
              </w:rPr>
            </w:pPr>
            <w:r w:rsidRPr="00D645CF">
              <w:rPr>
                <w:caps w:val="0"/>
                <w:sz w:val="24"/>
              </w:rPr>
              <w:t>C2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000000" w:rsidRPr="00D645CF" w:rsidRDefault="00DF68BE">
            <w:pPr>
              <w:pStyle w:val="ECVLanguageLevel"/>
              <w:rPr>
                <w:sz w:val="24"/>
              </w:rPr>
            </w:pPr>
            <w:r w:rsidRPr="00D645CF">
              <w:rPr>
                <w:caps w:val="0"/>
                <w:sz w:val="24"/>
              </w:rPr>
              <w:t>C2</w:t>
            </w:r>
          </w:p>
        </w:tc>
      </w:tr>
      <w:tr w:rsidR="00000000">
        <w:trPr>
          <w:trHeight w:val="397"/>
        </w:trPr>
        <w:tc>
          <w:tcPr>
            <w:tcW w:w="2834" w:type="dxa"/>
            <w:shd w:val="clear" w:color="auto" w:fill="auto"/>
          </w:tcPr>
          <w:p w:rsidR="00000000" w:rsidRDefault="00DF68BE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000000" w:rsidRPr="00B04979" w:rsidRDefault="00DF68BE">
            <w:pPr>
              <w:pStyle w:val="ECVLanguageExplanation"/>
              <w:rPr>
                <w:sz w:val="20"/>
                <w:szCs w:val="20"/>
              </w:rPr>
            </w:pPr>
            <w:r w:rsidRPr="00B04979">
              <w:rPr>
                <w:sz w:val="20"/>
                <w:szCs w:val="20"/>
              </w:rPr>
              <w:t>Levels: A1 and A2: Basic user - B1 and B2: Independent user - C1 and C2: Prof</w:t>
            </w:r>
            <w:r w:rsidR="00B04979">
              <w:rPr>
                <w:sz w:val="20"/>
                <w:szCs w:val="20"/>
              </w:rPr>
              <w:t>icient user</w:t>
            </w:r>
          </w:p>
        </w:tc>
      </w:tr>
    </w:tbl>
    <w:p w:rsidR="00000000" w:rsidRDefault="00DF68BE">
      <w:pPr>
        <w:pStyle w:val="ECVText"/>
      </w:pPr>
    </w:p>
    <w:p w:rsidR="00000000" w:rsidRDefault="00DF68BE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000000">
        <w:trPr>
          <w:trHeight w:val="170"/>
        </w:trPr>
        <w:tc>
          <w:tcPr>
            <w:tcW w:w="2834" w:type="dxa"/>
            <w:shd w:val="clear" w:color="auto" w:fill="auto"/>
          </w:tcPr>
          <w:p w:rsidR="00000000" w:rsidRPr="0047743F" w:rsidRDefault="00DF68BE">
            <w:pPr>
              <w:pStyle w:val="ECVLeftDetails"/>
              <w:rPr>
                <w:sz w:val="20"/>
                <w:szCs w:val="20"/>
              </w:rPr>
            </w:pPr>
            <w:r w:rsidRPr="0047743F">
              <w:rPr>
                <w:sz w:val="20"/>
                <w:szCs w:val="20"/>
              </w:rP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000000" w:rsidRPr="00B04979" w:rsidRDefault="00DF68BE" w:rsidP="009555C2">
            <w:pPr>
              <w:pStyle w:val="EuropassSectionDetails"/>
              <w:rPr>
                <w:sz w:val="24"/>
              </w:rPr>
            </w:pPr>
            <w:r w:rsidRPr="00B04979">
              <w:rPr>
                <w:sz w:val="24"/>
              </w:rPr>
              <w:t xml:space="preserve">Financial analysis, </w:t>
            </w:r>
            <w:r w:rsidRPr="00B04979">
              <w:rPr>
                <w:sz w:val="24"/>
              </w:rPr>
              <w:t>Company valuation, Financing, Facilities management, Issuing of financial instruments, Corpora</w:t>
            </w:r>
            <w:r w:rsidR="003733ED">
              <w:rPr>
                <w:sz w:val="24"/>
              </w:rPr>
              <w:t>te finance, SAP ERP, MS Office</w:t>
            </w:r>
            <w:r w:rsidR="00FB748C">
              <w:rPr>
                <w:sz w:val="24"/>
              </w:rPr>
              <w:t>,</w:t>
            </w:r>
            <w:r w:rsidR="00FB748C">
              <w:rPr>
                <w:sz w:val="24"/>
                <w:lang w:val="en-US"/>
              </w:rPr>
              <w:t xml:space="preserve"> </w:t>
            </w:r>
            <w:r w:rsidRPr="00B04979">
              <w:rPr>
                <w:sz w:val="24"/>
              </w:rPr>
              <w:t>Credit rating, Consolidated financial statem</w:t>
            </w:r>
            <w:r w:rsidRPr="00B04979">
              <w:rPr>
                <w:sz w:val="24"/>
              </w:rPr>
              <w:t>ent, Financial services, Economic control,</w:t>
            </w:r>
            <w:r w:rsidRPr="00B04979">
              <w:rPr>
                <w:sz w:val="24"/>
              </w:rPr>
              <w:t xml:space="preserve"> </w:t>
            </w:r>
            <w:r w:rsidRPr="00B04979">
              <w:rPr>
                <w:sz w:val="24"/>
              </w:rPr>
              <w:t>Internet Explorer, Money market, Stock and s</w:t>
            </w:r>
            <w:r w:rsidR="007B7F65">
              <w:rPr>
                <w:sz w:val="24"/>
              </w:rPr>
              <w:t>hare dealing, Staff accounting,</w:t>
            </w:r>
            <w:r w:rsidRPr="00B04979">
              <w:rPr>
                <w:sz w:val="24"/>
              </w:rPr>
              <w:t xml:space="preserve"> Project and internal reporting, Financial plannin</w:t>
            </w:r>
            <w:r w:rsidRPr="00B04979">
              <w:rPr>
                <w:sz w:val="24"/>
              </w:rPr>
              <w:t>g, Book-keeping, MS OneNote, Negotiatin</w:t>
            </w:r>
            <w:r w:rsidR="007B7F65">
              <w:rPr>
                <w:sz w:val="24"/>
              </w:rPr>
              <w:t>g experience, MS Outlook</w:t>
            </w:r>
            <w:r w:rsidRPr="00B04979">
              <w:rPr>
                <w:sz w:val="24"/>
              </w:rPr>
              <w:t>, Financial reporting</w:t>
            </w:r>
            <w:r w:rsidR="007B7F65">
              <w:rPr>
                <w:sz w:val="24"/>
              </w:rPr>
              <w:t>, Asset management, MS Outlook</w:t>
            </w:r>
            <w:r w:rsidRPr="00B04979">
              <w:rPr>
                <w:sz w:val="24"/>
              </w:rPr>
              <w:t>, Bill-posting, Risk management, Acco</w:t>
            </w:r>
            <w:r w:rsidRPr="00B04979">
              <w:rPr>
                <w:sz w:val="24"/>
              </w:rPr>
              <w:t xml:space="preserve">unting responsibility, Firefox, </w:t>
            </w:r>
            <w:r w:rsidRPr="00B04979">
              <w:rPr>
                <w:sz w:val="24"/>
              </w:rPr>
              <w:t>Property valuation, Economic anal</w:t>
            </w:r>
            <w:r w:rsidRPr="00B04979">
              <w:rPr>
                <w:sz w:val="24"/>
              </w:rPr>
              <w:t>ysis, Accounting / auditing, Preparation of annual accounts, Taxes and tariffs</w:t>
            </w:r>
            <w:r w:rsidR="009555C2">
              <w:rPr>
                <w:sz w:val="24"/>
                <w:lang w:val="en-US"/>
              </w:rPr>
              <w:t xml:space="preserve">, </w:t>
            </w:r>
            <w:r w:rsidR="009555C2" w:rsidRPr="00B04979">
              <w:rPr>
                <w:sz w:val="24"/>
              </w:rPr>
              <w:t xml:space="preserve"> </w:t>
            </w:r>
            <w:r w:rsidR="009555C2" w:rsidRPr="00B04979">
              <w:rPr>
                <w:sz w:val="24"/>
              </w:rPr>
              <w:t>Staff social issues accounting, VAT reporting,</w:t>
            </w:r>
            <w:r w:rsidR="001C4A04">
              <w:rPr>
                <w:sz w:val="24"/>
                <w:lang w:val="en-US"/>
              </w:rPr>
              <w:t xml:space="preserve"> </w:t>
            </w:r>
            <w:r w:rsidR="001C4A04" w:rsidRPr="00B04979">
              <w:rPr>
                <w:sz w:val="24"/>
              </w:rPr>
              <w:t xml:space="preserve"> </w:t>
            </w:r>
            <w:r w:rsidR="001C4A04" w:rsidRPr="00B04979">
              <w:rPr>
                <w:sz w:val="24"/>
              </w:rPr>
              <w:t>Ledger keeping, Foreign trade,</w:t>
            </w:r>
            <w:r w:rsidR="001C4A04">
              <w:rPr>
                <w:sz w:val="24"/>
                <w:lang w:val="en-US"/>
              </w:rPr>
              <w:t xml:space="preserve"> MS Word, MS Excel.</w:t>
            </w:r>
          </w:p>
        </w:tc>
      </w:tr>
    </w:tbl>
    <w:p w:rsidR="00000000" w:rsidRDefault="00DF68BE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000000">
        <w:trPr>
          <w:trHeight w:val="170"/>
        </w:trPr>
        <w:tc>
          <w:tcPr>
            <w:tcW w:w="2834" w:type="dxa"/>
            <w:shd w:val="clear" w:color="auto" w:fill="auto"/>
          </w:tcPr>
          <w:p w:rsidR="00000000" w:rsidRPr="0047743F" w:rsidRDefault="00DF68BE">
            <w:pPr>
              <w:pStyle w:val="ECVLeftDetails"/>
              <w:rPr>
                <w:sz w:val="20"/>
                <w:szCs w:val="20"/>
              </w:rPr>
            </w:pPr>
            <w:r w:rsidRPr="0047743F">
              <w:rPr>
                <w:sz w:val="20"/>
                <w:szCs w:val="20"/>
              </w:rPr>
              <w:t xml:space="preserve">Driving </w:t>
            </w:r>
            <w:r w:rsidR="00B04979" w:rsidRPr="0047743F">
              <w:rPr>
                <w:sz w:val="20"/>
                <w:szCs w:val="20"/>
              </w:rPr>
              <w:t>license</w:t>
            </w:r>
          </w:p>
        </w:tc>
        <w:tc>
          <w:tcPr>
            <w:tcW w:w="7542" w:type="dxa"/>
            <w:shd w:val="clear" w:color="auto" w:fill="auto"/>
          </w:tcPr>
          <w:p w:rsidR="00000000" w:rsidRPr="001C4A04" w:rsidRDefault="00DF68BE">
            <w:pPr>
              <w:pStyle w:val="EuropassSectionDetails"/>
              <w:rPr>
                <w:sz w:val="24"/>
              </w:rPr>
            </w:pPr>
            <w:r w:rsidRPr="001C4A04">
              <w:rPr>
                <w:sz w:val="24"/>
              </w:rPr>
              <w:t>B, B1</w:t>
            </w:r>
          </w:p>
        </w:tc>
      </w:tr>
    </w:tbl>
    <w:p w:rsidR="00DF68BE" w:rsidRDefault="00DF68BE"/>
    <w:sectPr w:rsidR="00DF68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8BE" w:rsidRDefault="00DF68BE">
      <w:r>
        <w:separator/>
      </w:r>
    </w:p>
  </w:endnote>
  <w:endnote w:type="continuationSeparator" w:id="0">
    <w:p w:rsidR="00DF68BE" w:rsidRDefault="00DF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Arial Unicode MS"/>
    <w:charset w:val="80"/>
    <w:family w:val="auto"/>
    <w:pitch w:val="default"/>
  </w:font>
  <w:font w:name="ArialMT">
    <w:altName w:val="Yu 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F68BE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3/4/16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C8176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C8176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F68BE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t>3/4/16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C81761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C81761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8BE" w:rsidRDefault="00DF68BE">
      <w:r>
        <w:separator/>
      </w:r>
    </w:p>
  </w:footnote>
  <w:footnote w:type="continuationSeparator" w:id="0">
    <w:p w:rsidR="00DF68BE" w:rsidRDefault="00DF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F6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F68BE">
    <w:pPr>
      <w:pStyle w:val="ECVFirstPageParagraph"/>
      <w:spacing w:before="329"/>
    </w:pPr>
    <w:r>
      <w:t xml:space="preserve"> </w:t>
    </w:r>
    <w:r>
      <w:tab/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F68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FB4680"/>
    <w:multiLevelType w:val="hybridMultilevel"/>
    <w:tmpl w:val="DC3C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E8"/>
    <w:rsid w:val="00015985"/>
    <w:rsid w:val="0014535B"/>
    <w:rsid w:val="001608D2"/>
    <w:rsid w:val="001C4A04"/>
    <w:rsid w:val="003733ED"/>
    <w:rsid w:val="003E698D"/>
    <w:rsid w:val="0047743F"/>
    <w:rsid w:val="0053262E"/>
    <w:rsid w:val="00591428"/>
    <w:rsid w:val="005C1DE8"/>
    <w:rsid w:val="00785CE2"/>
    <w:rsid w:val="007B7F65"/>
    <w:rsid w:val="009555C2"/>
    <w:rsid w:val="00B04979"/>
    <w:rsid w:val="00B56166"/>
    <w:rsid w:val="00B57742"/>
    <w:rsid w:val="00C04E34"/>
    <w:rsid w:val="00C81761"/>
    <w:rsid w:val="00D645CF"/>
    <w:rsid w:val="00DF68BE"/>
    <w:rsid w:val="00EE171E"/>
    <w:rsid w:val="00FB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E3AD2C"/>
  <w15:chartTrackingRefBased/>
  <w15:docId w15:val="{BB706BC5-76C2-481F-9641-1E8A544D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00"/>
      <w:u w:val="single"/>
      <w:lang/>
    </w:rPr>
  </w:style>
  <w:style w:type="character" w:customStyle="1" w:styleId="ECVInternetLink">
    <w:name w:val="_ECV_InternetLink"/>
    <w:basedOn w:val="Hyper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567"/>
    </w:pPr>
  </w:style>
  <w:style w:type="paragraph" w:customStyle="1" w:styleId="europassparagraphindent2">
    <w:name w:val="europass_paragraph_indent2"/>
    <w:basedOn w:val="EuropassSectionDetails"/>
    <w:pPr>
      <w:ind w:left="1134"/>
    </w:pPr>
  </w:style>
  <w:style w:type="paragraph" w:customStyle="1" w:styleId="europassparagraphindent3">
    <w:name w:val="europass_paragraph_indent3"/>
    <w:basedOn w:val="EuropassSectionDetails"/>
    <w:pPr>
      <w:ind w:left="1701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170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Orkhan Aghayev Europass CV</dc:subject>
  <dc:creator/>
  <cp:keywords>Europass, CV, Cedefop</cp:keywords>
  <dc:description>Orkhan Aghayev Europass CV</dc:description>
  <cp:lastModifiedBy>Orkhan Aghayev</cp:lastModifiedBy>
  <cp:revision>22</cp:revision>
  <cp:lastPrinted>1601-01-01T00:00:00Z</cp:lastPrinted>
  <dcterms:created xsi:type="dcterms:W3CDTF">2016-04-03T18:20:00Z</dcterms:created>
  <dcterms:modified xsi:type="dcterms:W3CDTF">2016-04-03T18:40:00Z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Orkhan Aghayev</vt:lpwstr>
  </property>
  <property fmtid="{D5CDD505-2E9C-101B-9397-08002B2CF9AE}" pid="3" name="Owner">
    <vt:lpwstr>Orkhan Aghayev</vt:lpwstr>
  </property>
</Properties>
</file>