
<file path=[Content_Types].xml><?xml version="1.0" encoding="utf-8"?>
<Types xmlns="http://schemas.openxmlformats.org/package/2006/content-types">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xmlns:w="http://schemas.openxmlformats.org/wordprocessingml/2006/main">
      <w:pPr>
        <w:pStyle w:val="TextBody"/>
        <w:spacing w:before="100" w:after="100" w:line="331" w:lineRule="auto"/>
        <w:ind w:left="0" w:right="0"/>
        <w:rPr>
          <w:rFonts w:ascii="Aptos" w:hAnsi="Aptos"/>
          <w:color w:val="5B6475"/>
          <w:sz w:val="19"/>
          <w:szCs w:val="19"/>
        </w:rPr>
      </w:pPr>
      <w:r>
        <w:rPr>
          <w:rFonts w:ascii="Aptos" w:hAnsi="Aptos"/>
          <w:color w:val="5B6475"/>
          <w:sz w:val="19"/>
          <w:szCs w:val="19"/>
        </w:rPr>
        <w:t>Modèle V2 – support interne avocat/client – non destiné au dépôt en l'état</w:t>
      </w:r>
    </w:p>
    <w:p xmlns:w="http://schemas.openxmlformats.org/wordprocessingml/2006/main">
      <w:pPr>
        <w:pStyle w:val="TextBody"/>
        <w:spacing w:before="100" w:after="100" w:line="331" w:lineRule="auto"/>
        <w:ind w:left="0" w:right="0"/>
        <w:jc w:val="right"/>
        <w:rPr>
          <w:rFonts w:ascii="Aptos" w:hAnsi="Aptos"/>
          <w:color w:val="172033"/>
        </w:rPr>
      </w:pPr>
      <w:r>
        <w:rPr>
          <w:rFonts w:ascii="Aptos" w:hAnsi="Aptos"/>
          <w:color w:val="334155"/>
          <w:sz w:val="19"/>
          <w:szCs w:val="19"/>
        </w:rPr>
        <w:t>V2</w:t>
      </w:r>
      <w:r>
        <w:rPr>
          <w:rFonts w:ascii="Aptos" w:hAnsi="Aptos"/>
          <w:color w:val="334155"/>
          <w:sz w:val="19"/>
          <w:szCs w:val="19"/>
        </w:rPr>
        <w:t>Application-ready</w:t>
      </w:r>
      <w:r>
        <w:rPr>
          <w:rFonts w:ascii="Aptos" w:hAnsi="Aptos"/>
          <w:color w:val="334155"/>
          <w:sz w:val="19"/>
          <w:szCs w:val="19"/>
        </w:rPr>
        <w:t>Parents séparés</w:t>
      </w:r>
      <w:r>
        <w:rPr>
          <w:rFonts w:ascii="Aptos" w:hAnsi="Aptos"/>
          <w:color w:val="334155"/>
          <w:sz w:val="19"/>
          <w:szCs w:val="19"/>
        </w:rPr>
        <w:t>Projet avocat</w:t>
      </w:r>
    </w:p>
    <w:p xmlns:w="http://schemas.openxmlformats.org/wordprocessingml/2006/main">
      <w:pPr>
        <w:pStyle w:val="Heading1"/>
        <w:spacing w:after="80" w:line="331" w:lineRule="auto"/>
        <w:rPr>
          <w:rFonts w:ascii="Aptos" w:hAnsi="Aptos"/>
          <w:color w:val="172033"/>
          <w:spacing w:val="6"/>
          <w:sz w:val="36"/>
          <w:szCs w:val="36"/>
        </w:rPr>
      </w:pPr>
      <w:r>
        <w:rPr>
          <w:rFonts w:ascii="Aptos" w:hAnsi="Aptos"/>
          <w:color w:val="172033"/>
          <w:spacing w:val="6"/>
          <w:sz w:val="36"/>
          <w:szCs w:val="36"/>
        </w:rPr>
        <w:t>PROJET DE CONCLUSIONS À TRANSMETTRE À L'AVOCAT</w:t>
      </w:r>
    </w:p>
    <w:p xmlns:w="http://schemas.openxmlformats.org/wordprocessingml/2006/main">
      <w:pPr>
        <w:pStyle w:val="TextBody"/>
        <w:spacing w:before="100" w:after="100" w:line="331" w:lineRule="auto"/>
        <w:ind w:left="0" w:right="0"/>
        <w:rPr>
          <w:rFonts w:ascii="Aptos" w:hAnsi="Aptos"/>
          <w:color w:val="5B6475"/>
        </w:rPr>
      </w:pPr>
      <w:r>
        <w:rPr>
          <w:rFonts w:ascii="Aptos" w:hAnsi="Aptos"/>
          <w:color w:val="5B6475"/>
        </w:rPr>
        <w:t>Version structurée pour préremplissage applicatif, avec variables normalisées, blocs répétables et rédaction orientée reprise par le conseil.</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CFD8E3"/>
              <w:bottom w:val="single" w:sz="8" w:color="CFD8E3"/>
              <w:left w:val="single" w:sz="8" w:color="CFD8E3"/>
              <w:right w:val="single" w:sz="8" w:color="CFD8E3"/>
            </w:tcBorders>
            <w:shd w:val="clear" w:fill="F8FAFC"/>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b/>
                <w:color w:val="0F172A"/>
              </w:rPr>
              <w:t>Finalité :</w:t>
            </w:r>
            <w:r>
              <w:rPr>
                <w:rFonts w:ascii="Aptos" w:hAnsi="Aptos"/>
                <w:color w:val="172033"/>
              </w:rPr>
              <w:t xml:space="preserve"> ce document constitue un </w:t>
            </w:r>
            <w:r>
              <w:rPr>
                <w:rFonts w:ascii="Aptos" w:hAnsi="Aptos"/>
                <w:b/>
                <w:color w:val="172033"/>
              </w:rPr>
              <w:t>support de transmission des faits, demandes, pièces, chiffrages et priorités client</w:t>
            </w:r>
            <w:r>
              <w:rPr>
                <w:rFonts w:ascii="Aptos" w:hAnsi="Aptos"/>
                <w:color w:val="172033"/>
              </w:rPr>
              <w:t>, destiné à être vérifié, arbitré, complété et juridiquement reformulé par l'avocat selon la stratégie du dossier.</w:t>
            </w:r>
          </w:p>
          <w:p>
            <w:pPr>
              <w:pStyle w:val="TextBody"/>
              <w:spacing w:before="100" w:after="100" w:line="331" w:lineRule="auto"/>
              <w:ind w:left="0" w:right="0"/>
              <w:rPr>
                <w:rFonts w:ascii="Aptos" w:hAnsi="Aptos"/>
                <w:color w:val="172033"/>
              </w:rPr>
            </w:pPr>
            <w:r>
              <w:rPr>
                <w:rFonts w:ascii="Aptos" w:hAnsi="Aptos"/>
                <w:b/>
                <w:color w:val="0F172A"/>
              </w:rPr>
              <w:t>Convention de variables :</w:t>
            </w:r>
            <w:r>
              <w:rPr>
                <w:rFonts w:ascii="Aptos" w:hAnsi="Aptos"/>
                <w:color w:val="172033"/>
              </w:rPr>
              <w:t xml:space="preserve"> les champs simples sont notés </w:t>
            </w:r>
            <w:r>
              <w:rPr>
                <w:rFonts w:ascii="Consolas" w:hAnsi="Consolas"/>
                <w:color w:val="0B3B8C"/>
                <w:shd w:val="clear" w:color="auto" w:fill="EEF4FF"/>
              </w:rPr>
              <w:t>{{client.full_name}}</w:t>
            </w:r>
            <w:r>
              <w:rPr>
                <w:rFonts w:ascii="Aptos" w:hAnsi="Aptos"/>
                <w:color w:val="172033"/>
              </w:rPr>
              <w:t>. Les blocs répétables sont signalés par des marqueurs de boucle neutres afin de faciliter l'intégration dans votre moteur de rendu.</w:t>
            </w:r>
          </w:p>
          <w:p>
            <w:pPr>
              <w:pStyle w:val="TextBody"/>
              <w:spacing w:before="100" w:after="100" w:line="331" w:lineRule="auto"/>
              <w:ind w:left="0" w:right="0"/>
              <w:rPr>
                <w:rFonts w:ascii="Aptos" w:hAnsi="Aptos"/>
                <w:color w:val="5B6475"/>
                <w:sz w:val="18"/>
                <w:szCs w:val="18"/>
              </w:rPr>
            </w:pPr>
            <w:r>
              <w:rPr>
                <w:rFonts w:ascii="Aptos" w:hAnsi="Aptos"/>
                <w:color w:val="5B6475"/>
                <w:sz w:val="18"/>
                <w:szCs w:val="18"/>
              </w:rPr>
              <w:t xml:space="preserve">Exemples de blocs : </w:t>
            </w:r>
            <w:r>
              <w:rPr>
                <w:rFonts w:ascii="Consolas" w:hAnsi="Consolas"/>
                <w:color w:val="475569"/>
                <w:sz w:val="18"/>
                <w:szCs w:val="18"/>
                <w:shd w:val="clear" w:color="auto" w:fill="F8FAFC"/>
              </w:rPr>
              <w:t>[[FOR children]] ... [[END]]</w:t>
            </w:r>
            <w:r>
              <w:rPr>
                <w:rFonts w:ascii="Aptos" w:hAnsi="Aptos"/>
                <w:color w:val="5B6475"/>
                <w:sz w:val="18"/>
                <w:szCs w:val="18"/>
              </w:rPr>
              <w:t xml:space="preserve"> – </w:t>
            </w:r>
            <w:r>
              <w:rPr>
                <w:rFonts w:ascii="Consolas" w:hAnsi="Consolas"/>
                <w:color w:val="475569"/>
                <w:sz w:val="18"/>
                <w:szCs w:val="18"/>
                <w:shd w:val="clear" w:color="auto" w:fill="F8FAFC"/>
              </w:rPr>
              <w:t>[[FOR chronology]] ... [[END]]</w:t>
            </w:r>
            <w:r>
              <w:rPr>
                <w:rFonts w:ascii="Aptos" w:hAnsi="Aptos"/>
                <w:color w:val="5B6475"/>
                <w:sz w:val="18"/>
                <w:szCs w:val="18"/>
              </w:rPr>
              <w:t xml:space="preserve"> – </w:t>
            </w:r>
            <w:r>
              <w:rPr>
                <w:rFonts w:ascii="Consolas" w:hAnsi="Consolas"/>
                <w:color w:val="475569"/>
                <w:sz w:val="18"/>
                <w:szCs w:val="18"/>
                <w:shd w:val="clear" w:color="auto" w:fill="F8FAFC"/>
              </w:rPr>
              <w:t>[[FOR exhibits]] ... [[END]]</w:t>
            </w:r>
            <w:r>
              <w:rPr>
                <w:rFonts w:ascii="Aptos" w:hAnsi="Aptos"/>
                <w:color w:val="5B6475"/>
                <w:sz w:val="18"/>
                <w:szCs w:val="18"/>
              </w:rPr>
              <w:t>.</w:t>
            </w:r>
          </w:p>
        </w:tc>
      </w:tr>
    </w:tbl>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left w:val="single" w:sz="32" w:color="B45309"/>
            </w:tcBorders>
            <w:shd w:val="clear" w:fill="FFF7ED"/>
            <w:tcMar>
              <w:top w:type="dxa" w:w="160"/>
              <w:left w:type="dxa" w:w="200"/>
              <w:start w:type="dxa" w:w="200"/>
              <w:bottom w:type="dxa" w:w="160"/>
              <w:right w:type="dxa" w:w="200"/>
              <w:end w:type="dxa" w:w="20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b/>
                <w:color w:val="0F172A"/>
              </w:rPr>
              <w:t>Réserve utile :</w:t>
            </w:r>
            <w:r>
              <w:rPr>
                <w:rFonts w:ascii="Aptos" w:hAnsi="Aptos"/>
                <w:color w:val="172033"/>
              </w:rPr>
              <w:t xml:space="preserve"> les formulations ci-dessous sont rédigées pour un usage interne. Elles n'ont pas vocation à remplacer l'analyse, la qualification juridique, le visa des textes, les prétentions et le dispositif final de l'acte rédigé par le conseil.</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1. Métadonnées dossier</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Document</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{{document.title}}</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Version</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{{document.version}}</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Date de génération</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{{document.generated_at}}</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Référence interne application</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{{file.reference}}</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Type d'acte attendu</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{{matter.expected_act_type}}</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Juridiction / chambre</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{{procedure.court_name}} – {{procedure.chamber}}</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N° RG / Portalis</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{{procedure.rg_number}} / {{procedure.portalis_number}}</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Audience / échéance connue</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{{procedure.next_hearing_date}} / {{procedure.next_deadline}}</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2. Parties et intervenants</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b/>
                <w:color w:val="0F172A"/>
              </w:rPr>
              <w:t>Client :</w:t>
            </w:r>
            <w:r>
              <w:rPr>
                <w:rFonts w:ascii="Aptos" w:hAnsi="Aptos"/>
                <w:color w:val="172033"/>
              </w:rPr>
              <w:t xml:space="preserve"> {{client.civility}} {{client.full_name}}, né(e) le {{client.birth_date}}, demeurant {{client.address_full}}, profession {{client.profession}}, courriel {{client.email}}, téléphone {{client.phone}}.</w:t>
            </w:r>
          </w:p>
          <w:p>
            <w:pPr>
              <w:pStyle w:val="TextBody"/>
              <w:spacing w:before="100" w:after="100" w:line="331" w:lineRule="auto"/>
              <w:ind w:left="0" w:right="0"/>
              <w:rPr>
                <w:rFonts w:ascii="Aptos" w:hAnsi="Aptos"/>
                <w:color w:val="172033"/>
              </w:rPr>
            </w:pPr>
            <w:r>
              <w:rPr>
                <w:rFonts w:ascii="Aptos" w:hAnsi="Aptos"/>
                <w:b/>
                <w:color w:val="0F172A"/>
              </w:rPr>
              <w:t>Avocat du client :</w:t>
            </w:r>
            <w:r>
              <w:rPr>
                <w:rFonts w:ascii="Aptos" w:hAnsi="Aptos"/>
                <w:color w:val="172033"/>
              </w:rPr>
              <w:t xml:space="preserve"> {{counsel.name}} – {{counsel.firm}} – {{counsel.bar}}.</w:t>
            </w:r>
          </w:p>
          <w:p>
            <w:pPr>
              <w:pStyle w:val="TextBody"/>
              <w:spacing w:before="100" w:after="100" w:line="331" w:lineRule="auto"/>
              <w:ind w:left="0" w:right="0"/>
              <w:rPr>
                <w:rFonts w:ascii="Aptos" w:hAnsi="Aptos"/>
                <w:color w:val="172033"/>
              </w:rPr>
            </w:pPr>
            <w:r>
              <w:rPr>
                <w:rFonts w:ascii="Aptos" w:hAnsi="Aptos"/>
                <w:b/>
                <w:color w:val="0F172A"/>
              </w:rPr>
              <w:t>Partie adverse :</w:t>
            </w:r>
            <w:r>
              <w:rPr>
                <w:rFonts w:ascii="Aptos" w:hAnsi="Aptos"/>
                <w:color w:val="172033"/>
              </w:rPr>
              <w:t xml:space="preserve"> {{opponent.civility}} {{opponent.full_name}}, né(e) le {{opponent.birth_date}}, demeurant {{opponent.address_full}}, profession {{opponent.profession}}.</w:t>
            </w:r>
          </w:p>
          <w:p>
            <w:pPr>
              <w:pStyle w:val="TextBody"/>
              <w:spacing w:before="100" w:after="100" w:line="331" w:lineRule="auto"/>
              <w:ind w:left="0" w:right="0"/>
              <w:rPr>
                <w:rFonts w:ascii="Aptos" w:hAnsi="Aptos"/>
                <w:color w:val="172033"/>
              </w:rPr>
            </w:pPr>
            <w:r>
              <w:rPr>
                <w:rFonts w:ascii="Aptos" w:hAnsi="Aptos"/>
                <w:b/>
                <w:color w:val="0F172A"/>
              </w:rPr>
              <w:t>Avocat adverse :</w:t>
            </w:r>
            <w:r>
              <w:rPr>
                <w:rFonts w:ascii="Aptos" w:hAnsi="Aptos"/>
                <w:color w:val="172033"/>
              </w:rPr>
              <w:t xml:space="preserve"> {{opponent_counsel.name}} – {{opponent_counsel.firm}} – {{opponent_counsel.bar}}.</w:t>
            </w:r>
          </w:p>
          <w:p>
            <w:pPr>
              <w:pStyle w:val="TextBody"/>
              <w:spacing w:before="100" w:after="100" w:line="331" w:lineRule="auto"/>
              <w:ind w:left="0" w:right="0"/>
              <w:rPr>
                <w:rFonts w:ascii="Aptos" w:hAnsi="Aptos"/>
                <w:color w:val="172033"/>
              </w:rPr>
            </w:pPr>
            <w:r>
              <w:rPr>
                <w:rFonts w:ascii="Aptos" w:hAnsi="Aptos"/>
                <w:b/>
                <w:color w:val="0F172A"/>
              </w:rPr>
              <w:t>Nature du lien familial :</w:t>
            </w:r>
            <w:r>
              <w:rPr>
                <w:rFonts w:ascii="Aptos" w:hAnsi="Aptos"/>
                <w:color w:val="172033"/>
              </w:rPr>
              <w:t xml:space="preserve"> {{family.relationship_context}}.</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3. Enfants concernés</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[[FOR children]]</w:t>
            </w:r>
            <w:r>
              <w:rPr>
                <w:rFonts w:ascii="Consolas" w:hAnsi="Consolas"/>
                <w:color w:val="475569"/>
                <w:sz w:val="18"/>
                <w:szCs w:val="18"/>
              </w:rPr>
              <w:t xml:space="preserve">
    </w:t>
            </w:r>
            <w:r>
              <w:rPr>
                <w:rFonts w:ascii="Consolas" w:hAnsi="Consolas"/>
                <w:color w:val="475569"/>
                <w:sz w:val="18"/>
                <w:szCs w:val="18"/>
              </w:rPr>
              <w:t xml:space="preserve">
    </w:t>
            </w:r>
            <w:r>
              <w:rPr>
                <w:rFonts w:ascii="Consolas" w:hAnsi="Consolas"/>
                <w:color w:val="475569"/>
                <w:sz w:val="18"/>
                <w:szCs w:val="18"/>
              </w:rPr>
              <w:t xml:space="preserve">
    </w:t>
            </w:r>
            <w:r>
              <w:rPr>
                <w:rFonts w:ascii="Consolas" w:hAnsi="Consolas"/>
                <w:color w:val="475569"/>
                <w:sz w:val="18"/>
                <w:szCs w:val="18"/>
              </w:rPr>
              <w:t xml:space="preserve">
  </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680"/>
              <w:gridCol w:w="4680"/>
            </w:tblGrid>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Enfant</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{{children.first_name}} {{children.last_name}}</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Date de naissance</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{{children.birth_date}}</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Résidence actuelle</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{{children.current_residence}}</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Scolarité / situation</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{{children.school_or_status}}</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Besoins particuliers</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{{children.special_needs}}</w:t>
                  </w:r>
                </w:p>
              </w:tc>
            </w:tr>
            <w:tr>
              <w:tc>
                <w:tcPr>
                  <w:tcW w:type="dxa" w:w="4680"/>
                  <w:tcBorders>
                    <w:top w:val="single" w:sz="8" w:color="D9E2EC"/>
                    <w:bottom w:val="single" w:sz="8" w:color="D9E2EC"/>
                    <w:left w:val="single" w:sz="8" w:color="D9E2EC"/>
                    <w:right w:val="single" w:sz="8" w:color="D9E2EC"/>
                  </w:tcBorders>
                  <w:shd w:val="clear" w:fill="F8FAFC"/>
                  <w:tcMar>
                    <w:top w:type="dxa" w:w="140"/>
                    <w:left w:type="dxa" w:w="140"/>
                    <w:start w:type="dxa" w:w="140"/>
                    <w:bottom w:type="dxa" w:w="140"/>
                    <w:right w:type="dxa" w:w="140"/>
                    <w:end w:type="dxa" w:w="140"/>
                  </w:tcMar>
                </w:tcPr>
                <w:p>
                  <w:pPr>
                    <w:spacing w:line="331" w:lineRule="auto"/>
                    <w:rPr>
                      <w:rFonts w:ascii="Aptos" w:hAnsi="Aptos"/>
                      <w:b/>
                      <w:color w:val="172033"/>
                      <w:sz w:val="22"/>
                      <w:szCs w:val="22"/>
                    </w:rPr>
                  </w:pPr>
                  <w:r>
                    <w:rPr>
                      <w:rFonts w:ascii="Aptos" w:hAnsi="Aptos"/>
                      <w:b/>
                      <w:color w:val="172033"/>
                      <w:sz w:val="22"/>
                      <w:szCs w:val="22"/>
                    </w:rPr>
                    <w:t>Observation utile</w:t>
                  </w:r>
                </w:p>
              </w:tc>
              <w:tc>
                <w:tcPr>
                  <w:tcW w:type="dxa" w:w="468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{{children.note}}</w:t>
                  </w:r>
                </w:p>
              </w:tc>
            </w:tr>
          </w:tbl>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[[END]]</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4. Résumé exécutif pour le conseil</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b/>
                <w:color w:val="0F172A"/>
              </w:rPr>
              <w:t>Objet principal du dossier :</w:t>
            </w:r>
            <w:r>
              <w:rPr>
                <w:rFonts w:ascii="Aptos" w:hAnsi="Aptos"/>
                <w:color w:val="172033"/>
              </w:rPr>
              <w:t xml:space="preserve"> {{matter.main_object}}.</w:t>
            </w:r>
          </w:p>
          <w:p>
            <w:pPr>
              <w:pStyle w:val="TextBody"/>
              <w:spacing w:before="100" w:after="100" w:line="331" w:lineRule="auto"/>
              <w:ind w:left="0" w:right="0"/>
              <w:rPr>
                <w:rFonts w:ascii="Aptos" w:hAnsi="Aptos"/>
                <w:color w:val="172033"/>
              </w:rPr>
            </w:pPr>
            <w:r>
              <w:rPr>
                <w:rFonts w:ascii="Aptos" w:hAnsi="Aptos"/>
                <w:b/>
                <w:color w:val="0F172A"/>
              </w:rPr>
              <w:t>Ce que le client veut obtenir en priorité :</w:t>
            </w:r>
            <w:r>
              <w:rPr>
                <w:rFonts w:ascii="Aptos" w:hAnsi="Aptos"/>
                <w:color w:val="172033"/>
              </w:rPr>
              <w:t xml:space="preserve"> {{matter.primary_goal}}.</w:t>
            </w:r>
          </w:p>
          <w:p>
            <w:pPr>
              <w:pStyle w:val="TextBody"/>
              <w:spacing w:before="100" w:after="100" w:line="331" w:lineRule="auto"/>
              <w:ind w:left="0" w:right="0"/>
              <w:rPr>
                <w:rFonts w:ascii="Aptos" w:hAnsi="Aptos"/>
                <w:color w:val="172033"/>
              </w:rPr>
            </w:pPr>
            <w:r>
              <w:rPr>
                <w:rFonts w:ascii="Aptos" w:hAnsi="Aptos"/>
                <w:b/>
                <w:color w:val="0F172A"/>
              </w:rPr>
              <w:t>Ce que le client veut éviter à tout prix :</w:t>
            </w:r>
            <w:r>
              <w:rPr>
                <w:rFonts w:ascii="Aptos" w:hAnsi="Aptos"/>
                <w:color w:val="172033"/>
              </w:rPr>
              <w:t xml:space="preserve"> {{matter.red_line}}.</w:t>
            </w:r>
          </w:p>
          <w:p>
            <w:pPr>
              <w:pStyle w:val="TextBody"/>
              <w:spacing w:before="100" w:after="100" w:line="331" w:lineRule="auto"/>
              <w:ind w:left="0" w:right="0"/>
              <w:rPr>
                <w:rFonts w:ascii="Aptos" w:hAnsi="Aptos"/>
                <w:color w:val="172033"/>
              </w:rPr>
            </w:pPr>
            <w:r>
              <w:rPr>
                <w:rFonts w:ascii="Aptos" w:hAnsi="Aptos"/>
                <w:b/>
                <w:color w:val="0F172A"/>
              </w:rPr>
              <w:t>Position synthétique en trois phrases :</w:t>
            </w:r>
          </w:p>
          <w:p>
            <w:pPr>
              <w:pStyle w:val="TextBody"/>
              <w:spacing w:before="100" w:after="100" w:line="331" w:lineRule="auto"/>
              <w:ind w:left="0" w:right="0"/>
              <w:rPr>
                <w:rFonts w:ascii="Aptos" w:hAnsi="Aptos"/>
                <w:color w:val="172033"/>
              </w:rPr>
            </w:pPr>
            <w:r>
              <w:rPr>
                <w:rFonts w:ascii="Aptos" w:hAnsi="Aptos"/>
                <w:color w:val="172033"/>
              </w:rPr>
              <w:t>1. {{summary.line_1}}</w:t>
            </w:r>
          </w:p>
          <w:p>
            <w:pPr>
              <w:pStyle w:val="TextBody"/>
              <w:spacing w:before="100" w:after="100" w:line="331" w:lineRule="auto"/>
              <w:ind w:left="0" w:right="0"/>
              <w:rPr>
                <w:rFonts w:ascii="Aptos" w:hAnsi="Aptos"/>
                <w:color w:val="172033"/>
              </w:rPr>
            </w:pPr>
            <w:r>
              <w:rPr>
                <w:rFonts w:ascii="Aptos" w:hAnsi="Aptos"/>
                <w:color w:val="172033"/>
              </w:rPr>
              <w:t>2. {{summary.line_2}}</w:t>
            </w:r>
          </w:p>
          <w:p>
            <w:pPr>
              <w:pStyle w:val="TextBody"/>
              <w:spacing w:before="100" w:after="100" w:line="331" w:lineRule="auto"/>
              <w:ind w:left="0" w:right="0"/>
              <w:rPr>
                <w:rFonts w:ascii="Aptos" w:hAnsi="Aptos"/>
                <w:color w:val="172033"/>
              </w:rPr>
            </w:pPr>
            <w:r>
              <w:rPr>
                <w:rFonts w:ascii="Aptos" w:hAnsi="Aptos"/>
                <w:color w:val="172033"/>
              </w:rPr>
              <w:t>3. {{summary.line_3}}</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5. Cadre procédural et décisions déjà rendues</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b/>
                <w:color w:val="0F172A"/>
              </w:rPr>
              <w:t>État de la procédure :</w:t>
            </w:r>
            <w:r>
              <w:rPr>
                <w:rFonts w:ascii="Aptos" w:hAnsi="Aptos"/>
                <w:color w:val="172033"/>
              </w:rPr>
              <w:t xml:space="preserve"> {{procedure.current_stage}}.</w:t>
            </w:r>
          </w:p>
          <w:p>
            <w:pPr>
              <w:pStyle w:val="TextBody"/>
              <w:spacing w:before="100" w:after="100" w:line="331" w:lineRule="auto"/>
              <w:ind w:left="0" w:right="0"/>
              <w:rPr>
                <w:rFonts w:ascii="Aptos" w:hAnsi="Aptos"/>
                <w:color w:val="172033"/>
              </w:rPr>
            </w:pPr>
            <w:r>
              <w:rPr>
                <w:rFonts w:ascii="Aptos" w:hAnsi="Aptos"/>
                <w:b/>
                <w:color w:val="0F172A"/>
              </w:rPr>
              <w:t>Dernière décision connue :</w:t>
            </w:r>
            <w:r>
              <w:rPr>
                <w:rFonts w:ascii="Aptos" w:hAnsi="Aptos"/>
                <w:color w:val="172033"/>
              </w:rPr>
              <w:t xml:space="preserve"> {{procedure.last_decision_label}} en date du {{procedure.last_decision_date}}.</w:t>
            </w:r>
          </w:p>
          <w:p>
            <w:pPr>
              <w:pStyle w:val="TextBody"/>
              <w:spacing w:before="100" w:after="100" w:line="331" w:lineRule="auto"/>
              <w:ind w:left="0" w:right="0"/>
              <w:rPr>
                <w:rFonts w:ascii="Aptos" w:hAnsi="Aptos"/>
                <w:color w:val="172033"/>
              </w:rPr>
            </w:pPr>
            <w:r>
              <w:rPr>
                <w:rFonts w:ascii="Aptos" w:hAnsi="Aptos"/>
                <w:b/>
                <w:color w:val="0F172A"/>
              </w:rPr>
              <w:t>Effets actuellement applicables :</w:t>
            </w:r>
            <w:r>
              <w:rPr>
                <w:rFonts w:ascii="Aptos" w:hAnsi="Aptos"/>
                <w:color w:val="172033"/>
              </w:rPr>
              <w:t xml:space="preserve"> {{procedure.current_operatives}}.</w:t>
            </w:r>
          </w:p>
          <w:p>
            <w:pPr>
              <w:pStyle w:val="TextBody"/>
              <w:spacing w:before="100" w:after="100" w:line="331" w:lineRule="auto"/>
              <w:ind w:left="0" w:right="0"/>
              <w:rPr>
                <w:rFonts w:ascii="Aptos" w:hAnsi="Aptos"/>
                <w:color w:val="172033"/>
              </w:rPr>
            </w:pPr>
            <w:r>
              <w:rPr>
                <w:rFonts w:ascii="Aptos" w:hAnsi="Aptos"/>
                <w:b/>
                <w:color w:val="0F172A"/>
              </w:rPr>
              <w:t>Difficulté d'exécution alléguée :</w:t>
            </w:r>
            <w:r>
              <w:rPr>
                <w:rFonts w:ascii="Aptos" w:hAnsi="Aptos"/>
                <w:color w:val="172033"/>
              </w:rPr>
              <w:t xml:space="preserve"> {{procedure.enforcement_issue}}.</w:t>
            </w:r>
          </w:p>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[[FOR prior_decisions]]</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Date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Juridiction / acte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Mesure ou point utile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Exécution / observation</w:t>
                  </w:r>
                </w:p>
              </w:tc>
            </w:tr>
            <w:tr>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{{prior_decisions.date}}</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{{prior_decisions.label}}</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{{prior_decisions.operatives}}</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{{prior_decisions.execution_status}}</w:t>
                  </w:r>
                </w:p>
              </w:tc>
            </w:tr>
          </w:tbl>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[[END]]</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6. Chronologie factuelle détaillée</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5B6475"/>
              </w:rPr>
            </w:pPr>
            <w:r>
              <w:rPr>
                <w:rFonts w:ascii="Aptos" w:hAnsi="Aptos"/>
                <w:color w:val="5B6475"/>
              </w:rPr>
              <w:t>À utiliser pour donner au conseil une lecture continue et datée des événements matériellement utiles.</w:t>
            </w:r>
            <w:r>
              <w:rPr>
                <w:rFonts w:ascii="Aptos" w:hAnsi="Aptos"/>
                <w:color w:val="5B6475"/>
              </w:rPr>
              <w:t xml:space="preserve">
    </w:t>
            </w:r>
            <w:r>
              <w:rPr>
                <w:rFonts w:ascii="Aptos" w:hAnsi="Aptos"/>
                <w:color w:val="5B6475"/>
              </w:rPr>
              <w:t xml:space="preserve">
    </w:t>
            </w:r>
            <w:r>
              <w:rPr>
                <w:rFonts w:ascii="Aptos" w:hAnsi="Aptos"/>
                <w:color w:val="5B6475"/>
              </w:rPr>
              <w:t xml:space="preserve">
    </w:t>
            </w:r>
            <w:r>
              <w:rPr>
                <w:rFonts w:ascii="Aptos" w:hAnsi="Aptos"/>
                <w:color w:val="5B6475"/>
              </w:rPr>
              <w:t xml:space="preserve">
    </w:t>
            </w:r>
            <w:r>
              <w:rPr>
                <w:rFonts w:ascii="Aptos" w:hAnsi="Aptos"/>
                <w:color w:val="5B6475"/>
              </w:rPr>
              <w:t xml:space="preserve">
  </w:t>
            </w:r>
          </w:p>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[[FOR chronology]]</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Date / période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Fait</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Conséquence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Pièce liée</w:t>
                  </w:r>
                </w:p>
              </w:tc>
            </w:tr>
            <w:tr>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{{chronology.date}}</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{{chronology.event}}</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{{chronology.impact}}</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{{chronology.exhibit_ref}}</w:t>
                  </w:r>
                </w:p>
              </w:tc>
            </w:tr>
          </w:tbl>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[[END]]</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7. Exposé structuré des faits selon la thèse du client</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Heading3"/>
              <w:spacing w:before="240" w:line="331" w:lineRule="auto"/>
              <w:rPr>
                <w:rFonts w:ascii="Aptos" w:hAnsi="Aptos"/>
                <w:color w:val="172033"/>
                <w:sz w:val="22"/>
                <w:szCs w:val="22"/>
              </w:rPr>
            </w:pPr>
            <w:r>
              <w:rPr>
                <w:rFonts w:ascii="Aptos" w:hAnsi="Aptos"/>
                <w:color w:val="172033"/>
                <w:sz w:val="22"/>
                <w:szCs w:val="22"/>
              </w:rPr>
              <w:t>7.1 Situation familiale et parentale</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r>
              <w:rPr>
                <w:rFonts w:ascii="Aptos" w:hAnsi="Aptos"/>
                <w:color w:val="172033"/>
                <w:sz w:val="22"/>
                <w:szCs w:val="22"/>
              </w:rPr>
              <w:t xml:space="preserve">
  </w:t>
            </w:r>
          </w:p>
          <w:p>
            <w:pPr>
              <w:pStyle w:val="TextBody"/>
              <w:spacing w:before="100" w:after="100" w:line="331" w:lineRule="auto"/>
              <w:ind w:left="0" w:right="0"/>
              <w:rPr>
                <w:rFonts w:ascii="Aptos" w:hAnsi="Aptos"/>
                <w:color w:val="172033"/>
              </w:rPr>
            </w:pPr>
            <w:r>
              <w:rPr>
                <w:rFonts w:ascii="Aptos" w:hAnsi="Aptos"/>
                <w:color w:val="172033"/>
              </w:rPr>
              <w:t>{{facts.family_context}}</w:t>
            </w:r>
          </w:p>
          <w:p>
            <w:pPr>
              <w:pStyle w:val="Heading3"/>
              <w:spacing w:before="240" w:line="331" w:lineRule="auto"/>
              <w:rPr>
                <w:rFonts w:ascii="Aptos" w:hAnsi="Aptos"/>
                <w:color w:val="172033"/>
                <w:sz w:val="22"/>
                <w:szCs w:val="22"/>
              </w:rPr>
            </w:pPr>
            <w:r>
              <w:rPr>
                <w:rFonts w:ascii="Aptos" w:hAnsi="Aptos"/>
                <w:color w:val="172033"/>
                <w:sz w:val="22"/>
                <w:szCs w:val="22"/>
              </w:rPr>
              <w:t>7.2 Organisation effective autour des enfants</w:t>
            </w:r>
          </w:p>
          <w:p>
            <w:pPr>
              <w:pStyle w:val="TextBody"/>
              <w:spacing w:before="100" w:after="100" w:line="331" w:lineRule="auto"/>
              <w:ind w:left="0" w:right="0"/>
              <w:rPr>
                <w:rFonts w:ascii="Aptos" w:hAnsi="Aptos"/>
                <w:color w:val="172033"/>
              </w:rPr>
            </w:pPr>
            <w:r>
              <w:rPr>
                <w:rFonts w:ascii="Aptos" w:hAnsi="Aptos"/>
                <w:color w:val="172033"/>
              </w:rPr>
              <w:t>{{facts.parenting_arrangements}}</w:t>
            </w:r>
          </w:p>
          <w:p>
            <w:pPr>
              <w:pStyle w:val="Heading3"/>
              <w:spacing w:before="240" w:line="331" w:lineRule="auto"/>
              <w:rPr>
                <w:rFonts w:ascii="Aptos" w:hAnsi="Aptos"/>
                <w:color w:val="172033"/>
                <w:sz w:val="22"/>
                <w:szCs w:val="22"/>
              </w:rPr>
            </w:pPr>
            <w:r>
              <w:rPr>
                <w:rFonts w:ascii="Aptos" w:hAnsi="Aptos"/>
                <w:color w:val="172033"/>
                <w:sz w:val="22"/>
                <w:szCs w:val="22"/>
              </w:rPr>
              <w:t>7.3 Situation financière utile au litige</w:t>
            </w:r>
          </w:p>
          <w:p>
            <w:pPr>
              <w:pStyle w:val="TextBody"/>
              <w:spacing w:before="100" w:after="100" w:line="331" w:lineRule="auto"/>
              <w:ind w:left="0" w:right="0"/>
              <w:rPr>
                <w:rFonts w:ascii="Aptos" w:hAnsi="Aptos"/>
                <w:color w:val="172033"/>
              </w:rPr>
            </w:pPr>
            <w:r>
              <w:rPr>
                <w:rFonts w:ascii="Aptos" w:hAnsi="Aptos"/>
                <w:color w:val="172033"/>
              </w:rPr>
              <w:t>{{facts.financial_context}}</w:t>
            </w:r>
          </w:p>
          <w:p>
            <w:pPr>
              <w:pStyle w:val="Heading3"/>
              <w:spacing w:before="240" w:line="331" w:lineRule="auto"/>
              <w:rPr>
                <w:rFonts w:ascii="Aptos" w:hAnsi="Aptos"/>
                <w:color w:val="172033"/>
                <w:sz w:val="22"/>
                <w:szCs w:val="22"/>
              </w:rPr>
            </w:pPr>
            <w:r>
              <w:rPr>
                <w:rFonts w:ascii="Aptos" w:hAnsi="Aptos"/>
                <w:color w:val="172033"/>
                <w:sz w:val="22"/>
                <w:szCs w:val="22"/>
              </w:rPr>
              <w:t>7.4 Éléments de tension, incidents ou manquements allégués</w:t>
            </w:r>
          </w:p>
          <w:p>
            <w:pPr>
              <w:pStyle w:val="TextBody"/>
              <w:spacing w:before="100" w:after="100" w:line="331" w:lineRule="auto"/>
              <w:ind w:left="0" w:right="0"/>
              <w:rPr>
                <w:rFonts w:ascii="Aptos" w:hAnsi="Aptos"/>
                <w:color w:val="172033"/>
              </w:rPr>
            </w:pPr>
            <w:r>
              <w:rPr>
                <w:rFonts w:ascii="Aptos" w:hAnsi="Aptos"/>
                <w:color w:val="172033"/>
              </w:rPr>
              <w:t>{{facts.alleged_breaches}}</w:t>
            </w:r>
          </w:p>
          <w:p>
            <w:pPr>
              <w:pStyle w:val="Heading3"/>
              <w:spacing w:before="240" w:line="331" w:lineRule="auto"/>
              <w:rPr>
                <w:rFonts w:ascii="Aptos" w:hAnsi="Aptos"/>
                <w:color w:val="172033"/>
                <w:sz w:val="22"/>
                <w:szCs w:val="22"/>
              </w:rPr>
            </w:pPr>
            <w:r>
              <w:rPr>
                <w:rFonts w:ascii="Aptos" w:hAnsi="Aptos"/>
                <w:color w:val="172033"/>
                <w:sz w:val="22"/>
                <w:szCs w:val="22"/>
              </w:rPr>
              <w:t>7.5 Éléments favorables au client</w:t>
            </w:r>
          </w:p>
          <w:p>
            <w:pPr>
              <w:pStyle w:val="TextBody"/>
              <w:spacing w:before="100" w:after="100" w:line="331" w:lineRule="auto"/>
              <w:ind w:left="0" w:right="0"/>
              <w:rPr>
                <w:rFonts w:ascii="Aptos" w:hAnsi="Aptos"/>
                <w:color w:val="172033"/>
              </w:rPr>
            </w:pPr>
            <w:r>
              <w:rPr>
                <w:rFonts w:ascii="Aptos" w:hAnsi="Aptos"/>
                <w:color w:val="172033"/>
              </w:rPr>
              <w:t>{{facts.client_strengths}}</w:t>
            </w:r>
          </w:p>
          <w:p>
            <w:pPr>
              <w:pStyle w:val="Heading3"/>
              <w:spacing w:before="240" w:line="331" w:lineRule="auto"/>
              <w:rPr>
                <w:rFonts w:ascii="Aptos" w:hAnsi="Aptos"/>
                <w:color w:val="172033"/>
                <w:sz w:val="22"/>
                <w:szCs w:val="22"/>
              </w:rPr>
            </w:pPr>
            <w:r>
              <w:rPr>
                <w:rFonts w:ascii="Aptos" w:hAnsi="Aptos"/>
                <w:color w:val="172033"/>
                <w:sz w:val="22"/>
                <w:szCs w:val="22"/>
              </w:rPr>
              <w:t>7.6 Points faibles ou sensibles à anticiper</w:t>
            </w:r>
          </w:p>
          <w:p>
            <w:pPr>
              <w:pStyle w:val="TextBody"/>
              <w:spacing w:before="100" w:after="100" w:line="331" w:lineRule="auto"/>
              <w:ind w:left="0" w:right="0"/>
              <w:rPr>
                <w:rFonts w:ascii="Aptos" w:hAnsi="Aptos"/>
                <w:color w:val="172033"/>
              </w:rPr>
            </w:pPr>
            <w:r>
              <w:rPr>
                <w:rFonts w:ascii="Aptos" w:hAnsi="Aptos"/>
                <w:color w:val="172033"/>
              </w:rPr>
              <w:t>{{facts.sensitive_points}}</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8. Prétentions souhaitées par le client</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5B6475"/>
              </w:rPr>
            </w:pPr>
            <w:r>
              <w:rPr>
                <w:rFonts w:ascii="Aptos" w:hAnsi="Aptos"/>
                <w:color w:val="5B6475"/>
              </w:rPr>
              <w:t>Rubrique conçue pour être directement exploitable par l'avocat au stade de l'arbitrage des demandes.</w:t>
            </w:r>
            <w:r>
              <w:rPr>
                <w:rFonts w:ascii="Aptos" w:hAnsi="Aptos"/>
                <w:color w:val="5B6475"/>
              </w:rPr>
              <w:t xml:space="preserve">
    </w:t>
            </w:r>
            <w:r>
              <w:rPr>
                <w:rFonts w:ascii="Aptos" w:hAnsi="Aptos"/>
                <w:color w:val="5B6475"/>
              </w:rPr>
              <w:t xml:space="preserve">
    </w:t>
            </w:r>
            <w:r>
              <w:rPr>
                <w:rFonts w:ascii="Aptos" w:hAnsi="Aptos"/>
                <w:color w:val="5B6475"/>
              </w:rPr>
              <w:t xml:space="preserve">
    </w:t>
            </w:r>
            <w:r>
              <w:rPr>
                <w:rFonts w:ascii="Aptos" w:hAnsi="Aptos"/>
                <w:color w:val="5B6475"/>
              </w:rPr>
              <w:t xml:space="preserve">
    </w:t>
            </w:r>
            <w:r>
              <w:rPr>
                <w:rFonts w:ascii="Aptos" w:hAnsi="Aptos"/>
                <w:color w:val="5B6475"/>
              </w:rPr>
              <w:t xml:space="preserve">
  </w:t>
            </w:r>
          </w:p>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[[FOR claims]]</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Chef de demande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Ce que le client souhaite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Justification factuelle courte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Niveau de priorité</w:t>
                  </w:r>
                </w:p>
              </w:tc>
            </w:tr>
            <w:tr>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{{claims.title}}</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{{claims.requested_outcome}}</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{{claims.factual_basis}}</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{{claims.priority}}</w:t>
                  </w:r>
                </w:p>
              </w:tc>
            </w:tr>
          </w:tbl>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[[END]]</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9. Chiffrages et postes financiers</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b/>
                <w:color w:val="0F172A"/>
              </w:rPr>
              <w:t>Synthèse financière globale :</w:t>
            </w:r>
            <w:r>
              <w:rPr>
                <w:rFonts w:ascii="Aptos" w:hAnsi="Aptos"/>
                <w:color w:val="172033"/>
              </w:rPr>
              <w:t xml:space="preserve"> {{finance.global_summary}}.</w:t>
            </w:r>
          </w:p>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[[FOR finance_items]]</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Poste</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Période</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Base de calcul</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Montant allégué</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Pièce / source</w:t>
                  </w:r>
                </w:p>
              </w:tc>
            </w:tr>
            <w:tr>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{{finance_items.label}}</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{{finance_items.period}}</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{{finance_items.calculation_basis}}</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{{finance_items.amount}}</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{{finance_items.exhibit_ref}}</w:t>
                  </w:r>
                </w:p>
              </w:tc>
            </w:tr>
          </w:tbl>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[[END]]</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left w:val="single" w:sz="32" w:color="1D4ED8"/>
                  </w:tcBorders>
                  <w:shd w:val="clear" w:fill="EFF6FF"/>
                  <w:tcMar>
                    <w:top w:type="dxa" w:w="160"/>
                    <w:left w:type="dxa" w:w="200"/>
                    <w:start w:type="dxa" w:w="200"/>
                    <w:bottom w:type="dxa" w:w="160"/>
                    <w:right w:type="dxa" w:w="200"/>
                    <w:end w:type="dxa" w:w="20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b/>
                      <w:color w:val="0F172A"/>
                    </w:rPr>
                    <w:t>Note d'intégration :</w:t>
                  </w:r>
                  <w:r>
                    <w:rPr>
                      <w:rFonts w:ascii="Aptos" w:hAnsi="Aptos"/>
                      <w:color w:val="172033"/>
                    </w:rPr>
                    <w:t xml:space="preserve"> si votre application dispose déjà d'un moteur de calcul, conservez ici uniquement la sortie exploitable par le conseil : montant, période, hypothèse retenue, pièce justificative et statut contesté / non contesté.</w:t>
                  </w:r>
                </w:p>
              </w:tc>
            </w:tr>
          </w:tbl>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10. Arguments adverses identifiés et réponse client</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[[FOR opponent_arguments]]</w:t>
            </w:r>
            <w:r>
              <w:rPr>
                <w:rFonts w:ascii="Consolas" w:hAnsi="Consolas"/>
                <w:color w:val="475569"/>
                <w:sz w:val="18"/>
                <w:szCs w:val="18"/>
              </w:rPr>
              <w:t xml:space="preserve">
    </w:t>
            </w:r>
            <w:r>
              <w:rPr>
                <w:rFonts w:ascii="Consolas" w:hAnsi="Consolas"/>
                <w:color w:val="475569"/>
                <w:sz w:val="18"/>
                <w:szCs w:val="18"/>
              </w:rPr>
              <w:t xml:space="preserve">
    </w:t>
            </w:r>
            <w:r>
              <w:rPr>
                <w:rFonts w:ascii="Consolas" w:hAnsi="Consolas"/>
                <w:color w:val="475569"/>
                <w:sz w:val="18"/>
                <w:szCs w:val="18"/>
              </w:rPr>
              <w:t xml:space="preserve">
    </w:t>
            </w:r>
            <w:r>
              <w:rPr>
                <w:rFonts w:ascii="Consolas" w:hAnsi="Consolas"/>
                <w:color w:val="475569"/>
                <w:sz w:val="18"/>
                <w:szCs w:val="18"/>
              </w:rPr>
              <w:t xml:space="preserve">
  </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340"/>
              <w:gridCol w:w="2340"/>
              <w:gridCol w:w="2340"/>
              <w:gridCol w:w="2340"/>
            </w:tblGrid>
            <w:tr>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Argument adverse</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Réponse factuelle du client</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Pièce d'appui</w:t>
                  </w:r>
                </w:p>
              </w:tc>
              <w:tc>
                <w:tcPr>
                  <w:tcW w:type="dxa" w:w="2340"/>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Risque perçu</w:t>
                  </w:r>
                </w:p>
              </w:tc>
            </w:tr>
            <w:tr>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{{opponent_arguments.argument}}</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{{opponent_arguments.client_answer}}</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{{opponent_arguments.exhibit_ref}}</w:t>
                  </w:r>
                </w:p>
              </w:tc>
              <w:tc>
                <w:tcPr>
                  <w:tcW w:type="dxa" w:w="2340"/>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{{opponent_arguments.risk_level}}</w:t>
                  </w:r>
                </w:p>
              </w:tc>
            </w:tr>
          </w:tbl>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[[END]]</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11. Pièces transmises ou à transmettre</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b/>
                <w:color w:val="0F172A"/>
              </w:rPr>
              <w:t>Bordereau synthétique :</w:t>
            </w:r>
          </w:p>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[[FOR exhibits]]</w:t>
            </w:r>
          </w:p>
          <w:tbl>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72"/>
              <w:gridCol w:w="1872"/>
              <w:gridCol w:w="1872"/>
              <w:gridCol w:w="1872"/>
              <w:gridCol w:w="1872"/>
            </w:tblGrid>
            <w:tr>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N°</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Intitulé</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Date</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Utilité probatoire</w:t>
                  </w:r>
                </w:p>
              </w:tc>
              <w:tc>
                <w:tcPr>
                  <w:tcW w:type="dxa" w:w="1872"/>
                  <w:tcBorders>
                    <w:top w:val="single" w:sz="4" w:color="D1D5DB"/>
                    <w:bottom w:val="single" w:sz="4" w:color="D1D5DB"/>
                    <w:left w:val="single" w:sz="4" w:color="D1D5DB"/>
                    <w:right w:val="single" w:sz="4" w:color="D1D5DB"/>
                  </w:tcBorders>
                  <w:shd w:val="clear" w:fill="EEF2F7"/>
                </w:tcPr>
                <w:p>
                  <w:pPr>
                    <w:spacing w:line="331" w:lineRule="auto"/>
                    <w:rPr>
                      <w:rFonts w:ascii="Aptos" w:hAnsi="Aptos"/>
                      <w:b/>
                      <w:color w:val="172033"/>
                      <w:sz w:val="22"/>
                      <w:szCs w:val="22"/>
                    </w:rPr>
                  </w:pPr>
                  <w:r>
                    <w:rPr>
                      <w:rFonts w:ascii="Aptos" w:hAnsi="Aptos"/>
                      <w:b/>
                      <w:color w:val="172033"/>
                      <w:sz w:val="22"/>
                      <w:szCs w:val="22"/>
                    </w:rPr>
                    <w:t>Statut</w:t>
                  </w:r>
                </w:p>
              </w:tc>
            </w:tr>
            <w:tr>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{{exhibits.number}}</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{{exhibits.title}}</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{{exhibits.date}}</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{{exhibits.purpose}}</w:t>
                  </w:r>
                </w:p>
              </w:tc>
              <w:tc>
                <w:tcPr>
                  <w:tcW w:type="dxa" w:w="1872"/>
                  <w:tcBorders>
                    <w:top w:val="single" w:sz="8" w:color="D9E2EC"/>
                    <w:bottom w:val="single" w:sz="8" w:color="D9E2EC"/>
                    <w:left w:val="single" w:sz="8" w:color="D9E2EC"/>
                    <w:right w:val="single" w:sz="8" w:color="D9E2EC"/>
                  </w:tcBorders>
                  <w:tcMar>
                    <w:top w:type="dxa" w:w="140"/>
                    <w:left w:type="dxa" w:w="140"/>
                    <w:start w:type="dxa" w:w="140"/>
                    <w:bottom w:type="dxa" w:w="140"/>
                    <w:right w:type="dxa" w:w="140"/>
                    <w:end w:type="dxa" w:w="140"/>
                  </w:tcMar>
                </w:tcPr>
                <w:p>
                  <w:pPr>
                    <w:spacing w:line="331" w:lineRule="auto"/>
                    <w:rPr>
                      <w:rFonts w:ascii="Aptos" w:hAnsi="Aptos"/>
                      <w:color w:val="172033"/>
                      <w:sz w:val="22"/>
                      <w:szCs w:val="22"/>
                    </w:rPr>
                  </w:pPr>
                  <w:r>
                    <w:rPr>
                      <w:rFonts w:ascii="Aptos" w:hAnsi="Aptos"/>
                      <w:color w:val="172033"/>
                      <w:sz w:val="22"/>
                      <w:szCs w:val="22"/>
                    </w:rPr>
                    <w:t>{{exhibits.status}}</w:t>
                  </w:r>
                </w:p>
              </w:tc>
            </w:tr>
          </w:tbl>
          <w:p>
            <w:pPr>
              <w:pStyle w:val="TextBody"/>
              <w:pBdr>
                <w:top w:val="dashed" w:sz="8" w:color="B8C4D1"/>
                <w:left w:val="dashed" w:sz="8" w:color="B8C4D1"/>
                <w:bottom w:val="dashed" w:sz="8" w:color="B8C4D1"/>
                <w:right w:val="dashed" w:sz="8" w:color="B8C4D1"/>
              </w:pBdr>
              <w:shd w:val="clear" w:fill="F8FAFC" w:color="auto"/>
              <w:spacing w:before="40" w:after="40" w:line="331" w:lineRule="auto"/>
              <w:ind w:left="0" w:right="0"/>
              <w:rPr>
                <w:rFonts w:ascii="Consolas" w:hAnsi="Consolas"/>
                <w:color w:val="475569"/>
                <w:sz w:val="18"/>
                <w:szCs w:val="18"/>
              </w:rPr>
            </w:pPr>
            <w:r>
              <w:rPr>
                <w:rFonts w:ascii="Consolas" w:hAnsi="Consolas"/>
                <w:color w:val="475569"/>
                <w:sz w:val="18"/>
                <w:szCs w:val="18"/>
              </w:rPr>
              <w:t>[[END]]</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12. Points de vigilance et arbitrages demandés</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b/>
                <w:color w:val="0F172A"/>
              </w:rPr>
              <w:t>Urgence signalée :</w:t>
            </w:r>
            <w:r>
              <w:rPr>
                <w:rFonts w:ascii="Aptos" w:hAnsi="Aptos"/>
                <w:color w:val="172033"/>
              </w:rPr>
              <w:t xml:space="preserve"> {{alerts.urgency}}</w:t>
            </w:r>
          </w:p>
          <w:p>
            <w:pPr>
              <w:pStyle w:val="TextBody"/>
              <w:spacing w:before="100" w:after="100" w:line="331" w:lineRule="auto"/>
              <w:ind w:left="0" w:right="0"/>
              <w:rPr>
                <w:rFonts w:ascii="Aptos" w:hAnsi="Aptos"/>
                <w:color w:val="172033"/>
              </w:rPr>
            </w:pPr>
            <w:r>
              <w:rPr>
                <w:rFonts w:ascii="Aptos" w:hAnsi="Aptos"/>
                <w:b/>
                <w:color w:val="0F172A"/>
              </w:rPr>
              <w:t>Échéance critique :</w:t>
            </w:r>
            <w:r>
              <w:rPr>
                <w:rFonts w:ascii="Aptos" w:hAnsi="Aptos"/>
                <w:color w:val="172033"/>
              </w:rPr>
              <w:t xml:space="preserve"> {{alerts.critical_deadline}}</w:t>
            </w:r>
          </w:p>
          <w:p>
            <w:pPr>
              <w:pStyle w:val="TextBody"/>
              <w:spacing w:before="100" w:after="100" w:line="331" w:lineRule="auto"/>
              <w:ind w:left="0" w:right="0"/>
              <w:rPr>
                <w:rFonts w:ascii="Aptos" w:hAnsi="Aptos"/>
                <w:color w:val="172033"/>
              </w:rPr>
            </w:pPr>
            <w:r>
              <w:rPr>
                <w:rFonts w:ascii="Aptos" w:hAnsi="Aptos"/>
                <w:b/>
                <w:color w:val="0F172A"/>
              </w:rPr>
              <w:t>Demande nécessitant validation expresse du conseil :</w:t>
            </w:r>
            <w:r>
              <w:rPr>
                <w:rFonts w:ascii="Aptos" w:hAnsi="Aptos"/>
                <w:color w:val="172033"/>
              </w:rPr>
              <w:t xml:space="preserve"> {{alerts.requires_counsel_validation}}</w:t>
            </w:r>
          </w:p>
          <w:p>
            <w:pPr>
              <w:pStyle w:val="TextBody"/>
              <w:spacing w:before="100" w:after="100" w:line="331" w:lineRule="auto"/>
              <w:ind w:left="0" w:right="0"/>
              <w:rPr>
                <w:rFonts w:ascii="Aptos" w:hAnsi="Aptos"/>
                <w:color w:val="172033"/>
              </w:rPr>
            </w:pPr>
            <w:r>
              <w:rPr>
                <w:rFonts w:ascii="Aptos" w:hAnsi="Aptos"/>
                <w:b/>
                <w:color w:val="0F172A"/>
              </w:rPr>
              <w:t>Point négociable :</w:t>
            </w:r>
            <w:r>
              <w:rPr>
                <w:rFonts w:ascii="Aptos" w:hAnsi="Aptos"/>
                <w:color w:val="172033"/>
              </w:rPr>
              <w:t xml:space="preserve"> {{strategy.negotiable_point}}</w:t>
            </w:r>
          </w:p>
          <w:p>
            <w:pPr>
              <w:pStyle w:val="TextBody"/>
              <w:spacing w:before="100" w:after="100" w:line="331" w:lineRule="auto"/>
              <w:ind w:left="0" w:right="0"/>
              <w:rPr>
                <w:rFonts w:ascii="Aptos" w:hAnsi="Aptos"/>
                <w:color w:val="172033"/>
              </w:rPr>
            </w:pPr>
            <w:r>
              <w:rPr>
                <w:rFonts w:ascii="Aptos" w:hAnsi="Aptos"/>
                <w:b/>
                <w:color w:val="0F172A"/>
              </w:rPr>
              <w:t>Point non négociable :</w:t>
            </w:r>
            <w:r>
              <w:rPr>
                <w:rFonts w:ascii="Aptos" w:hAnsi="Aptos"/>
                <w:color w:val="172033"/>
              </w:rPr>
              <w:t xml:space="preserve"> {{strategy.non_negotiable_point}}</w:t>
            </w:r>
          </w:p>
          <w:p>
            <w:pPr>
              <w:pStyle w:val="TextBody"/>
              <w:spacing w:before="100" w:after="100" w:line="331" w:lineRule="auto"/>
              <w:ind w:left="0" w:right="0"/>
              <w:rPr>
                <w:rFonts w:ascii="Aptos" w:hAnsi="Aptos"/>
                <w:color w:val="172033"/>
              </w:rPr>
            </w:pPr>
            <w:r>
              <w:rPr>
                <w:rFonts w:ascii="Aptos" w:hAnsi="Aptos"/>
                <w:b/>
                <w:color w:val="0F172A"/>
              </w:rPr>
              <w:t>Instruction libre :</w:t>
            </w:r>
            <w:r>
              <w:rPr>
                <w:rFonts w:ascii="Aptos" w:hAnsi="Aptos"/>
                <w:color w:val="172033"/>
              </w:rPr>
              <w:t xml:space="preserve"> {{strategy.free_instruction_1}}</w:t>
            </w:r>
          </w:p>
          <w:p>
            <w:pPr>
              <w:pStyle w:val="TextBody"/>
              <w:spacing w:before="100" w:after="100" w:line="331" w:lineRule="auto"/>
              <w:ind w:left="0" w:right="0"/>
              <w:rPr>
                <w:rFonts w:ascii="Aptos" w:hAnsi="Aptos"/>
                <w:color w:val="172033"/>
              </w:rPr>
            </w:pPr>
            <w:r>
              <w:rPr>
                <w:rFonts w:ascii="Aptos" w:hAnsi="Aptos"/>
                <w:b/>
                <w:color w:val="0F172A"/>
              </w:rPr>
              <w:t>Instruction libre :</w:t>
            </w:r>
            <w:r>
              <w:rPr>
                <w:rFonts w:ascii="Aptos" w:hAnsi="Aptos"/>
                <w:color w:val="172033"/>
              </w:rPr>
              <w:t xml:space="preserve"> {{strategy.free_instruction_2}}</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13. Formule de transmission au conseil</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rPr>
            </w:pPr>
            <w:r>
              <w:rPr>
                <w:rFonts w:ascii="Aptos" w:hAnsi="Aptos"/>
                <w:color w:val="172033"/>
              </w:rPr>
              <w:t>Maître,</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r>
              <w:rPr>
                <w:rFonts w:ascii="Aptos" w:hAnsi="Aptos"/>
                <w:color w:val="172033"/>
              </w:rPr>
              <w:t xml:space="preserve">
  </w:t>
            </w:r>
          </w:p>
          <w:p>
            <w:pPr>
              <w:pStyle w:val="TextBody"/>
              <w:spacing w:before="100" w:after="100" w:line="331" w:lineRule="auto"/>
              <w:ind w:left="0" w:right="0"/>
              <w:rPr>
                <w:rFonts w:ascii="Aptos" w:hAnsi="Aptos"/>
                <w:color w:val="172033"/>
              </w:rPr>
            </w:pPr>
            <w:r>
              <w:rPr>
                <w:rFonts w:ascii="Aptos" w:hAnsi="Aptos"/>
                <w:color w:val="172033"/>
              </w:rPr>
              <w:t>Je vous transmets le présent projet préparatoire afin de vous exposer, sous toutes réserves de vérification et de qualification juridique, les éléments de fait, pièces, demandes et priorités que je souhaite voir examinés dans mon dossier.</w:t>
            </w:r>
          </w:p>
          <w:p>
            <w:pPr>
              <w:pStyle w:val="TextBody"/>
              <w:spacing w:before="100" w:after="100" w:line="331" w:lineRule="auto"/>
              <w:ind w:left="0" w:right="0"/>
              <w:rPr>
                <w:rFonts w:ascii="Aptos" w:hAnsi="Aptos"/>
                <w:color w:val="172033"/>
              </w:rPr>
            </w:pPr>
            <w:r>
              <w:rPr>
                <w:rFonts w:ascii="Aptos" w:hAnsi="Aptos"/>
                <w:color w:val="172033"/>
              </w:rPr>
              <w:t>Je vous remercie de bien vouloir apprécier l'opportunité des demandes envisagées, d'en ajuster la formulation, le fondement, l'étendue et le chiffrage, et de retenir la stratégie procédurale que vous estimerez conforme à mes intérêts.</w:t>
            </w:r>
          </w:p>
          <w:p>
            <w:pPr>
              <w:pStyle w:val="TextBody"/>
              <w:spacing w:before="100" w:after="100" w:line="331" w:lineRule="auto"/>
              <w:ind w:left="0" w:right="0"/>
              <w:rPr>
                <w:rFonts w:ascii="Aptos" w:hAnsi="Aptos"/>
                <w:color w:val="172033"/>
              </w:rPr>
            </w:pPr>
            <w:r>
              <w:rPr>
                <w:rFonts w:ascii="Aptos" w:hAnsi="Aptos"/>
                <w:color w:val="172033"/>
              </w:rPr>
              <w:t>Les priorités que je souhaite porter à votre attention sont les suivantes : {{transmission.priority_message}}.</w:t>
            </w:r>
          </w:p>
          <w:p>
            <w:pPr>
              <w:pStyle w:val="TextBody"/>
              <w:spacing w:before="100" w:after="100" w:line="331" w:lineRule="auto"/>
              <w:ind w:left="0" w:right="0"/>
              <w:rPr>
                <w:rFonts w:ascii="Aptos" w:hAnsi="Aptos"/>
                <w:color w:val="172033"/>
              </w:rPr>
            </w:pPr>
            <w:r>
              <w:rPr>
                <w:rFonts w:ascii="Aptos" w:hAnsi="Aptos"/>
                <w:color w:val="172033"/>
              </w:rPr>
              <w:t>Fait pour transmission au conseil le {{transmission.date}}, par {{client.full_name}}.</w:t>
            </w:r>
          </w:p>
          <w:p>
            <w:pPr>
              <w:pStyle w:val="TextBody"/>
              <w:spacing w:before="100" w:after="100" w:line="331" w:lineRule="auto"/>
              <w:ind w:left="0" w:right="0"/>
              <w:rPr>
                <w:rFonts w:ascii="Aptos" w:hAnsi="Aptos"/>
                <w:color w:val="172033"/>
              </w:rPr>
            </w:pPr>
            <w:r>
              <w:rPr>
                <w:rFonts w:ascii="Aptos" w:hAnsi="Aptos"/>
                <w:color w:val="172033"/>
              </w:rPr>
              <w:t>Validation / signature : {{transmission.signature}}</w:t>
            </w:r>
          </w:p>
        </w:tc>
      </w:tr>
    </w:tbl>
    <w:p xmlns:w="http://schemas.openxmlformats.org/wordprocessingml/2006/main">
      <w:pPr>
        <w:pStyle w:val="Heading2"/>
        <w:pBdr>
          <w:bottom w:val="single" w:sz="11" w:color="CFD8E3"/>
        </w:pBdr>
        <w:spacing w:before="360" w:line="331" w:lineRule="auto"/>
        <w:rPr>
          <w:rFonts w:ascii="Aptos" w:hAnsi="Aptos"/>
          <w:color w:val="172033"/>
          <w:sz w:val="25"/>
          <w:szCs w:val="25"/>
        </w:rPr>
      </w:pPr>
      <w:r>
        <w:rPr>
          <w:rFonts w:ascii="Aptos" w:hAnsi="Aptos"/>
          <w:color w:val="172033"/>
          <w:sz w:val="25"/>
          <w:szCs w:val="25"/>
        </w:rPr>
        <w:t>14. Bloc technique d'intégration</w:t>
      </w:r>
    </w:p>
    <w:tbl xmlns:w="http://schemas.openxmlformats.org/wordprocessingml/2006/main">
      <w:tblPr>
        <w:tblW w:w="9360" w:type="dxa"/>
        <w:tblLayout w:type="fixe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9360"/>
      </w:tblGrid>
      <w:tr>
        <w:tc>
          <w:tcPr>
            <w:tcW w:type="dxa" w:w="9360"/>
            <w:tcBorders>
              <w:top w:val="single" w:sz="8" w:color="D9E2EC"/>
              <w:bottom w:val="single" w:sz="8" w:color="D9E2EC"/>
              <w:left w:val="single" w:sz="8" w:color="D9E2EC"/>
              <w:right w:val="single" w:sz="8" w:color="D9E2EC"/>
            </w:tcBorders>
            <w:shd w:val="clear" w:fill="FBFDFF"/>
            <w:tcMar>
              <w:top w:type="dxa" w:w="200"/>
              <w:left w:type="dxa" w:w="240"/>
              <w:start w:type="dxa" w:w="240"/>
              <w:bottom w:type="dxa" w:w="200"/>
              <w:right w:type="dxa" w:w="240"/>
              <w:end w:type="dxa" w:w="240"/>
            </w:tcMar>
            <w:vAlign w:val="top"/>
          </w:tcPr>
          <w:p>
            <w:pPr>
              <w:pStyle w:val="TextBody"/>
              <w:spacing w:before="100" w:after="100" w:line="331" w:lineRule="auto"/>
              <w:ind w:left="0" w:right="0"/>
              <w:rPr>
                <w:rFonts w:ascii="Aptos" w:hAnsi="Aptos"/>
                <w:color w:val="172033"/>
                <w:sz w:val="19"/>
                <w:szCs w:val="19"/>
              </w:rPr>
            </w:pPr>
            <w:r>
              <w:rPr>
                <w:rFonts w:ascii="Aptos" w:hAnsi="Aptos"/>
                <w:color w:val="172033"/>
                <w:sz w:val="19"/>
                <w:szCs w:val="19"/>
              </w:rPr>
              <w:t xml:space="preserve">
    </w:t>
            </w:r>
            <w:r>
              <w:rPr>
                <w:rFonts w:ascii="Aptos" w:hAnsi="Aptos"/>
                <w:color w:val="172033"/>
                <w:sz w:val="19"/>
                <w:szCs w:val="19"/>
              </w:rPr>
              <w:t xml:space="preserve">
    </w:t>
            </w:r>
            <w:r>
              <w:rPr>
                <w:rFonts w:ascii="Aptos" w:hAnsi="Aptos"/>
                <w:color w:val="172033"/>
                <w:sz w:val="19"/>
                <w:szCs w:val="19"/>
              </w:rPr>
              <w:t xml:space="preserve">
    </w:t>
            </w:r>
            <w:r>
              <w:rPr>
                <w:rFonts w:ascii="Aptos" w:hAnsi="Aptos"/>
                <w:color w:val="172033"/>
                <w:sz w:val="19"/>
                <w:szCs w:val="19"/>
              </w:rPr>
              <w:t xml:space="preserve">
  </w:t>
            </w:r>
            <w:r>
              <w:rPr>
                <w:rFonts w:ascii="Aptos" w:hAnsi="Aptos"/>
                <w:b/>
                <w:color w:val="0F172A"/>
                <w:sz w:val="19"/>
                <w:szCs w:val="19"/>
              </w:rPr>
              <w:t>Champs simples principaux :</w:t>
            </w:r>
            <w:r>
              <w:rPr>
                <w:rFonts w:ascii="Aptos" w:hAnsi="Aptos"/>
                <w:color w:val="172033"/>
                <w:sz w:val="19"/>
                <w:szCs w:val="19"/>
              </w:rPr>
              <w:t xml:space="preserve"> {{client.full_name}}, {{opponent.full_name}}, {{procedure.rg_number}}, {{procedure.portalis_number}}, {{matter.expected_act_type}}, {{matter.primary_goal}}, {{alerts.critical_deadline}}.</w:t>
            </w:r>
          </w:p>
          <w:p>
            <w:pPr>
              <w:pStyle w:val="TextBody"/>
              <w:spacing w:before="100" w:after="100" w:line="331" w:lineRule="auto"/>
              <w:ind w:left="0" w:right="0"/>
              <w:rPr>
                <w:rFonts w:ascii="Aptos" w:hAnsi="Aptos"/>
                <w:color w:val="172033"/>
                <w:sz w:val="19"/>
                <w:szCs w:val="19"/>
              </w:rPr>
            </w:pPr>
            <w:r>
              <w:rPr>
                <w:rFonts w:ascii="Aptos" w:hAnsi="Aptos"/>
                <w:b/>
                <w:color w:val="0F172A"/>
                <w:sz w:val="19"/>
                <w:szCs w:val="19"/>
              </w:rPr>
              <w:t>Collections recommandées :</w:t>
            </w:r>
            <w:r>
              <w:rPr>
                <w:rFonts w:ascii="Aptos" w:hAnsi="Aptos"/>
                <w:color w:val="172033"/>
                <w:sz w:val="19"/>
                <w:szCs w:val="19"/>
              </w:rPr>
              <w:t xml:space="preserve"> </w:t>
            </w:r>
            <w:r>
              <w:rPr>
                <w:rFonts w:ascii="Consolas" w:hAnsi="Consolas"/>
                <w:color w:val="0B3B8C"/>
                <w:sz w:val="19"/>
                <w:szCs w:val="19"/>
                <w:shd w:val="clear" w:color="auto" w:fill="EEF4FF"/>
              </w:rPr>
              <w:t>children[]</w:t>
            </w:r>
            <w:r>
              <w:rPr>
                <w:rFonts w:ascii="Aptos" w:hAnsi="Aptos"/>
                <w:color w:val="172033"/>
                <w:sz w:val="19"/>
                <w:szCs w:val="19"/>
              </w:rPr>
              <w:t xml:space="preserve">, </w:t>
            </w:r>
            <w:r>
              <w:rPr>
                <w:rFonts w:ascii="Consolas" w:hAnsi="Consolas"/>
                <w:color w:val="0B3B8C"/>
                <w:sz w:val="19"/>
                <w:szCs w:val="19"/>
                <w:shd w:val="clear" w:color="auto" w:fill="EEF4FF"/>
              </w:rPr>
              <w:t>prior_decisions[]</w:t>
            </w:r>
            <w:r>
              <w:rPr>
                <w:rFonts w:ascii="Aptos" w:hAnsi="Aptos"/>
                <w:color w:val="172033"/>
                <w:sz w:val="19"/>
                <w:szCs w:val="19"/>
              </w:rPr>
              <w:t xml:space="preserve">, </w:t>
            </w:r>
            <w:r>
              <w:rPr>
                <w:rFonts w:ascii="Consolas" w:hAnsi="Consolas"/>
                <w:color w:val="0B3B8C"/>
                <w:sz w:val="19"/>
                <w:szCs w:val="19"/>
                <w:shd w:val="clear" w:color="auto" w:fill="EEF4FF"/>
              </w:rPr>
              <w:t>chronology[]</w:t>
            </w:r>
            <w:r>
              <w:rPr>
                <w:rFonts w:ascii="Aptos" w:hAnsi="Aptos"/>
                <w:color w:val="172033"/>
                <w:sz w:val="19"/>
                <w:szCs w:val="19"/>
              </w:rPr>
              <w:t xml:space="preserve">, </w:t>
            </w:r>
            <w:r>
              <w:rPr>
                <w:rFonts w:ascii="Consolas" w:hAnsi="Consolas"/>
                <w:color w:val="0B3B8C"/>
                <w:sz w:val="19"/>
                <w:szCs w:val="19"/>
                <w:shd w:val="clear" w:color="auto" w:fill="EEF4FF"/>
              </w:rPr>
              <w:t>claims[]</w:t>
            </w:r>
            <w:r>
              <w:rPr>
                <w:rFonts w:ascii="Aptos" w:hAnsi="Aptos"/>
                <w:color w:val="172033"/>
                <w:sz w:val="19"/>
                <w:szCs w:val="19"/>
              </w:rPr>
              <w:t xml:space="preserve">, </w:t>
            </w:r>
            <w:r>
              <w:rPr>
                <w:rFonts w:ascii="Consolas" w:hAnsi="Consolas"/>
                <w:color w:val="0B3B8C"/>
                <w:sz w:val="19"/>
                <w:szCs w:val="19"/>
                <w:shd w:val="clear" w:color="auto" w:fill="EEF4FF"/>
              </w:rPr>
              <w:t>finance_items[]</w:t>
            </w:r>
            <w:r>
              <w:rPr>
                <w:rFonts w:ascii="Aptos" w:hAnsi="Aptos"/>
                <w:color w:val="172033"/>
                <w:sz w:val="19"/>
                <w:szCs w:val="19"/>
              </w:rPr>
              <w:t xml:space="preserve">, </w:t>
            </w:r>
            <w:r>
              <w:rPr>
                <w:rFonts w:ascii="Consolas" w:hAnsi="Consolas"/>
                <w:color w:val="0B3B8C"/>
                <w:sz w:val="19"/>
                <w:szCs w:val="19"/>
                <w:shd w:val="clear" w:color="auto" w:fill="EEF4FF"/>
              </w:rPr>
              <w:t>opponent_arguments[]</w:t>
            </w:r>
            <w:r>
              <w:rPr>
                <w:rFonts w:ascii="Aptos" w:hAnsi="Aptos"/>
                <w:color w:val="172033"/>
                <w:sz w:val="19"/>
                <w:szCs w:val="19"/>
              </w:rPr>
              <w:t xml:space="preserve">, </w:t>
            </w:r>
            <w:r>
              <w:rPr>
                <w:rFonts w:ascii="Consolas" w:hAnsi="Consolas"/>
                <w:color w:val="0B3B8C"/>
                <w:sz w:val="19"/>
                <w:szCs w:val="19"/>
                <w:shd w:val="clear" w:color="auto" w:fill="EEF4FF"/>
              </w:rPr>
              <w:t>exhibits[]</w:t>
            </w:r>
            <w:r>
              <w:rPr>
                <w:rFonts w:ascii="Aptos" w:hAnsi="Aptos"/>
                <w:color w:val="172033"/>
                <w:sz w:val="19"/>
                <w:szCs w:val="19"/>
              </w:rPr>
              <w:t>.</w:t>
            </w:r>
          </w:p>
          <w:p>
            <w:pPr>
              <w:pStyle w:val="TextBody"/>
              <w:spacing w:before="100" w:after="100" w:line="331" w:lineRule="auto"/>
              <w:ind w:left="0" w:right="0"/>
              <w:rPr>
                <w:rFonts w:ascii="Aptos" w:hAnsi="Aptos"/>
                <w:color w:val="172033"/>
                <w:sz w:val="19"/>
                <w:szCs w:val="19"/>
              </w:rPr>
            </w:pPr>
            <w:r>
              <w:rPr>
                <w:rFonts w:ascii="Aptos" w:hAnsi="Aptos"/>
                <w:b/>
                <w:color w:val="0F172A"/>
                <w:sz w:val="19"/>
                <w:szCs w:val="19"/>
              </w:rPr>
              <w:t>Recommandation de conception :</w:t>
            </w:r>
            <w:r>
              <w:rPr>
                <w:rFonts w:ascii="Aptos" w:hAnsi="Aptos"/>
                <w:color w:val="172033"/>
                <w:sz w:val="19"/>
                <w:szCs w:val="19"/>
              </w:rPr>
              <w:t xml:space="preserve"> mieux vaut injecter des collections déjà normalisées par votre application que multiplier les variables fixes de type </w:t>
            </w:r>
            <w:r>
              <w:rPr>
                <w:rFonts w:ascii="Consolas" w:hAnsi="Consolas"/>
                <w:color w:val="0B3B8C"/>
                <w:sz w:val="19"/>
                <w:szCs w:val="19"/>
                <w:shd w:val="clear" w:color="auto" w:fill="EEF4FF"/>
              </w:rPr>
              <w:t>item_1</w:t>
            </w:r>
            <w:r>
              <w:rPr>
                <w:rFonts w:ascii="Aptos" w:hAnsi="Aptos"/>
                <w:color w:val="172033"/>
                <w:sz w:val="19"/>
                <w:szCs w:val="19"/>
              </w:rPr>
              <w:t xml:space="preserve">, </w:t>
            </w:r>
            <w:r>
              <w:rPr>
                <w:rFonts w:ascii="Consolas" w:hAnsi="Consolas"/>
                <w:color w:val="0B3B8C"/>
                <w:sz w:val="19"/>
                <w:szCs w:val="19"/>
                <w:shd w:val="clear" w:color="auto" w:fill="EEF4FF"/>
              </w:rPr>
              <w:t>item_2</w:t>
            </w:r>
            <w:r>
              <w:rPr>
                <w:rFonts w:ascii="Aptos" w:hAnsi="Aptos"/>
                <w:color w:val="172033"/>
                <w:sz w:val="19"/>
                <w:szCs w:val="19"/>
              </w:rPr>
              <w:t xml:space="preserve">, </w:t>
            </w:r>
            <w:r>
              <w:rPr>
                <w:rFonts w:ascii="Consolas" w:hAnsi="Consolas"/>
                <w:color w:val="0B3B8C"/>
                <w:sz w:val="19"/>
                <w:szCs w:val="19"/>
                <w:shd w:val="clear" w:color="auto" w:fill="EEF4FF"/>
              </w:rPr>
              <w:t>item_3</w:t>
            </w:r>
            <w:r>
              <w:rPr>
                <w:rFonts w:ascii="Aptos" w:hAnsi="Aptos"/>
                <w:color w:val="172033"/>
                <w:sz w:val="19"/>
                <w:szCs w:val="19"/>
              </w:rPr>
              <w:t>.</w:t>
            </w:r>
          </w:p>
        </w:tc>
      </w:tr>
    </w:tbl>
    <w:p xmlns:w="http://schemas.openxmlformats.org/wordprocessingml/2006/main">
      <w:pPr>
        <w:pStyle w:val="TextBody"/>
        <w:spacing w:before="320" w:after="100" w:line="331" w:lineRule="auto"/>
        <w:ind w:left="0" w:right="0"/>
        <w:rPr>
          <w:rFonts w:ascii="Aptos" w:hAnsi="Aptos"/>
          <w:color w:val="5B6475"/>
          <w:sz w:val="18"/>
          <w:szCs w:val="18"/>
        </w:rPr>
      </w:pPr>
      <w:r>
        <w:rPr>
          <w:rFonts w:ascii="Aptos" w:hAnsi="Aptos"/>
          <w:color w:val="5B6475"/>
          <w:sz w:val="18"/>
          <w:szCs w:val="18"/>
        </w:rPr>
        <w:t>V2 conçue pour intégration directe dans un flux applicatif existant : structure modulaire, nomenclature stable, blocs répétables, formulation orientée transmission avocat/client.</w:t>
      </w:r>
    </w:p>
    <w:sectPr>
      <w:headerReference w:type="default" r:id="rIdHeader1"/>
      <w:footerReference w:type="default" r:id="rIdFooter1"/>
      <w:pgSz w:w="11906" w:h="16838"/>
      <w:pgMar w:header="720" w:footer="720" w:gutter="0" w:top="1020" w:right="907" w:bottom="1020" w:left="907"/>
    </w:sectPr>
  </w:body>
</w:document>
</file>

<file path=word/comments.xml><?xml version="1.0" encoding="utf-8"?>
<w:comments xmlns:w="http://schemas.openxmlformats.org/wordprocessingml/2006/main"/>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
    <w:lvl w:ilvl="0">
      <w:start w:val="1"/>
      <w:numFmt w:val="decimal"/>
      <w:suff w:val="tab"/>
      <w:lvlText w:val="%1."/>
      <w:lvlJc w:val="left"/>
      <w:pPr>
        <w:tabs>
          <w:tab w:val="num" w:pos="720"/>
        </w:tabs>
        <w:ind w:left="720" w:hanging="360"/>
      </w:pPr>
    </w:lvl>
    <w:lvl w:ilvl="1">
      <w:start w:val="1"/>
      <w:numFmt w:val="upperLetter"/>
      <w:suff w:val="tab"/>
      <w:lvlText w:val="%2."/>
      <w:lvlJc w:val="left"/>
      <w:pPr>
        <w:tabs>
          <w:tab w:val="num" w:pos="1440"/>
        </w:tabs>
        <w:ind w:left="1440" w:hanging="360"/>
      </w:pPr>
    </w:lvl>
    <w:lvl w:ilvl="2">
      <w:start w:val="1"/>
      <w:numFmt w:val="lowerRoman"/>
      <w:suff w:val="tab"/>
      <w:lvlText w:val="%3."/>
      <w:lvlJc w:val="left"/>
      <w:pPr>
        <w:tabs>
          <w:tab w:val="num" w:pos="2160"/>
        </w:tabs>
        <w:ind w:left="2160" w:hanging="360"/>
      </w:pPr>
    </w:lvl>
    <w:lvl w:ilvl="3">
      <w:start w:val="1"/>
      <w:numFmt w:val="decimal"/>
      <w:suff w:val="tab"/>
      <w:lvlText w:val="%4."/>
      <w:lvlJc w:val="left"/>
      <w:pPr>
        <w:tabs>
          <w:tab w:val="num" w:pos="2880"/>
        </w:tabs>
        <w:ind w:left="2880" w:hanging="360"/>
      </w:pPr>
    </w:lvl>
    <w:lvl w:ilvl="4">
      <w:start w:val="1"/>
      <w:numFmt w:val="upperLetter"/>
      <w:suff w:val="tab"/>
      <w:lvlText w:val="%5."/>
      <w:lvlJc w:val="left"/>
      <w:pPr>
        <w:tabs>
          <w:tab w:val="num" w:pos="3600"/>
        </w:tabs>
        <w:ind w:left="3600" w:hanging="360"/>
      </w:pPr>
    </w:lvl>
    <w:lvl w:ilvl="5">
      <w:start w:val="1"/>
      <w:numFmt w:val="lowerRoman"/>
      <w:suff w:val="tab"/>
      <w:lvlText w:val="%6."/>
      <w:lvlJc w:val="left"/>
      <w:pPr>
        <w:tabs>
          <w:tab w:val="num" w:pos="4320"/>
        </w:tabs>
        <w:ind w:left="4320" w:hanging="360"/>
      </w:pPr>
    </w:lvl>
    <w:lvl w:ilvl="6">
      <w:start w:val="1"/>
      <w:numFmt w:val="decimal"/>
      <w:suff w:val="tab"/>
      <w:lvlText w:val="%7."/>
      <w:lvlJc w:val="left"/>
      <w:pPr>
        <w:tabs>
          <w:tab w:val="num" w:pos="5040"/>
        </w:tabs>
        <w:ind w:left="5040" w:hanging="360"/>
      </w:pPr>
    </w:lvl>
    <w:lvl w:ilvl="7">
      <w:start w:val="1"/>
      <w:numFmt w:val="upperLetter"/>
      <w:suff w:val="tab"/>
      <w:lvlText w:val="%8."/>
      <w:lvlJc w:val="left"/>
      <w:pPr>
        <w:tabs>
          <w:tab w:val="num" w:pos="5760"/>
        </w:tabs>
        <w:ind w:left="5760" w:hanging="360"/>
      </w:pPr>
    </w:lvl>
    <w:lvl w:ilvl="8">
      <w:start w:val="1"/>
      <w:numFmt w:val="lowerRoman"/>
      <w:suff w:val="tab"/>
      <w:lvlText w:val="%9."/>
      <w:lvlJc w:val="left"/>
      <w:pPr>
        <w:tabs>
          <w:tab w:val="num" w:pos="6480"/>
        </w:tabs>
        <w:ind w:left="6480" w:hanging="360"/>
      </w:pPr>
    </w:lvl>
  </w:abstractNum>
  <w:abstractNum w:abstractNumId="2">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
      <w:lvlJc w:val="left"/>
      <w:pPr>
        <w:tabs>
          <w:tab w:val="num" w:pos="1440"/>
        </w:tabs>
        <w:ind w:left="1440" w:hanging="360"/>
      </w:pPr>
      <w:rPr>
        <w:rFonts w:ascii="Symbol" w:hAnsi="Symbol" w:cs="Symbol" w:hint="default"/>
      </w:rPr>
    </w:lvl>
    <w:lvl w:ilvl="2">
      <w:start w:val="1"/>
      <w:numFmt w:val="bullet"/>
      <w:suff w:val="tab"/>
      <w:lvlText w:val=""/>
      <w:lvlJc w:val="left"/>
      <w:pPr>
        <w:tabs>
          <w:tab w:val="num" w:pos="2160"/>
        </w:tabs>
        <w:ind w:left="2160" w:hanging="360"/>
      </w:pPr>
      <w:rPr>
        <w:rFonts w:ascii="Symbol" w:hAnsi="Symbol" w:cs="Symbol"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
      <w:lvlJc w:val="left"/>
      <w:pPr>
        <w:tabs>
          <w:tab w:val="num" w:pos="3600"/>
        </w:tabs>
        <w:ind w:left="3600" w:hanging="360"/>
      </w:pPr>
      <w:rPr>
        <w:rFonts w:ascii="Symbol" w:hAnsi="Symbol" w:cs="Symbol" w:hint="default"/>
      </w:rPr>
    </w:lvl>
    <w:lvl w:ilvl="5">
      <w:start w:val="1"/>
      <w:numFmt w:val="bullet"/>
      <w:suff w:val="tab"/>
      <w:lvlText w:val=""/>
      <w:lvlJc w:val="left"/>
      <w:pPr>
        <w:tabs>
          <w:tab w:val="num" w:pos="4320"/>
        </w:tabs>
        <w:ind w:left="4320" w:hanging="360"/>
      </w:pPr>
      <w:rPr>
        <w:rFonts w:ascii="Symbol" w:hAnsi="Symbol" w:cs="Symbol"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
      <w:lvlJc w:val="left"/>
      <w:pPr>
        <w:tabs>
          <w:tab w:val="num" w:pos="5760"/>
        </w:tabs>
        <w:ind w:left="5760" w:hanging="360"/>
      </w:pPr>
      <w:rPr>
        <w:rFonts w:ascii="Symbol" w:hAnsi="Symbol" w:cs="Symbol" w:hint="default"/>
      </w:rPr>
    </w:lvl>
    <w:lvl w:ilvl="8">
      <w:start w:val="1"/>
      <w:numFmt w:val="bullet"/>
      <w:suff w:val="tab"/>
      <w:lvlText w:val=""/>
      <w:lvlJc w:val="left"/>
      <w:pPr>
        <w:tabs>
          <w:tab w:val="num" w:pos="6480"/>
        </w:tabs>
        <w:ind w:left="6480" w:hanging="360"/>
      </w:pPr>
      <w:rPr>
        <w:rFonts w:ascii="Symbol" w:hAnsi="Symbol" w:cs="Symbol" w:hint="default"/>
      </w:r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cs="Calibri"/>
        <w:sz w:val="22"/>
        <w:szCs w:val="22"/>
      </w:rPr>
    </w:rPrDefault>
    <w:pPrDefault>
      <w:pPr>
        <w:spacing w:line="276" w:lineRule="auto" w:after="160"/>
      </w:pPr>
    </w:pPrDefault>
  </w:docDefaults>
  <w:style w:type="paragraph" w:default="1" w:styleId="Normal">
    <w:name w:val="Normal"/>
    <w:pPr>
      <w:spacing w:line="276" w:lineRule="auto" w:after="160" w:before="0"/>
    </w:pPr>
    <w:rPr>
      <w:rFonts w:ascii="Calibri" w:hAnsi="Calibri"/>
      <w:color w:val="111827"/>
      <w:sz w:val="22"/>
      <w:szCs w:val="22"/>
    </w:rPr>
  </w:style>
  <w:style w:type="paragraph" w:styleId="TextBody">
    <w:name w:val="Text Body"/>
    <w:basedOn w:val="Normal"/>
    <w:next w:val="TextBody"/>
    <w:pPr>
      <w:spacing w:line="276" w:lineRule="auto" w:after="160" w:before="0"/>
    </w:pPr>
    <w:rPr>
      <w:rFonts w:ascii="Calibri" w:hAnsi="Calibri"/>
      <w:color w:val="111827"/>
      <w:sz w:val="22"/>
      <w:szCs w:val="22"/>
    </w:rPr>
  </w:style>
  <w:style w:type="paragraph" w:styleId="Heading1">
    <w:name w:val="Heading 1"/>
    <w:basedOn w:val="Normal"/>
    <w:next w:val="TextBody"/>
    <w:pPr>
      <w:spacing w:before="160" w:after="120" w:line="288" w:lineRule="auto"/>
      <w:outlineLvl w:val="0"/>
    </w:pPr>
    <w:rPr>
      <w:rFonts w:ascii="Calibri" w:hAnsi="Calibri"/>
      <w:b/>
      <w:color w:val="111827"/>
      <w:sz w:val="48"/>
      <w:szCs w:val="48"/>
    </w:rPr>
  </w:style>
  <w:style w:type="paragraph" w:styleId="Heading2">
    <w:name w:val="Heading 2"/>
    <w:basedOn w:val="Normal"/>
    <w:next w:val="TextBody"/>
    <w:pPr>
      <w:spacing w:before="160" w:after="80" w:line="288" w:lineRule="auto"/>
      <w:outlineLvl w:val="1"/>
    </w:pPr>
    <w:rPr>
      <w:rFonts w:ascii="Calibri" w:hAnsi="Calibri"/>
      <w:b/>
      <w:color w:val="111827"/>
      <w:sz w:val="36"/>
      <w:szCs w:val="36"/>
    </w:rPr>
  </w:style>
  <w:style w:type="paragraph" w:styleId="Heading3">
    <w:name w:val="Heading 3"/>
    <w:basedOn w:val="Normal"/>
    <w:next w:val="TextBody"/>
    <w:pPr>
      <w:spacing w:before="120" w:after="60" w:line="288" w:lineRule="auto"/>
      <w:outlineLvl w:val="2"/>
    </w:pPr>
    <w:rPr>
      <w:rFonts w:ascii="Calibri" w:hAnsi="Calibri"/>
      <w:b/>
      <w:color w:val="111827"/>
      <w:sz w:val="28"/>
      <w:szCs w:val="28"/>
    </w:rPr>
  </w:style>
  <w:style w:type="table" w:styleId="TableGrid">
    <w:name w:val="Table Grid"/>
    <w:tblPr>
      <w:tblBorders>
        <w:top w:val="single" w:sz="4" w:color="D1D5DB"/>
        <w:bottom w:val="single" w:sz="4" w:color="D1D5DB"/>
        <w:left w:val="single" w:sz="4" w:color="D1D5DB"/>
        <w:right w:val="single" w:sz="4" w:color="D1D5DB"/>
      </w:tblBorders>
    </w:tblPr>
    <w:tcPr>
      <w:tcMar>
        <w:top w:type="dxa" w:w="60"/>
        <w:left w:type="dxa" w:w="100"/>
        <w:start w:type="dxa" w:w="100"/>
        <w:bottom w:type="dxa" w:w="60"/>
        <w:right w:type="dxa" w:w="100"/>
        <w:end w:type="dxa" w:w="100"/>
      </w:tcMar>
      <w:vAlign w:val="top"/>
    </w:tcPr>
  </w:style>
</w:styles>
</file>

<file path=word/_rels/document.xml.rels><?xml version="1.0" encoding="UTF-8"?>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Comments" Type="http://schemas.openxmlformats.org/officeDocument/2006/relationships/comments" Target="comments.xml"/><Relationship Id="rIdHeader1" Type="http://schemas.openxmlformats.org/officeDocument/2006/relationships/header" Target="header1.xml"/><Relationship Id="rIdFooter1" Type="http://schemas.openxmlformats.org/officeDocument/2006/relationships/footer" Target="footer1.xml"/></Relationships>
</file>