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7"/>
        <w:jc w:val="center"/>
      </w:pPr>
    </w:p>
    <w:p>
      <w:pPr>
        <w:jc w:val="center"/>
      </w:pPr>
      <w:r>
        <w:rPr>
          <w:rFonts w:ascii="Arial" w:hAnsi="Arial" w:eastAsia="Arial"/>
          <w:b w:val="0"/>
          <w:i w:val="0"/>
          <w:sz w:val="28"/>
        </w:rPr>
        <w:t>MODELO DE INFORME FINAL</w:t>
      </w:r>
    </w:p>
    <w:p>
      <w:pPr>
        <w:jc w:val="center"/>
      </w:pPr>
      <w:r>
        <w:rPr>
          <w:rFonts w:ascii="Arial" w:hAnsi="Arial" w:eastAsia="Arial"/>
          <w:b/>
          <w:i w:val="0"/>
          <w:color w:val="B71C1C"/>
          <w:sz w:val="26"/>
        </w:rPr>
        <w:t>DOCUMENTO DE CÁTEDRA</w:t>
      </w:r>
    </w:p>
    <w:p>
      <w:pPr>
        <w:spacing w:after="680"/>
        <w:jc w:val="center"/>
      </w:pPr>
    </w:p>
    <w:p>
      <w:pPr>
        <w:jc w:val="center"/>
      </w:pPr>
      <w:r>
        <w:rPr>
          <w:rFonts w:ascii="Arial" w:hAnsi="Arial" w:eastAsia="Arial"/>
          <w:b/>
          <w:i w:val="0"/>
          <w:sz w:val="44"/>
        </w:rPr>
        <w:t>Priorización de contactos en campañas telefónicas: predicción de suscripción a plazo fijo</w:t>
      </w:r>
    </w:p>
    <w:p>
      <w:pPr>
        <w:spacing w:after="567"/>
        <w:jc w:val="center"/>
      </w:pPr>
    </w:p>
    <w:p>
      <w:pPr>
        <w:jc w:val="center"/>
      </w:pPr>
      <w:r>
        <w:rPr>
          <w:rFonts w:ascii="Arial" w:hAnsi="Arial" w:eastAsia="Arial"/>
          <w:b w:val="0"/>
          <w:i w:val="0"/>
          <w:sz w:val="24"/>
        </w:rPr>
        <w:t>Diplomado en Ciencia de Datos y Análisis Avanzado</w:t>
      </w:r>
    </w:p>
    <w:p>
      <w:pPr>
        <w:jc w:val="center"/>
      </w:pPr>
      <w:r>
        <w:rPr>
          <w:rFonts w:ascii="Arial" w:hAnsi="Arial" w:eastAsia="Arial"/>
          <w:b w:val="0"/>
          <w:i w:val="0"/>
          <w:sz w:val="24"/>
        </w:rPr>
        <w:t>Unidad N.º 9 - Proyecto Final Integrador</w:t>
      </w:r>
    </w:p>
    <w:p>
      <w:pPr>
        <w:spacing w:after="567"/>
        <w:jc w:val="center"/>
      </w:pPr>
    </w:p>
    <w:p>
      <w:pPr>
        <w:jc w:val="center"/>
      </w:pPr>
      <w:r>
        <w:rPr>
          <w:rFonts w:ascii="Arial" w:hAnsi="Arial" w:eastAsia="Arial"/>
          <w:b/>
          <w:i w:val="0"/>
          <w:sz w:val="24"/>
        </w:rPr>
        <w:t>Equipo N.º X</w:t>
      </w:r>
    </w:p>
    <w:p>
      <w:pPr>
        <w:jc w:val="center"/>
      </w:pPr>
      <w:r>
        <w:rPr>
          <w:rFonts w:ascii="Arial" w:hAnsi="Arial" w:eastAsia="Arial"/>
          <w:b w:val="0"/>
          <w:i w:val="0"/>
          <w:sz w:val="24"/>
        </w:rPr>
        <w:t>Apellido, Nombre - Apellido, Nombre - Apellido, Nombre</w:t>
      </w:r>
    </w:p>
    <w:p>
      <w:pPr>
        <w:jc w:val="center"/>
      </w:pPr>
      <w:r>
        <w:rPr>
          <w:rFonts w:ascii="Arial" w:hAnsi="Arial" w:eastAsia="Arial"/>
          <w:b w:val="0"/>
          <w:i w:val="0"/>
          <w:sz w:val="24"/>
        </w:rPr>
        <w:t>Fecha: __ / __ / 2026</w:t>
      </w:r>
    </w:p>
    <w:p>
      <w:pPr>
        <w:spacing w:after="680"/>
        <w:jc w:val="center"/>
      </w:pPr>
    </w:p>
    <w:p>
      <w:pPr>
        <w:jc w:val="center"/>
      </w:pPr>
      <w:r>
        <w:rPr>
          <w:rFonts w:ascii="Arial" w:hAnsi="Arial" w:eastAsia="Arial"/>
          <w:b/>
          <w:i w:val="0"/>
          <w:sz w:val="24"/>
        </w:rPr>
        <w:t>Índice</w:t>
      </w:r>
    </w:p>
    <w:p>
      <w:pPr>
        <w:jc w:val="center"/>
      </w:pPr>
      <w:r>
        <w:rPr>
          <w:rFonts w:ascii="Arial" w:hAnsi="Arial" w:eastAsia="Arial"/>
          <w:b w:val="0"/>
          <w:i w:val="0"/>
          <w:sz w:val="24"/>
        </w:rPr>
        <w:t>1. Resumen ejecutivo - 2. Definición del problema y relevancia - 3. Datos y metodología - 4. Modelado y evaluación - 5. Interpretación del modelo - 6. Impacto en el negocio, riesgos y ética - 7. Conclusiones y recomendaciones - Anexos</w:t>
      </w:r>
    </w:p>
    <w:p>
      <w:r>
        <w:br w:type="page"/>
      </w:r>
    </w:p>
    <w:p>
      <w:pPr>
        <w:keepNext/>
        <w:spacing w:before="144" w:line="276" w:lineRule="auto"/>
      </w:pPr>
      <w:r>
        <w:rPr>
          <w:rFonts w:ascii="Arial" w:hAnsi="Arial" w:eastAsia="Arial"/>
          <w:b/>
          <w:i w:val="0"/>
          <w:color w:val="B71C1C"/>
          <w:sz w:val="32"/>
        </w:rPr>
        <w:t>1. Resumen ejecutivo</w:t>
      </w:r>
    </w:p>
    <w:p>
      <w:pPr>
        <w:jc w:val="both"/>
      </w:pPr>
      <w:r>
        <w:rPr>
          <w:rFonts w:ascii="Arial" w:hAnsi="Arial" w:eastAsia="Arial"/>
          <w:b/>
          <w:i w:val="0"/>
          <w:sz w:val="24"/>
        </w:rPr>
        <w:t>Problema.</w:t>
      </w:r>
      <w:r>
        <w:rPr>
          <w:rFonts w:ascii="Arial" w:hAnsi="Arial" w:eastAsia="Arial"/>
          <w:b w:val="0"/>
          <w:i w:val="0"/>
          <w:sz w:val="24"/>
        </w:rPr>
        <w:t xml:space="preserve"> Banco del Plata (hipotético) vende plazos fijos por teléfono. Su call center puede llamar a cerca del 30 % de la cartera por campaña y hoy asigna ese cupo sin priorizar: solo 11 de cada 100 clientes suscriben.</w:t>
      </w:r>
    </w:p>
    <w:p>
      <w:pPr>
        <w:jc w:val="both"/>
      </w:pPr>
      <w:r>
        <w:rPr>
          <w:rFonts w:ascii="Arial" w:hAnsi="Arial" w:eastAsia="Arial"/>
          <w:b/>
          <w:i w:val="0"/>
          <w:sz w:val="24"/>
        </w:rPr>
      </w:r>
      <w:r>
        <w:rPr>
          <w:rFonts w:ascii="Arial" w:hAnsi="Arial" w:eastAsia="Arial"/>
          <w:b w:val="0"/>
          <w:i w:val="0"/>
          <w:sz w:val="24"/>
        </w:rPr>
      </w:r>
      <w:r>
        <w:rPr>
          <w:b/>
          <w:i w:val="0"/>
        </w:rPr>
        <w:t xml:space="preserve">Solución. </w:t>
      </w:r>
      <w:r>
        <w:rPr>
          <w:b w:val="0"/>
          <w:i w:val="0"/>
        </w:rPr>
        <w:t>Un modelo candidato Random Forest que, antes de llamar, ordena a los clientes por propensión estimada a suscribir para que el cupo se use primero con quienes reciben mayor score. La selección del candidato sigue una regla definida antes de mirar los tests; no implica superioridad estadística concluyente ni autorización de despliegue.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754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Indicador (test)</w:t>
            </w:r>
          </w:p>
        </w:tc>
        <w:tc>
          <w:tcPr>
            <w:tcW w:type="dxa" w:w="2065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Sin priorización</w:t>
            </w:r>
          </w:p>
        </w:tc>
        <w:tc>
          <w:tcPr>
            <w:tcW w:type="dxa" w:w="2409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Modelo - período estable</w:t>
            </w:r>
          </w:p>
        </w:tc>
        <w:tc>
          <w:tcPr>
            <w:tcW w:type="dxa" w:w="2409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Modelo - período posterior</w:t>
            </w:r>
          </w:p>
        </w:tc>
      </w:tr>
      <w:tr>
        <w:tc>
          <w:tcPr>
            <w:tcW w:type="dxa" w:w="2754"/>
            <w:shd w:val="clear" w:color="auto" w:fill="FDEDEC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Suscripciones capturadas con el 30 % de las llamadas</w:t>
            </w:r>
          </w:p>
        </w:tc>
        <w:tc>
          <w:tcPr>
            <w:tcW w:type="dxa" w:w="2065"/>
            <w:shd w:val="clear" w:color="auto" w:fill="FDEDEC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30,4 %</w:t>
            </w:r>
          </w:p>
        </w:tc>
        <w:tc>
          <w:tcPr>
            <w:tcW w:type="dxa" w:w="2409"/>
            <w:shd w:val="clear" w:color="auto" w:fill="FDEDEC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72,8 %</w:t>
            </w:r>
          </w:p>
        </w:tc>
        <w:tc>
          <w:tcPr>
            <w:tcW w:type="dxa" w:w="2409"/>
            <w:shd w:val="clear" w:color="auto" w:fill="FDEDEC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52,9 %</w:t>
            </w:r>
          </w:p>
        </w:tc>
      </w:tr>
      <w:tr>
        <w:tc>
          <w:tcPr>
            <w:tcW w:type="dxa" w:w="27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PR-AUC (piso = tasa de suscripción)</w:t>
            </w:r>
          </w:p>
        </w:tc>
        <w:tc>
          <w:tcPr>
            <w:tcW w:type="dxa" w:w="206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0,117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0,485 (×4,3)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0,538 (×1,7)</w:t>
            </w:r>
          </w:p>
        </w:tc>
      </w:tr>
      <w:tr>
        <w:tc>
          <w:tcPr>
            <w:tcW w:type="dxa" w:w="27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Ahorro potencial por campaña</w:t>
            </w:r>
          </w:p>
        </w:tc>
        <w:tc>
          <w:tcPr>
            <w:tcW w:type="dxa" w:w="206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-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USD 21.080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USD 11.245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Arial" w:hAnsi="Arial" w:eastAsia="Arial"/>
          <w:b/>
          <w:i w:val="0"/>
          <w:sz w:val="24"/>
        </w:rPr>
      </w:r>
      <w:r>
        <w:rPr>
          <w:rFonts w:ascii="Arial" w:hAnsi="Arial" w:eastAsia="Arial"/>
          <w:b w:val="0"/>
          <w:i w:val="0"/>
          <w:sz w:val="24"/>
        </w:rPr>
      </w:r>
      <w:r>
        <w:rPr>
          <w:rFonts w:ascii="Arial" w:hAnsi="Arial" w:eastAsia="Arial"/>
          <w:b/>
          <w:i w:val="0"/>
          <w:sz w:val="24"/>
        </w:rPr>
      </w:r>
      <w:r>
        <w:rPr>
          <w:rFonts w:ascii="Arial" w:hAnsi="Arial" w:eastAsia="Arial"/>
          <w:b w:val="0"/>
          <w:i w:val="0"/>
          <w:sz w:val="24"/>
        </w:rPr>
      </w:r>
      <w:r>
        <w:rPr>
          <w:rFonts w:ascii="Arial" w:hAnsi="Arial" w:eastAsia="Arial"/>
          <w:b/>
          <w:i w:val="0"/>
          <w:sz w:val="24"/>
        </w:rPr>
      </w:r>
      <w:r>
        <w:rPr>
          <w:rFonts w:ascii="Arial" w:hAnsi="Arial" w:eastAsia="Arial"/>
          <w:b w:val="0"/>
          <w:i w:val="0"/>
          <w:sz w:val="24"/>
        </w:rPr>
      </w:r>
      <w:r>
        <w:t>Resultado. Con datos de un período estable, llamar al 30 % mejor rankeado captura el 72,8 % de las suscripciones: supera la meta de 70 % fijada antes de entrenar y multiplica por 2,4 la conversión por llamada. Límite principal: cuando el modelo se prueba en el período siguiente, la tasa de suscripción salta de 6,4 % a 30,8 % y la captura cae a 52,9 %. El modelo conserva señal, pero su desempeño es sensible al cambio de contexto.</w:t>
      </w:r>
    </w:p>
    <w:p>
      <w:pPr>
        <w:jc w:val="both"/>
      </w:pPr>
      <w:r>
        <w:rPr>
          <w:rFonts w:ascii="Arial" w:hAnsi="Arial" w:eastAsia="Arial"/>
          <w:b/>
          <w:i w:val="0"/>
          <w:sz w:val="24"/>
        </w:rPr>
        <w:t>Impacto y recomendación.</w:t>
      </w:r>
      <w:r>
        <w:rPr>
          <w:rFonts w:ascii="Arial" w:hAnsi="Arial" w:eastAsia="Arial"/>
          <w:b w:val="0"/>
          <w:i w:val="0"/>
          <w:sz w:val="24"/>
        </w:rPr>
        <w:t xml:space="preserve"> En el escenario estable se evitarían ~17.566 llamadas por campaña (USD 21.080); en el escenario posterior, el beneficio neto del primer año sería negativo (-USD 1.515). Se recomienda </w:t>
      </w:r>
      <w:r>
        <w:rPr>
          <w:rFonts w:ascii="Arial" w:hAnsi="Arial" w:eastAsia="Arial"/>
          <w:b/>
          <w:i w:val="0"/>
          <w:sz w:val="24"/>
        </w:rPr>
        <w:t>reentrenar con datos actuales y ejecutar un piloto A/B</w:t>
      </w:r>
      <w:r>
        <w:rPr>
          <w:rFonts w:ascii="Arial" w:hAnsi="Arial" w:eastAsia="Arial"/>
          <w:b w:val="0"/>
          <w:i w:val="0"/>
          <w:sz w:val="24"/>
        </w:rPr>
        <w:t xml:space="preserve"> antes de desplegar.</w:t>
      </w:r>
    </w:p>
    <w:p>
      <w:pPr>
        <w:keepNext/>
        <w:spacing w:before="144" w:line="276" w:lineRule="auto"/>
      </w:pPr>
      <w:r>
        <w:rPr>
          <w:rFonts w:ascii="Arial" w:hAnsi="Arial" w:eastAsia="Arial"/>
          <w:b/>
          <w:i w:val="0"/>
          <w:color w:val="B71C1C"/>
          <w:sz w:val="32"/>
        </w:rPr>
        <w:t>2. Definición del problema y relevancia</w:t>
      </w:r>
    </w:p>
    <w:p>
      <w:pPr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La pregunta de negocio no es "quién va a comprar con certeza", sino </w:t>
      </w:r>
      <w:r>
        <w:rPr>
          <w:rFonts w:ascii="Arial" w:hAnsi="Arial" w:eastAsia="Arial"/>
          <w:b/>
          <w:i w:val="0"/>
          <w:sz w:val="24"/>
        </w:rPr>
        <w:t>a quién asignar primero un cupo limitado de llamadas</w:t>
      </w:r>
      <w:r>
        <w:rPr>
          <w:rFonts w:ascii="Arial" w:hAnsi="Arial" w:eastAsia="Arial"/>
          <w:b w:val="0"/>
          <w:i w:val="0"/>
          <w:sz w:val="24"/>
        </w:rPr>
        <w:t>. Por eso el producto es un ranking y no una clasificación sí/no. La relevancia estratégica es directa: las horas de operador son el costo principal de la campaña y cada llamada sin conversión es capacidad perdida.</w:t>
      </w:r>
    </w:p>
    <w:p>
      <w:pPr>
        <w:jc w:val="both"/>
      </w:pPr>
      <w:r>
        <w:rPr>
          <w:rFonts w:ascii="Arial" w:hAnsi="Arial" w:eastAsia="Arial"/>
          <w:b/>
          <w:i w:val="0"/>
          <w:sz w:val="24"/>
        </w:rPr>
        <w:t>Objetivo medible (fijado ex ante):</w:t>
      </w:r>
      <w:r>
        <w:rPr>
          <w:rFonts w:ascii="Arial" w:hAnsi="Arial" w:eastAsia="Arial"/>
          <w:b w:val="0"/>
          <w:i w:val="0"/>
          <w:sz w:val="24"/>
        </w:rPr>
        <w:t xml:space="preserve"> capturar ≥ 70 % de las suscripciones contactando ≤ 30 % de la base (umbral mínimo 60 %). </w:t>
      </w:r>
      <w:r>
        <w:rPr>
          <w:rFonts w:ascii="Arial" w:hAnsi="Arial" w:eastAsia="Arial"/>
          <w:b/>
          <w:i w:val="0"/>
          <w:sz w:val="24"/>
        </w:rPr>
        <w:t>Benchmark:</w:t>
      </w:r>
      <w:r>
        <w:rPr>
          <w:rFonts w:ascii="Arial" w:hAnsi="Arial" w:eastAsia="Arial"/>
          <w:b w:val="0"/>
          <w:i w:val="0"/>
          <w:sz w:val="24"/>
        </w:rPr>
        <w:t xml:space="preserve"> un orden aleatorio captura ~30 %.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32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Situación</w:t>
            </w:r>
          </w:p>
        </w:tc>
        <w:tc>
          <w:tcPr>
            <w:tcW w:type="dxa" w:w="2650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Lectura estadística</w:t>
            </w:r>
          </w:p>
        </w:tc>
        <w:tc>
          <w:tcPr>
            <w:tcW w:type="dxa" w:w="3855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Costo de negocio</w:t>
            </w:r>
          </w:p>
        </w:tc>
      </w:tr>
      <w:tr>
        <w:tc>
          <w:tcPr>
            <w:tcW w:type="dxa" w:w="313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Cliente priorizado que no suscribe</w:t>
            </w:r>
          </w:p>
        </w:tc>
        <w:tc>
          <w:tcPr>
            <w:tcW w:type="dxa" w:w="265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Falso positivo dentro del cupo</w:t>
            </w:r>
          </w:p>
        </w:tc>
        <w:tc>
          <w:tcPr>
            <w:tcW w:type="dxa" w:w="385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Consume una llamada.</w:t>
            </w:r>
          </w:p>
        </w:tc>
      </w:tr>
      <w:tr>
        <w:tc>
          <w:tcPr>
            <w:tcW w:type="dxa" w:w="313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Suscriptor que queda fuera del top 30 %</w:t>
            </w:r>
          </w:p>
        </w:tc>
        <w:tc>
          <w:tcPr>
            <w:tcW w:type="dxa" w:w="265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Falso negativo operativo</w:t>
            </w:r>
          </w:p>
        </w:tc>
        <w:tc>
          <w:tcPr>
            <w:tcW w:type="dxa" w:w="385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Oportunidad perdida.</w:t>
            </w:r>
          </w:p>
        </w:tc>
      </w:tr>
      <w:tr>
        <w:tc>
          <w:tcPr>
            <w:tcW w:type="dxa" w:w="313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Predecir siempre "no"</w:t>
            </w:r>
          </w:p>
        </w:tc>
        <w:tc>
          <w:tcPr>
            <w:tcW w:type="dxa" w:w="265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Accuracy ≈ 89 %</w:t>
            </w:r>
          </w:p>
        </w:tc>
        <w:tc>
          <w:tcPr>
            <w:tcW w:type="dxa" w:w="385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Parece excelente pero no prioriza a nadie.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Arial" w:hAnsi="Arial" w:eastAsia="Arial"/>
          <w:b/>
          <w:i w:val="0"/>
          <w:sz w:val="24"/>
        </w:rPr>
        <w:t>Hipótesis.</w:t>
      </w:r>
      <w:r>
        <w:rPr>
          <w:rFonts w:ascii="Arial" w:hAnsi="Arial" w:eastAsia="Arial"/>
          <w:b w:val="0"/>
          <w:i w:val="0"/>
          <w:sz w:val="24"/>
        </w:rPr>
        <w:t xml:space="preserve"> H1: el historial de campañas previas aporta señal. H2: el mes de contacto modifica la propensión. H3: insistir con más contactos tiene rendimientos decrecientes.</w:t>
      </w:r>
    </w:p>
    <w:p>
      <w:pPr>
        <w:keepNext/>
        <w:spacing w:before="144" w:line="276" w:lineRule="auto"/>
      </w:pPr>
      <w:r>
        <w:rPr>
          <w:rFonts w:ascii="Arial" w:hAnsi="Arial" w:eastAsia="Arial"/>
          <w:b/>
          <w:i w:val="0"/>
          <w:color w:val="B71C1C"/>
          <w:sz w:val="32"/>
        </w:rPr>
        <w:t>3. Datos y metodología</w:t>
      </w:r>
    </w:p>
    <w:p>
      <w:pPr>
        <w:jc w:val="both"/>
      </w:pPr>
      <w:r>
        <w:rPr>
          <w:rFonts w:ascii="Arial" w:hAnsi="Arial" w:eastAsia="Arial"/>
          <w:b/>
          <w:i w:val="0"/>
          <w:sz w:val="24"/>
        </w:rPr>
      </w:r>
      <w:r>
        <w:rPr>
          <w:rFonts w:ascii="Arial" w:hAnsi="Arial" w:eastAsia="Arial"/>
          <w:b w:val="0"/>
          <w:i w:val="0"/>
          <w:sz w:val="24"/>
        </w:rPr>
      </w:r>
      <w:r>
        <w:rPr>
          <w:rFonts w:ascii="Arial" w:hAnsi="Arial" w:eastAsia="Arial"/>
          <w:b/>
          <w:i w:val="0"/>
          <w:sz w:val="24"/>
        </w:rPr>
      </w:r>
      <w:r>
        <w:rPr>
          <w:rFonts w:ascii="Arial" w:hAnsi="Arial" w:eastAsia="Arial"/>
          <w:b w:val="0"/>
          <w:i w:val="0"/>
          <w:sz w:val="24"/>
        </w:rPr>
      </w:r>
      <w:r>
        <w:rPr>
          <w:b/>
          <w:i w:val="0"/>
        </w:rPr>
        <w:t xml:space="preserve">Fuente. </w:t>
      </w:r>
      <w:r>
        <w:rPr>
          <w:b w:val="0"/>
          <w:i w:val="0"/>
        </w:rPr>
        <w:t xml:space="preserve">Bank Marketing, UCI Machine Learning Repository (Moro, Rita y Cortez, 2014), CC BY 4.0. </w:t>
      </w:r>
      <w:r>
        <w:rPr>
          <w:b/>
          <w:i w:val="0"/>
        </w:rPr>
        <w:t xml:space="preserve">Fuente oficial: </w:t>
      </w:r>
      <w:r>
        <w:rPr>
          <w:b w:val="0"/>
          <w:i w:val="0"/>
        </w:rPr>
        <w:t xml:space="preserve">https://archive.ics.uci.edu/dataset/222/bank+marketing. </w:t>
      </w:r>
      <w:r>
        <w:rPr>
          <w:b/>
          <w:i w:val="0"/>
        </w:rPr>
        <w:t xml:space="preserve">DOI: </w:t>
      </w:r>
      <w:r>
        <w:rPr>
          <w:b w:val="0"/>
          <w:i w:val="0"/>
        </w:rPr>
        <w:t xml:space="preserve">https://doi.org/10.24432/C5K306. </w:t>
      </w:r>
      <w:r>
        <w:rPr>
          <w:b w:val="0"/>
          <w:i w:val="0"/>
        </w:rPr>
        <w:t>Archivo bank-additional-full.csv: 41.188 registros y 20 variables de entrada (perfil, relación financiera, campaña, historial y 5 indicadores macroeconómicos), ordenados cronológicamente de mayo de 2008 a noviembre de 2010. Tasa de suscripción: 11,27 %.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Hallazgo de calidad</w:t>
            </w:r>
          </w:p>
        </w:tc>
        <w:tc>
          <w:tcPr>
            <w:tcW w:type="dxa" w:w="5669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Decisión y motivo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duration: se conoce después de la llamada</w:t>
            </w:r>
          </w:p>
        </w:tc>
        <w:tc>
          <w:tcPr>
            <w:tcW w:type="dxa" w:w="566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Excluida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: usarla es fuga de información.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 nulos; unknown en default (20,9 %), education (4,2 %), housing y loan (2,4 %)</w:t>
            </w:r>
          </w:p>
        </w:tc>
        <w:tc>
          <w:tcPr>
            <w:tcW w:type="dxa" w:w="566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Categoría explícita: el faltante puede ser informativo.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12 duplicados exactos</w:t>
            </w:r>
          </w:p>
        </w:tc>
        <w:tc>
          <w:tcPr>
            <w:tcW w:type="dxa" w:w="566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Eliminados tras reportarlos (41.176 filas).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pdays = 999 en el 96,3 % ("nunca contactado")</w:t>
            </w:r>
          </w:p>
        </w:tc>
        <w:tc>
          <w:tcPr>
            <w:tcW w:type="dxa" w:w="566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Bandera contactado_antes + dias_desde_contacto (0 si nunca).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campaign: 869 casos con más de 10 contactos</w:t>
            </w:r>
          </w:p>
        </w:tc>
        <w:tc>
          <w:tcPr>
            <w:tcW w:type="dxa" w:w="566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Legítimos; sin recorte (árboles robustos).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Desbalance 11,3 %</w:t>
            </w:r>
          </w:p>
        </w:tc>
        <w:tc>
          <w:tcPr>
            <w:tcW w:type="dxa" w:w="566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Sin ponderar clases: se ordena, y así el score conserva escala de probabilidad.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600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00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555555"/>
          <w:sz w:val="20"/>
        </w:rPr>
        <w:t>Figura 1. EDA: conversión por cantidad de contactos (H3), por mes (H2) y prevalencia por tramo temporal.</w:t>
      </w:r>
    </w:p>
    <w:p>
      <w:pPr>
        <w:jc w:val="both"/>
      </w:pPr>
      <w:r>
        <w:rPr>
          <w:rFonts w:ascii="Arial" w:hAnsi="Arial" w:eastAsia="Arial"/>
          <w:b/>
          <w:i w:val="0"/>
          <w:sz w:val="24"/>
        </w:rPr>
        <w:t>Conclusiones del EDA.</w:t>
      </w:r>
      <w:r>
        <w:rPr>
          <w:rFonts w:ascii="Arial" w:hAnsi="Arial" w:eastAsia="Arial"/>
          <w:b w:val="0"/>
          <w:i w:val="0"/>
          <w:sz w:val="24"/>
        </w:rPr>
        <w:t xml:space="preserve"> (1) H3 tiene respaldo descriptivo: la conversión cae de 13,0 % con un contacto a 3,1 % con más de diez. (2) El historial importa: poutcome = success convierte 65,1 %. (3) Los meses con alta conversión tienen poco volumen, por lo que el mes mezcla estacionalidad con cambios de campaña. (4) </w:t>
      </w:r>
      <w:r>
        <w:rPr>
          <w:rFonts w:ascii="Arial" w:hAnsi="Arial" w:eastAsia="Arial"/>
          <w:b/>
          <w:i w:val="0"/>
          <w:sz w:val="24"/>
        </w:rPr>
        <w:t>La tasa de suscripción crece de 2,8 % a 45,9 % a lo largo del archivo</w:t>
      </w:r>
      <w:r>
        <w:rPr>
          <w:rFonts w:ascii="Arial" w:hAnsi="Arial" w:eastAsia="Arial"/>
          <w:b w:val="0"/>
          <w:i w:val="0"/>
          <w:sz w:val="24"/>
        </w:rPr>
        <w:t>: hay cambio de régimen y un split aleatorio no alcanza para evaluar.</w:t>
      </w:r>
    </w:p>
    <w:p>
      <w:pPr>
        <w:jc w:val="both"/>
      </w:pPr>
      <w:r>
        <w:rPr>
          <w:rFonts w:ascii="Arial" w:hAnsi="Arial" w:eastAsia="Arial"/>
          <w:b/>
          <w:i w:val="0"/>
          <w:sz w:val="24"/>
        </w:rPr>
        <w:t>Metodología.</w:t>
      </w:r>
      <w:r>
        <w:rPr>
          <w:rFonts w:ascii="Arial" w:hAnsi="Arial" w:eastAsia="Arial"/>
          <w:b w:val="0"/>
          <w:i w:val="0"/>
          <w:sz w:val="24"/>
        </w:rPr>
        <w:t xml:space="preserve"> Se siguió CRISP-DM: negocio (sección 2), comprensión y preparación de datos (sección 3), modelado y evaluación (sección 4) y traducción a una decisión (secciones 5-6). Todas las transformaciones viven en un Pipeline, con random_state=42 y las decisiones registradas en data_log.md.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797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Diseño de validación</w:t>
            </w:r>
          </w:p>
        </w:tc>
        <w:tc>
          <w:tcPr>
            <w:tcW w:type="dxa" w:w="5841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Pregunta que responde</w:t>
            </w:r>
          </w:p>
        </w:tc>
      </w:tr>
      <w:tr>
        <w:tc>
          <w:tcPr>
            <w:tcW w:type="dxa" w:w="3797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CV estratificada 5 folds (80 % desarrollo)</w:t>
            </w:r>
          </w:p>
        </w:tc>
        <w:tc>
          <w:tcPr>
            <w:tcW w:type="dxa" w:w="584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¿Qué algoritmo discrimina mejor? Define el candidato.</w:t>
            </w:r>
          </w:p>
        </w:tc>
      </w:tr>
      <w:tr>
        <w:tc>
          <w:tcPr>
            <w:tcW w:type="dxa" w:w="3797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Validación temporal interna (60 % → 60-80 %)</w:t>
            </w:r>
          </w:p>
        </w:tc>
        <w:tc>
          <w:tcPr>
            <w:tcW w:type="dxa" w:w="5841"/>
          </w:tcPr>
          <w:p>
            <w:r>
              <w:t>Desempate provisional entre modelos equivalentes en CV; si queda cerca del piso, se registra que la evidencia es débil.</w:t>
            </w:r>
          </w:p>
        </w:tc>
      </w:tr>
      <w:tr>
        <w:tc>
          <w:tcPr>
            <w:tcW w:type="dxa" w:w="3797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Test estratificado 20 % (usado una sola vez)</w:t>
            </w:r>
          </w:p>
        </w:tc>
        <w:tc>
          <w:tcPr>
            <w:tcW w:type="dxa" w:w="584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¿Cuánto rinde en distribución estable?</w:t>
            </w:r>
          </w:p>
        </w:tc>
      </w:tr>
      <w:tr>
        <w:tc>
          <w:tcPr>
            <w:tcW w:type="dxa" w:w="3797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Test temporal (80 % inicial → 20 % final)</w:t>
            </w:r>
          </w:p>
        </w:tc>
        <w:tc>
          <w:tcPr>
            <w:tcW w:type="dxa" w:w="584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¿Generaliza hacia un período posterior?</w:t>
            </w:r>
          </w:p>
        </w:tc>
      </w:tr>
    </w:tbl>
    <w:p>
      <w:pPr>
        <w:spacing w:after="40"/>
      </w:pPr>
    </w:p>
    <w:p>
      <w:pPr>
        <w:keepNext/>
        <w:spacing w:before="144" w:line="276" w:lineRule="auto"/>
      </w:pPr>
      <w:r>
        <w:rPr>
          <w:rFonts w:ascii="Arial" w:hAnsi="Arial" w:eastAsia="Arial"/>
          <w:b/>
          <w:i w:val="0"/>
          <w:color w:val="B71C1C"/>
          <w:sz w:val="32"/>
        </w:rPr>
        <w:t>4. Modelado y evaluación</w:t>
      </w:r>
    </w:p>
    <w:p>
      <w:pPr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Se compararon regresión logística (referencia interpretable), Random Forest (300 árboles, hoja mínima 5) y XGBoost (400 árboles, profundidad 4). </w:t>
      </w:r>
      <w:r>
        <w:rPr>
          <w:rFonts w:ascii="Arial" w:hAnsi="Arial" w:eastAsia="Arial"/>
          <w:b/>
          <w:i w:val="0"/>
          <w:sz w:val="24"/>
        </w:rPr>
        <w:t>Regla de selección definida antes de ver el test:</w:t>
      </w:r>
      <w:r>
        <w:rPr>
          <w:rFonts w:ascii="Arial" w:hAnsi="Arial" w:eastAsia="Arial"/>
          <w:b w:val="0"/>
          <w:i w:val="0"/>
          <w:sz w:val="24"/>
        </w:rPr>
        <w:t xml:space="preserve"> los modelos a menos de un desvío de la mejor PR-AUC en CV están empatados; si empata la logística se la elige; si no, desempata la validación temporal interna.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89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Modelo</w:t>
            </w:r>
          </w:p>
        </w:tc>
        <w:tc>
          <w:tcPr>
            <w:tcW w:type="dxa" w:w="2448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PR-AUC CV (media ± desvío)</w:t>
            </w:r>
          </w:p>
        </w:tc>
        <w:tc>
          <w:tcPr>
            <w:tcW w:type="dxa" w:w="1530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ROC-AUC CV</w:t>
            </w:r>
          </w:p>
        </w:tc>
        <w:tc>
          <w:tcPr>
            <w:tcW w:type="dxa" w:w="1683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Recall @ 30 % CV</w:t>
            </w:r>
          </w:p>
        </w:tc>
        <w:tc>
          <w:tcPr>
            <w:tcW w:type="dxa" w:w="1989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PR-AUC temporal interna</w:t>
            </w:r>
          </w:p>
        </w:tc>
      </w:tr>
      <w:tr>
        <w:tc>
          <w:tcPr>
            <w:tcW w:type="dxa" w:w="198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XGBoost</w:t>
            </w:r>
          </w:p>
        </w:tc>
        <w:tc>
          <w:tcPr>
            <w:tcW w:type="dxa" w:w="244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0,467 ± 0,014</w:t>
            </w:r>
          </w:p>
        </w:tc>
        <w:tc>
          <w:tcPr>
            <w:tcW w:type="dxa" w:w="153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0,800</w:t>
            </w:r>
          </w:p>
        </w:tc>
        <w:tc>
          <w:tcPr>
            <w:tcW w:type="dxa" w:w="168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71,4 %</w:t>
            </w:r>
          </w:p>
        </w:tc>
        <w:tc>
          <w:tcPr>
            <w:tcW w:type="dxa" w:w="198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0,096</w:t>
            </w:r>
          </w:p>
        </w:tc>
      </w:tr>
      <w:tr>
        <w:tc>
          <w:tcPr>
            <w:tcW w:type="dxa" w:w="1989"/>
            <w:shd w:val="clear" w:color="auto" w:fill="FDEDEC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Random Forest</w:t>
            </w:r>
          </w:p>
        </w:tc>
        <w:tc>
          <w:tcPr>
            <w:tcW w:type="dxa" w:w="2448"/>
            <w:shd w:val="clear" w:color="auto" w:fill="FDEDEC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0,466 ± 0,015</w:t>
            </w:r>
          </w:p>
        </w:tc>
        <w:tc>
          <w:tcPr>
            <w:tcW w:type="dxa" w:w="1530"/>
            <w:shd w:val="clear" w:color="auto" w:fill="FDEDEC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0,795</w:t>
            </w:r>
          </w:p>
        </w:tc>
        <w:tc>
          <w:tcPr>
            <w:tcW w:type="dxa" w:w="1683"/>
            <w:shd w:val="clear" w:color="auto" w:fill="FDEDEC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70,9 %</w:t>
            </w:r>
          </w:p>
        </w:tc>
        <w:tc>
          <w:tcPr>
            <w:tcW w:type="dxa" w:w="1989"/>
            <w:shd w:val="clear" w:color="auto" w:fill="FDEDEC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0,113</w:t>
            </w:r>
          </w:p>
        </w:tc>
      </w:tr>
      <w:tr>
        <w:tc>
          <w:tcPr>
            <w:tcW w:type="dxa" w:w="198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Logística</w:t>
            </w:r>
          </w:p>
        </w:tc>
        <w:tc>
          <w:tcPr>
            <w:tcW w:type="dxa" w:w="244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0,451 ± 0,014</w:t>
            </w:r>
          </w:p>
        </w:tc>
        <w:tc>
          <w:tcPr>
            <w:tcW w:type="dxa" w:w="153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0,790</w:t>
            </w:r>
          </w:p>
        </w:tc>
        <w:tc>
          <w:tcPr>
            <w:tcW w:type="dxa" w:w="168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70,0 %</w:t>
            </w:r>
          </w:p>
        </w:tc>
        <w:tc>
          <w:tcPr>
            <w:tcW w:type="dxa" w:w="198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0,097</w:t>
            </w:r>
          </w:p>
        </w:tc>
      </w:tr>
    </w:tbl>
    <w:p>
      <w:pPr>
        <w:jc w:val="center"/>
      </w:pPr>
      <w:r>
        <w:rPr>
          <w:rFonts w:ascii="Arial" w:hAnsi="Arial" w:eastAsia="Arial"/>
          <w:b w:val="0"/>
          <w:i/>
          <w:color w:val="555555"/>
          <w:sz w:val="20"/>
        </w:rPr>
        <w:t>Tabla 1. Selección. Umbral de empate: 0,452; tasa de suscripción en el tramo temporal interno: 11,1 %.</w:t>
      </w:r>
    </w:p>
    <w:p>
      <w:pPr>
        <w:jc w:val="both"/>
      </w:pPr>
      <w:r>
        <w:rPr>
          <w:rFonts w:ascii="Arial" w:hAnsi="Arial" w:eastAsia="Arial"/>
          <w:b w:val="0"/>
          <w:i w:val="0"/>
          <w:sz w:val="24"/>
        </w:rPr>
      </w:r>
      <w:r>
        <w:rPr>
          <w:rFonts w:ascii="Arial" w:hAnsi="Arial" w:eastAsia="Arial"/>
          <w:b/>
          <w:i w:val="0"/>
          <w:sz w:val="24"/>
        </w:rPr>
      </w:r>
      <w:r>
        <w:rPr>
          <w:rFonts w:ascii="Arial" w:hAnsi="Arial" w:eastAsia="Arial"/>
          <w:b w:val="0"/>
          <w:i w:val="0"/>
          <w:sz w:val="24"/>
        </w:rPr>
      </w:r>
      <w:r>
        <w:rPr>
          <w:rFonts w:ascii="Arial" w:hAnsi="Arial" w:eastAsia="Arial"/>
          <w:b/>
          <w:i w:val="0"/>
          <w:sz w:val="24"/>
        </w:rPr>
      </w:r>
      <w:r>
        <w:rPr>
          <w:rFonts w:ascii="Arial" w:hAnsi="Arial" w:eastAsia="Arial"/>
          <w:b w:val="0"/>
          <w:i w:val="0"/>
          <w:sz w:val="24"/>
        </w:rPr>
      </w:r>
      <w:r>
        <w:rPr>
          <w:b/>
          <w:i w:val="0"/>
        </w:rPr>
      </w:r>
      <w:r>
        <w:rPr>
          <w:b w:val="0"/>
          <w:i w:val="0"/>
        </w:rPr>
      </w:r>
      <w:r>
        <w:rPr>
          <w:b/>
          <w:i w:val="0"/>
        </w:rPr>
      </w:r>
      <w:r>
        <w:rPr>
          <w:b w:val="0"/>
          <w:i w:val="0"/>
        </w:rPr>
      </w:r>
      <w:r>
        <w:t>XGBoost y Random Forest quedan empatados en CV; la logística queda apenas fuera. La regla ex ante usa la validación temporal interna como desempate: Random Forest obtiene PR-AUC 0,113 frente a una prevalencia de 11,1 %, es decir, prácticamente el piso. Por eso queda como candidato provisional para continuar el análisis, no como evidencia estadística de superioridad. La baja discriminación temporal es una advertencia sobre estabilidad.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2253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Modelo (test estable)</w:t>
            </w:r>
          </w:p>
        </w:tc>
        <w:tc>
          <w:tcPr>
            <w:tcW w:type="dxa" w:w="1126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PR-AUC</w:t>
            </w:r>
          </w:p>
        </w:tc>
        <w:tc>
          <w:tcPr>
            <w:tcW w:type="dxa" w:w="1252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ROC-AUC</w:t>
            </w:r>
          </w:p>
        </w:tc>
        <w:tc>
          <w:tcPr>
            <w:tcW w:type="dxa" w:w="1377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Recall @ 30 %</w:t>
            </w:r>
          </w:p>
        </w:tc>
        <w:tc>
          <w:tcPr>
            <w:tcW w:type="dxa" w:w="1377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Precision @ 30 %</w:t>
            </w:r>
          </w:p>
        </w:tc>
        <w:tc>
          <w:tcPr>
            <w:tcW w:type="dxa" w:w="1126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Lift @ 30 %</w:t>
            </w:r>
          </w:p>
        </w:tc>
        <w:tc>
          <w:tcPr>
            <w:tcW w:type="dxa" w:w="1126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F1 @ 30 %</w:t>
            </w:r>
          </w:p>
        </w:tc>
      </w:tr>
      <w:tr>
        <w:tc>
          <w:tcPr>
            <w:tcW w:type="dxa" w:w="225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Ranking aleatorio</w:t>
            </w:r>
          </w:p>
        </w:tc>
        <w:tc>
          <w:tcPr>
            <w:tcW w:type="dxa" w:w="1126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0,117</w:t>
            </w:r>
          </w:p>
        </w:tc>
        <w:tc>
          <w:tcPr>
            <w:tcW w:type="dxa" w:w="125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0,505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30,4 %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11,4 %</w:t>
            </w:r>
          </w:p>
        </w:tc>
        <w:tc>
          <w:tcPr>
            <w:tcW w:type="dxa" w:w="1126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1,01</w:t>
            </w:r>
          </w:p>
        </w:tc>
        <w:tc>
          <w:tcPr>
            <w:tcW w:type="dxa" w:w="1126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0,166</w:t>
            </w:r>
          </w:p>
        </w:tc>
      </w:tr>
      <w:tr>
        <w:tc>
          <w:tcPr>
            <w:tcW w:type="dxa" w:w="225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Logística</w:t>
            </w:r>
          </w:p>
        </w:tc>
        <w:tc>
          <w:tcPr>
            <w:tcW w:type="dxa" w:w="1126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0,454</w:t>
            </w:r>
          </w:p>
        </w:tc>
        <w:tc>
          <w:tcPr>
            <w:tcW w:type="dxa" w:w="125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0,800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72,7 %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27,3 %</w:t>
            </w:r>
          </w:p>
        </w:tc>
        <w:tc>
          <w:tcPr>
            <w:tcW w:type="dxa" w:w="1126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2,42</w:t>
            </w:r>
          </w:p>
        </w:tc>
        <w:tc>
          <w:tcPr>
            <w:tcW w:type="dxa" w:w="1126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0,397</w:t>
            </w:r>
          </w:p>
        </w:tc>
      </w:tr>
      <w:tr>
        <w:tc>
          <w:tcPr>
            <w:tcW w:type="dxa" w:w="2253"/>
            <w:shd w:val="clear" w:color="auto" w:fill="FDEDEC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Random Forest</w:t>
            </w:r>
          </w:p>
        </w:tc>
        <w:tc>
          <w:tcPr>
            <w:tcW w:type="dxa" w:w="1126"/>
            <w:shd w:val="clear" w:color="auto" w:fill="FDEDEC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0,485</w:t>
            </w:r>
          </w:p>
        </w:tc>
        <w:tc>
          <w:tcPr>
            <w:tcW w:type="dxa" w:w="1252"/>
            <w:shd w:val="clear" w:color="auto" w:fill="FDEDEC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0,803</w:t>
            </w:r>
          </w:p>
        </w:tc>
        <w:tc>
          <w:tcPr>
            <w:tcW w:type="dxa" w:w="1377"/>
            <w:shd w:val="clear" w:color="auto" w:fill="FDEDEC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72,8 %</w:t>
            </w:r>
          </w:p>
        </w:tc>
        <w:tc>
          <w:tcPr>
            <w:tcW w:type="dxa" w:w="1377"/>
            <w:shd w:val="clear" w:color="auto" w:fill="FDEDEC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27,4 %</w:t>
            </w:r>
          </w:p>
        </w:tc>
        <w:tc>
          <w:tcPr>
            <w:tcW w:type="dxa" w:w="1126"/>
            <w:shd w:val="clear" w:color="auto" w:fill="FDEDEC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2,43</w:t>
            </w:r>
          </w:p>
        </w:tc>
        <w:tc>
          <w:tcPr>
            <w:tcW w:type="dxa" w:w="1126"/>
            <w:shd w:val="clear" w:color="auto" w:fill="FDEDEC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0,398</w:t>
            </w:r>
          </w:p>
        </w:tc>
      </w:tr>
      <w:tr>
        <w:tc>
          <w:tcPr>
            <w:tcW w:type="dxa" w:w="225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XGBoost</w:t>
            </w:r>
          </w:p>
        </w:tc>
        <w:tc>
          <w:tcPr>
            <w:tcW w:type="dxa" w:w="1126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0,481</w:t>
            </w:r>
          </w:p>
        </w:tc>
        <w:tc>
          <w:tcPr>
            <w:tcW w:type="dxa" w:w="125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0,810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73,7 %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27,7 %</w:t>
            </w:r>
          </w:p>
        </w:tc>
        <w:tc>
          <w:tcPr>
            <w:tcW w:type="dxa" w:w="1126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2,46</w:t>
            </w:r>
          </w:p>
        </w:tc>
        <w:tc>
          <w:tcPr>
            <w:tcW w:type="dxa" w:w="1126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0,402</w:t>
            </w:r>
          </w:p>
        </w:tc>
      </w:tr>
    </w:tbl>
    <w:p>
      <w:pPr>
        <w:jc w:val="center"/>
      </w:pPr>
      <w:r>
        <w:rPr>
          <w:rFonts w:ascii="Arial" w:hAnsi="Arial" w:eastAsia="Arial"/>
          <w:b w:val="0"/>
          <w:i/>
          <w:color w:val="555555"/>
          <w:sz w:val="20"/>
        </w:rPr>
        <w:t>Tabla 2. Evaluación única sobre el 20 % de test estratificado (8.236 clientes).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445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_gana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44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555555"/>
          <w:sz w:val="20"/>
        </w:rPr>
        <w:t>Figura 2. Curva precision-recall y curva de ganancia en el test estable. Línea vertical: cupo de 30 %.</w:t>
      </w:r>
    </w:p>
    <w:p>
      <w:pPr>
        <w:jc w:val="both"/>
      </w:pPr>
      <w:r>
        <w:rPr>
          <w:rFonts w:ascii="Arial" w:hAnsi="Arial" w:eastAsia="Arial"/>
          <w:b w:val="0"/>
          <w:i w:val="0"/>
          <w:sz w:val="24"/>
        </w:rPr>
      </w:r>
      <w:r>
        <w:t>En el test estable los tres modelos superan la meta: Random Forest captura 72,8 % y la logística 72,7 %. XGBoost queda levemente arriba en recall (73,7 %) y ROC-AUC; la diferencia es pequeña y no se usa para cambiar la regla de selección definida ex ante. El primer decil concentra 53,9 % de conversión (lift 4,8; ver Anexo B). Accuracy de la regla top 30 %: 75,1 %, no usada para decidir.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940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Modelo (test temporal)</w:t>
            </w:r>
          </w:p>
        </w:tc>
        <w:tc>
          <w:tcPr>
            <w:tcW w:type="dxa" w:w="1634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PR-AUC</w:t>
            </w:r>
          </w:p>
        </w:tc>
        <w:tc>
          <w:tcPr>
            <w:tcW w:type="dxa" w:w="1634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PR-AUC / tasa</w:t>
            </w:r>
          </w:p>
        </w:tc>
        <w:tc>
          <w:tcPr>
            <w:tcW w:type="dxa" w:w="1634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ROC-AUC</w:t>
            </w:r>
          </w:p>
        </w:tc>
        <w:tc>
          <w:tcPr>
            <w:tcW w:type="dxa" w:w="1797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Recall @ 30 %</w:t>
            </w:r>
          </w:p>
        </w:tc>
      </w:tr>
      <w:tr>
        <w:tc>
          <w:tcPr>
            <w:tcW w:type="dxa" w:w="294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Ranking aleatorio</w:t>
            </w:r>
          </w:p>
        </w:tc>
        <w:tc>
          <w:tcPr>
            <w:tcW w:type="dxa" w:w="163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0,309</w:t>
            </w:r>
          </w:p>
        </w:tc>
        <w:tc>
          <w:tcPr>
            <w:tcW w:type="dxa" w:w="163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1,00</w:t>
            </w:r>
          </w:p>
        </w:tc>
        <w:tc>
          <w:tcPr>
            <w:tcW w:type="dxa" w:w="163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0,502</w:t>
            </w:r>
          </w:p>
        </w:tc>
        <w:tc>
          <w:tcPr>
            <w:tcW w:type="dxa" w:w="1797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30,8 %</w:t>
            </w:r>
          </w:p>
        </w:tc>
      </w:tr>
      <w:tr>
        <w:tc>
          <w:tcPr>
            <w:tcW w:type="dxa" w:w="294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Logística</w:t>
            </w:r>
          </w:p>
        </w:tc>
        <w:tc>
          <w:tcPr>
            <w:tcW w:type="dxa" w:w="163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0,527</w:t>
            </w:r>
          </w:p>
        </w:tc>
        <w:tc>
          <w:tcPr>
            <w:tcW w:type="dxa" w:w="163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1,71</w:t>
            </w:r>
          </w:p>
        </w:tc>
        <w:tc>
          <w:tcPr>
            <w:tcW w:type="dxa" w:w="163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0,748</w:t>
            </w:r>
          </w:p>
        </w:tc>
        <w:tc>
          <w:tcPr>
            <w:tcW w:type="dxa" w:w="1797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53,6 %</w:t>
            </w:r>
          </w:p>
        </w:tc>
      </w:tr>
      <w:tr>
        <w:tc>
          <w:tcPr>
            <w:tcW w:type="dxa" w:w="2940"/>
            <w:shd w:val="clear" w:color="auto" w:fill="FDEDEC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Random Forest</w:t>
            </w:r>
          </w:p>
        </w:tc>
        <w:tc>
          <w:tcPr>
            <w:tcW w:type="dxa" w:w="1634"/>
            <w:shd w:val="clear" w:color="auto" w:fill="FDEDEC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0,538</w:t>
            </w:r>
          </w:p>
        </w:tc>
        <w:tc>
          <w:tcPr>
            <w:tcW w:type="dxa" w:w="1634"/>
            <w:shd w:val="clear" w:color="auto" w:fill="FDEDEC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1,75</w:t>
            </w:r>
          </w:p>
        </w:tc>
        <w:tc>
          <w:tcPr>
            <w:tcW w:type="dxa" w:w="1634"/>
            <w:shd w:val="clear" w:color="auto" w:fill="FDEDEC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0,743</w:t>
            </w:r>
          </w:p>
        </w:tc>
        <w:tc>
          <w:tcPr>
            <w:tcW w:type="dxa" w:w="1797"/>
            <w:shd w:val="clear" w:color="auto" w:fill="FDEDEC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52,9 %</w:t>
            </w:r>
          </w:p>
        </w:tc>
      </w:tr>
      <w:tr>
        <w:tc>
          <w:tcPr>
            <w:tcW w:type="dxa" w:w="294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XGBoost</w:t>
            </w:r>
          </w:p>
        </w:tc>
        <w:tc>
          <w:tcPr>
            <w:tcW w:type="dxa" w:w="163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0,438</w:t>
            </w:r>
          </w:p>
        </w:tc>
        <w:tc>
          <w:tcPr>
            <w:tcW w:type="dxa" w:w="163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1,42</w:t>
            </w:r>
          </w:p>
        </w:tc>
        <w:tc>
          <w:tcPr>
            <w:tcW w:type="dxa" w:w="163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0,638</w:t>
            </w:r>
          </w:p>
        </w:tc>
        <w:tc>
          <w:tcPr>
            <w:tcW w:type="dxa" w:w="1797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43,6 %</w:t>
            </w:r>
          </w:p>
        </w:tc>
      </w:tr>
    </w:tbl>
    <w:p>
      <w:pPr>
        <w:jc w:val="center"/>
      </w:pPr>
      <w:r>
        <w:rPr>
          <w:rFonts w:ascii="Arial" w:hAnsi="Arial" w:eastAsia="Arial"/>
          <w:b w:val="0"/>
          <w:i/>
          <w:color w:val="555555"/>
          <w:sz w:val="20"/>
        </w:rPr>
        <w:t>Tabla 3. Entrenamiento con el 80 % inicial (tasa 6,4 %) y test con el 20 % final (tasa 30,8 %).</w:t>
      </w:r>
    </w:p>
    <w:p>
      <w:pPr>
        <w:jc w:val="both"/>
      </w:pPr>
      <w:r>
        <w:rPr>
          <w:rFonts w:ascii="Arial" w:hAnsi="Arial" w:eastAsia="Arial"/>
          <w:b/>
          <w:i w:val="0"/>
          <w:sz w:val="24"/>
        </w:rPr>
        <w:t>Lectura correcta del test temporal.</w:t>
      </w:r>
      <w:r>
        <w:rPr>
          <w:rFonts w:ascii="Arial" w:hAnsi="Arial" w:eastAsia="Arial"/>
          <w:b w:val="0"/>
          <w:i w:val="0"/>
          <w:sz w:val="24"/>
        </w:rPr>
        <w:t xml:space="preserve"> La PR-AUC de 0,538 parece mejor que la del test estable, pero el piso sube a 0,308: el ranking pasa de ser 4,3 veces mejor que el azar a 1,7 veces. La captura con 30 % de llamadas cae a 52,9 %, </w:t>
      </w:r>
      <w:r>
        <w:rPr>
          <w:rFonts w:ascii="Arial" w:hAnsi="Arial" w:eastAsia="Arial"/>
          <w:b/>
          <w:i w:val="0"/>
          <w:sz w:val="24"/>
        </w:rPr>
        <w:t>por debajo del umbral mínimo de 60 %</w:t>
      </w:r>
      <w:r>
        <w:rPr>
          <w:rFonts w:ascii="Arial" w:hAnsi="Arial" w:eastAsia="Arial"/>
          <w:b w:val="0"/>
          <w:i w:val="0"/>
          <w:sz w:val="24"/>
        </w:rPr>
        <w:t>. Random Forest sigue entre los mejores (la logística logra 53,6 %), mientras XGBoost se degrada más (43,6 %). La degradación no se corrige cambiando el test: es el hallazgo que limita la recomendación.</w:t>
      </w:r>
    </w:p>
    <w:p>
      <w:pPr>
        <w:keepNext/>
        <w:spacing w:before="144" w:line="276" w:lineRule="auto"/>
      </w:pPr>
      <w:r>
        <w:rPr>
          <w:rFonts w:ascii="Arial" w:hAnsi="Arial" w:eastAsia="Arial"/>
          <w:b/>
          <w:i w:val="0"/>
          <w:color w:val="B71C1C"/>
          <w:sz w:val="32"/>
        </w:rPr>
        <w:t>5. Interpretación del modelo</w:t>
      </w:r>
    </w:p>
    <w:p>
      <w:pPr>
        <w:jc w:val="both"/>
      </w:pPr>
      <w:r>
        <w:rPr>
          <w:rFonts w:ascii="Arial" w:hAnsi="Arial" w:eastAsia="Arial"/>
          <w:b w:val="0"/>
          <w:i w:val="0"/>
          <w:sz w:val="24"/>
        </w:rPr>
      </w:r>
      <w:r>
        <w:rPr>
          <w:rFonts w:ascii="Arial" w:hAnsi="Arial" w:eastAsia="Arial"/>
          <w:b/>
          <w:i w:val="0"/>
          <w:sz w:val="24"/>
        </w:rPr>
      </w:r>
      <w:r>
        <w:rPr>
          <w:rFonts w:ascii="Arial" w:hAnsi="Arial" w:eastAsia="Arial"/>
          <w:b w:val="0"/>
          <w:i w:val="0"/>
          <w:sz w:val="24"/>
        </w:rPr>
      </w:r>
      <w:r>
        <w:rPr>
          <w:b w:val="0"/>
          <w:i w:val="0"/>
        </w:rPr>
        <w:t xml:space="preserve">Se usó SHAP sobre 800 clientes del test. </w:t>
      </w:r>
      <w:r>
        <w:rPr>
          <w:b w:val="0"/>
          <w:i w:val="0"/>
        </w:rPr>
        <w:t xml:space="preserve">Las columnas one-hot se sumaron por variable original, de modo que el negocio lee "mes" y no doce columnas. En este Random Forest, SHAP descompone el output de </w:t>
      </w:r>
      <w:r>
        <w:rPr>
          <w:b w:val="0"/>
          <w:i/>
        </w:rPr>
        <w:t>predict_proba</w:t>
      </w:r>
      <w:r>
        <w:rPr>
          <w:b w:val="0"/>
          <w:i w:val="0"/>
        </w:rPr>
        <w:t xml:space="preserve"> en puntos de score: el signo indica dirección y la magnitud cuánto mueve la predicción. El valor base de SHAP es el </w:t>
      </w:r>
      <w:r>
        <w:rPr>
          <w:b/>
          <w:i w:val="0"/>
        </w:rPr>
        <w:t>valor esperado del output del modelo</w:t>
      </w:r>
      <w:r>
        <w:rPr>
          <w:b w:val="0"/>
          <w:i w:val="0"/>
        </w:rPr>
        <w:t xml:space="preserve">, no una prevalencia por definición; aquí resulta 11,26 %, casi igual a la prevalencia del conjunto de desarrollo. </w:t>
      </w:r>
      <w:r>
        <w:rPr>
          <w:b/>
          <w:i w:val="0"/>
        </w:rPr>
        <w:t>Importante: que el modelo produzca predict_proba no demuestra calibración perfecta.</w:t>
      </w:r>
      <w:r>
        <w:rPr>
          <w:b w:val="0"/>
          <w:i w:val="0"/>
        </w:rPr>
        <w:t xml:space="preserve"> En este proyecto el score se usa principalmente para ordenar. Para interpretar, por ejemplo, 0,20 como "20 % de probabilidad real", debería evaluarse calibración (curva de calibración/Brier) y, si fuera necesario, calibrar el modelo. SHAP explica cómo razona el modelo; no demuestra causalidad.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8075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hap_glob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07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555555"/>
          <w:sz w:val="20"/>
        </w:rPr>
        <w:t>Figura 3. Importancia SHAP global agrupada por variable original (Random Forest).</w:t>
      </w:r>
    </w:p>
    <w:p>
      <w:pPr>
        <w:jc w:val="both"/>
      </w:pPr>
      <w:r>
        <w:rPr>
          <w:rFonts w:ascii="Arial" w:hAnsi="Arial" w:eastAsia="Arial"/>
          <w:b w:val="0"/>
          <w:i w:val="0"/>
          <w:sz w:val="24"/>
        </w:rPr>
      </w:r>
      <w:r>
        <w:rPr>
          <w:rFonts w:ascii="Arial" w:hAnsi="Arial" w:eastAsia="Arial"/>
          <w:b/>
          <w:i w:val="0"/>
          <w:sz w:val="24"/>
        </w:rPr>
      </w:r>
      <w:r>
        <w:rPr>
          <w:rFonts w:ascii="Arial" w:hAnsi="Arial" w:eastAsia="Arial"/>
          <w:b w:val="0"/>
          <w:i w:val="0"/>
          <w:sz w:val="24"/>
        </w:rPr>
      </w:r>
      <w:r>
        <w:rPr>
          <w:b w:val="0"/>
          <w:i w:val="0"/>
        </w:rPr>
        <w:t xml:space="preserve">Las tres variables más influyentes son macroeconómicas (nr.employed, emp.var.rate, euribor3m), seguidas por el canal (contact), el mes y el historial (poutcome, contactado_antes). </w:t>
      </w:r>
      <w:r>
        <w:rPr>
          <w:b/>
          <w:i w:val="0"/>
        </w:rPr>
        <w:t>La ablación sin variables macro produce la mayor caída de PR-AUC, y SHAP muestra que el modelo las usa intensamente. Esto es evidencia consistente con una fuerte dependencia del contexto macroeconómico, pero no permite atribuir causalmente el drift temporal únicamente a ese bloque: también pueden cambiar la campaña, la composición de clientes, el canal o la estacionalidad.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551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Ablación sobre el mismo test</w:t>
            </w:r>
          </w:p>
        </w:tc>
        <w:tc>
          <w:tcPr>
            <w:tcW w:type="dxa" w:w="1134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PR-AUC</w:t>
            </w:r>
          </w:p>
        </w:tc>
        <w:tc>
          <w:tcPr>
            <w:tcW w:type="dxa" w:w="1276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Δ PR-AUC</w:t>
            </w:r>
          </w:p>
        </w:tc>
        <w:tc>
          <w:tcPr>
            <w:tcW w:type="dxa" w:w="1559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Δ Recall @ 30 %</w:t>
            </w:r>
          </w:p>
        </w:tc>
        <w:tc>
          <w:tcPr>
            <w:tcW w:type="dxa" w:w="3118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Lectura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Modelo completo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0,485</w:t>
            </w:r>
          </w:p>
        </w:tc>
        <w:tc>
          <w:tcPr>
            <w:tcW w:type="dxa" w:w="1276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-</w:t>
            </w:r>
          </w:p>
        </w:tc>
        <w:tc>
          <w:tcPr>
            <w:tcW w:type="dxa" w:w="155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-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Referencia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H1: sin historial previo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0,436</w:t>
            </w:r>
          </w:p>
        </w:tc>
        <w:tc>
          <w:tcPr>
            <w:tcW w:type="dxa" w:w="1276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−4,9 p.p.</w:t>
            </w:r>
          </w:p>
        </w:tc>
        <w:tc>
          <w:tcPr>
            <w:tcW w:type="dxa" w:w="155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−1,0 p.p.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Respaldada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: aporte incremental claro.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H2: sin mes ni día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0,476</w:t>
            </w:r>
          </w:p>
        </w:tc>
        <w:tc>
          <w:tcPr>
            <w:tcW w:type="dxa" w:w="1276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−0,9 p.p.</w:t>
            </w:r>
          </w:p>
        </w:tc>
        <w:tc>
          <w:tcPr>
            <w:tcW w:type="dxa" w:w="155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−1,3 p.p.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Aporte menor; mezclado con el régimen.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Sin contexto macro</w:t>
            </w:r>
          </w:p>
        </w:tc>
        <w:tc>
          <w:tcPr>
            <w:tcW w:type="dxa" w:w="113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0,426</w:t>
            </w:r>
          </w:p>
        </w:tc>
        <w:tc>
          <w:tcPr>
            <w:tcW w:type="dxa" w:w="1276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−5,9 p.p.</w:t>
            </w:r>
          </w:p>
        </w:tc>
        <w:tc>
          <w:tcPr>
            <w:tcW w:type="dxa" w:w="155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−4,2 p.p.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Mayor caída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: recall 68,6 %.</w:t>
            </w:r>
          </w:p>
        </w:tc>
      </w:tr>
    </w:tbl>
    <w:p>
      <w:pPr>
        <w:jc w:val="center"/>
      </w:pPr>
      <w:r>
        <w:rPr>
          <w:rFonts w:ascii="Arial" w:hAnsi="Arial" w:eastAsia="Arial"/>
          <w:b w:val="0"/>
          <w:i/>
          <w:color w:val="555555"/>
          <w:sz w:val="20"/>
        </w:rPr>
        <w:t>Tabla 4. Ablaciones: se reentrena el mismo pipeline sin cada bloque. H3 se respalda descriptivamente (Figura 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30186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hap_loc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18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555555"/>
          <w:sz w:val="20"/>
        </w:rPr>
        <w:t>Figura 4. SHAP local de un suscriptor real del test dentro del top 30 %.</w:t>
      </w:r>
    </w:p>
    <w:p>
      <w:pPr>
        <w:jc w:val="both"/>
      </w:pPr>
      <w:r>
        <w:rPr>
          <w:rFonts w:ascii="Arial" w:hAnsi="Arial" w:eastAsia="Arial"/>
          <w:b/>
          <w:i w:val="0"/>
          <w:sz w:val="24"/>
        </w:rPr>
      </w:r>
      <w:r>
        <w:rPr>
          <w:rFonts w:ascii="Arial" w:hAnsi="Arial" w:eastAsia="Arial"/>
          <w:b w:val="0"/>
          <w:i w:val="0"/>
          <w:sz w:val="24"/>
        </w:rPr>
      </w:r>
      <w:r>
        <w:rPr>
          <w:b/>
          <w:i w:val="0"/>
        </w:rPr>
        <w:t xml:space="preserve">Caso local. </w:t>
      </w:r>
      <w:r>
        <w:rPr>
          <w:b w:val="0"/>
          <w:i w:val="0"/>
        </w:rPr>
        <w:t xml:space="preserve">La explicación parte del valor esperado del output del modelo (11,26 %, prácticamente igual a la prevalencia de desarrollo) y llega a un score de 19,9 %. La edad (59 años, +4,6 p.p.) y emp.var.rate = -1,8 (+3,3 p.p.) empujan el score hacia arriba; el lunes como día de contacto resta 1,5 puntos. Base + contribuciones reconstruye exactamente el score. </w:t>
      </w:r>
      <w:r>
        <w:rPr>
          <w:b/>
          <w:i w:val="0"/>
        </w:rPr>
        <w:t>Ese 19,9 % se interpreta aquí como score de ranking, no como probabilidad perfectamente calibrada.</w:t>
      </w:r>
      <w:r>
        <w:rPr>
          <w:b w:val="0"/>
          <w:i w:val="0"/>
        </w:rPr>
        <w:t xml:space="preserve"> La lectura de negocio tampoco es "llamar a mayores de 55": la edad es un atributo sensible y su uso debe auditarse (sección 6).</w:t>
      </w:r>
    </w:p>
    <w:p>
      <w:pPr>
        <w:jc w:val="both"/>
      </w:pPr>
      <w:r>
        <w:rPr>
          <w:rFonts w:ascii="Arial" w:hAnsi="Arial" w:eastAsia="Arial"/>
          <w:b/>
          <w:i w:val="0"/>
          <w:sz w:val="24"/>
        </w:rPr>
        <w:t>¿Un modelo por segmento?</w:t>
      </w:r>
      <w:r>
        <w:rPr>
          <w:rFonts w:ascii="Arial" w:hAnsi="Arial" w:eastAsia="Arial"/>
          <w:b w:val="0"/>
          <w:i w:val="0"/>
          <w:sz w:val="24"/>
        </w:rPr>
        <w:t xml:space="preserve"> Entrenar modelos separados por contacto previo, canal o franja etaria no mejora de forma relevante al modelo global (PR-AUC entre 0,474 y 0,486 frente a 0,485; Anexo C) y multiplica el mantenimiento: se conserva un modelo único.</w:t>
      </w:r>
    </w:p>
    <w:p>
      <w:pPr>
        <w:keepNext/>
        <w:spacing w:before="144" w:line="276" w:lineRule="auto"/>
      </w:pPr>
      <w:r>
        <w:rPr>
          <w:rFonts w:ascii="Arial" w:hAnsi="Arial" w:eastAsia="Arial"/>
          <w:b/>
          <w:i w:val="0"/>
          <w:color w:val="B71C1C"/>
          <w:sz w:val="32"/>
        </w:rPr>
        <w:t>6. Impacto en el negocio, riesgos y ética</w:t>
      </w:r>
    </w:p>
    <w:p>
      <w:pPr>
        <w:jc w:val="both"/>
      </w:pPr>
      <w:r>
        <w:rPr>
          <w:rFonts w:ascii="Arial" w:hAnsi="Arial" w:eastAsia="Arial"/>
          <w:b w:val="0"/>
          <w:i w:val="0"/>
          <w:sz w:val="24"/>
        </w:rPr>
        <w:t>Sin ranking, capturar una fracción R de las suscripciones exige llamar a ~R de la cartera; con el modelo se logra llamando al 30 %. Supuestos paramétricos (no costos reales): 41.000 clientes, USD 1,20 por llamada, CAPEX USD 9.400 y OPEX anual USD 3.360.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798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Escenario</w:t>
            </w:r>
          </w:p>
        </w:tc>
        <w:tc>
          <w:tcPr>
            <w:tcW w:type="dxa" w:w="1554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Recall @ 30 %</w:t>
            </w:r>
          </w:p>
        </w:tc>
        <w:tc>
          <w:tcPr>
            <w:tcW w:type="dxa" w:w="1710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Llamadas evitadas</w:t>
            </w:r>
          </w:p>
        </w:tc>
        <w:tc>
          <w:tcPr>
            <w:tcW w:type="dxa" w:w="1710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Ahorro por campaña</w:t>
            </w:r>
          </w:p>
        </w:tc>
        <w:tc>
          <w:tcPr>
            <w:tcW w:type="dxa" w:w="1865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Neto año 1 (1 campaña)</w:t>
            </w:r>
          </w:p>
        </w:tc>
      </w:tr>
      <w:tr>
        <w:tc>
          <w:tcPr>
            <w:tcW w:type="dxa" w:w="279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Meta de diseño</w:t>
            </w:r>
          </w:p>
        </w:tc>
        <w:tc>
          <w:tcPr>
            <w:tcW w:type="dxa" w:w="15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70,0 %</w:t>
            </w:r>
          </w:p>
        </w:tc>
        <w:tc>
          <w:tcPr>
            <w:tcW w:type="dxa" w:w="171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16.400</w:t>
            </w:r>
          </w:p>
        </w:tc>
        <w:tc>
          <w:tcPr>
            <w:tcW w:type="dxa" w:w="171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USD 19.680</w:t>
            </w:r>
          </w:p>
        </w:tc>
        <w:tc>
          <w:tcPr>
            <w:tcW w:type="dxa" w:w="186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USD 6.920</w:t>
            </w:r>
          </w:p>
        </w:tc>
      </w:tr>
      <w:tr>
        <w:tc>
          <w:tcPr>
            <w:tcW w:type="dxa" w:w="279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Test estable</w:t>
            </w:r>
          </w:p>
        </w:tc>
        <w:tc>
          <w:tcPr>
            <w:tcW w:type="dxa" w:w="15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72,8 %</w:t>
            </w:r>
          </w:p>
        </w:tc>
        <w:tc>
          <w:tcPr>
            <w:tcW w:type="dxa" w:w="171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17.566</w:t>
            </w:r>
          </w:p>
        </w:tc>
        <w:tc>
          <w:tcPr>
            <w:tcW w:type="dxa" w:w="171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USD 21.080</w:t>
            </w:r>
          </w:p>
        </w:tc>
        <w:tc>
          <w:tcPr>
            <w:tcW w:type="dxa" w:w="186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USD 8.320</w:t>
            </w:r>
          </w:p>
        </w:tc>
      </w:tr>
      <w:tr>
        <w:tc>
          <w:tcPr>
            <w:tcW w:type="dxa" w:w="279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Test temporal</w:t>
            </w:r>
          </w:p>
        </w:tc>
        <w:tc>
          <w:tcPr>
            <w:tcW w:type="dxa" w:w="15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52,9 %</w:t>
            </w:r>
          </w:p>
        </w:tc>
        <w:tc>
          <w:tcPr>
            <w:tcW w:type="dxa" w:w="171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9.371</w:t>
            </w:r>
          </w:p>
        </w:tc>
        <w:tc>
          <w:tcPr>
            <w:tcW w:type="dxa" w:w="171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USD 11.245</w:t>
            </w:r>
          </w:p>
        </w:tc>
        <w:tc>
          <w:tcPr>
            <w:tcW w:type="dxa" w:w="186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-USD 1.515</w:t>
            </w:r>
          </w:p>
        </w:tc>
      </w:tr>
    </w:tbl>
    <w:p>
      <w:pPr>
        <w:jc w:val="center"/>
      </w:pPr>
      <w:r>
        <w:rPr>
          <w:rFonts w:ascii="Arial" w:hAnsi="Arial" w:eastAsia="Arial"/>
          <w:b w:val="0"/>
          <w:i/>
          <w:color w:val="555555"/>
          <w:sz w:val="20"/>
        </w:rPr>
        <w:t>Tabla 5. Escenario económico con los resultados medidos.</w:t>
      </w:r>
    </w:p>
    <w:p>
      <w:pPr>
        <w:jc w:val="both"/>
      </w:pPr>
      <w:r>
        <w:rPr>
          <w:rFonts w:ascii="Arial" w:hAnsi="Arial" w:eastAsia="Arial"/>
          <w:b w:val="0"/>
          <w:i w:val="0"/>
          <w:sz w:val="24"/>
        </w:rPr>
        <w:t>El beneficio depende del régimen: es positivo si el desempeño estable se sostiene y negativo en el primer año si se repite la degradación temporal. Con dos o más campañas anuales el CAPEX se amortiza incluso en el escenario temporal, lo que refuerza la conveniencia de un piloto antes de invertir.</w:t>
      </w:r>
    </w:p>
    <w:p>
      <w:pPr>
        <w:jc w:val="both"/>
      </w:pPr>
      <w:r>
        <w:rPr>
          <w:rFonts w:ascii="Arial" w:hAnsi="Arial" w:eastAsia="Arial"/>
          <w:b/>
          <w:i w:val="0"/>
          <w:sz w:val="24"/>
        </w:rPr>
      </w:r>
      <w:r>
        <w:rPr>
          <w:rFonts w:ascii="Arial" w:hAnsi="Arial" w:eastAsia="Arial"/>
          <w:b w:val="0"/>
          <w:i w:val="0"/>
          <w:sz w:val="24"/>
        </w:rPr>
      </w:r>
      <w:r>
        <w:rPr>
          <w:b/>
          <w:i w:val="0"/>
        </w:rPr>
        <w:t xml:space="preserve">Auditoría ética. </w:t>
      </w:r>
      <w:r>
        <w:rPr>
          <w:b w:val="0"/>
          <w:i w:val="0"/>
        </w:rPr>
        <w:t xml:space="preserve">El ranking selecciona al 89 % de los mayores de 60 (tasa observada de suscripción 41 %) y al 25 % de 45-59 años. El recall por estado civil va de 60 % (divorciados) a 82 % (solteros). Parte de estas diferencias coexiste con prevalencias distintas entre grupos, pero </w:t>
      </w:r>
      <w:r>
        <w:rPr>
          <w:b/>
          <w:i w:val="0"/>
        </w:rPr>
        <w:t>eso no demuestra ausencia de sesgo ni justifica automáticamente el trato diferencial.</w:t>
      </w:r>
      <w:r>
        <w:rPr>
          <w:b w:val="0"/>
          <w:i w:val="0"/>
        </w:rPr>
        <w:t xml:space="preserve"> Como ciertos grupos reciben sistemáticamente más o menos ofertas, se requiere revisión normativa y de negocio, comparación con un modelo sin atributos sensibles y monitoreo continuo (Anexo 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213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Riesgo</w:t>
            </w:r>
          </w:p>
        </w:tc>
        <w:tc>
          <w:tcPr>
            <w:tcW w:type="dxa" w:w="6425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Mitigación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Cambio de régimen / drift macro</w:t>
            </w:r>
          </w:p>
        </w:tc>
        <w:tc>
          <w:tcPr>
            <w:tcW w:type="dxa" w:w="642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Reentrenar por campaña, monitorear distribución y Recall @ 30 %, alertas de degradación.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Sesgo por edad o estado civil</w:t>
            </w:r>
          </w:p>
        </w:tc>
        <w:tc>
          <w:tcPr>
            <w:tcW w:type="dxa" w:w="642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Auditoría por grupo en cada campaña; evaluar un modelo sin atributos sensibles.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Profecía autocumplida</w:t>
            </w:r>
          </w:p>
        </w:tc>
        <w:tc>
          <w:tcPr>
            <w:tcW w:type="dxa" w:w="642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Reservar 5-10 % de llamadas de exploración fuera del ranking.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Datos antiguos y europeos</w:t>
            </w:r>
          </w:p>
        </w:tc>
        <w:tc>
          <w:tcPr>
            <w:tcW w:type="dxa" w:w="642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Tratar el caso como prueba del método, no como política comercial vigente.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Privacidad</w:t>
            </w:r>
          </w:p>
        </w:tc>
        <w:tc>
          <w:tcPr>
            <w:tcW w:type="dxa" w:w="642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Minimización de datos, control de accesos, retención definida y trazabilidad.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Arial" w:hAnsi="Arial" w:eastAsia="Arial"/>
          <w:b/>
          <w:i w:val="0"/>
          <w:sz w:val="24"/>
        </w:rPr>
        <w:t>Escalabilidad.</w:t>
      </w:r>
      <w:r>
        <w:rPr>
          <w:rFonts w:ascii="Arial" w:hAnsi="Arial" w:eastAsia="Arial"/>
          <w:b w:val="0"/>
          <w:i w:val="0"/>
          <w:sz w:val="24"/>
        </w:rPr>
        <w:t xml:space="preserve"> El pipeline entrena en minutos y puntúa carteras completas en segundos; puede extenderse a otros productos reemplazando la variable objetivo y repitiendo la auditoría.</w:t>
      </w:r>
    </w:p>
    <w:p>
      <w:pPr>
        <w:keepNext/>
        <w:spacing w:before="144" w:line="276" w:lineRule="auto"/>
      </w:pPr>
      <w:r>
        <w:rPr>
          <w:rFonts w:ascii="Arial" w:hAnsi="Arial" w:eastAsia="Arial"/>
          <w:b/>
          <w:i w:val="0"/>
          <w:color w:val="B71C1C"/>
          <w:sz w:val="32"/>
        </w:rPr>
        <w:t>7. Conclusiones y recomendaciones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4"/>
        </w:rPr>
        <w:t>El problema se formuló como priorización bajo capacidad limitada; Recall @ 30 % y PR-AUC reflejan la decisión mejor que accuracy.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4"/>
        </w:rPr>
      </w:r>
      <w:r>
        <w:t>Random Forest, seleccionado como candidato provisional con una regla definida ex ante, captura 72,8 % de las suscripciones con 30 % de las llamadas en distribución estable.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4"/>
        </w:rPr>
      </w:r>
      <w:r>
        <w:rPr>
          <w:b w:val="0"/>
          <w:i w:val="0"/>
        </w:rPr>
        <w:t xml:space="preserve">En el período posterior la captura cae a 52,9 %. SHAP y las ablaciones muestran una fuerte utilización del bloque macroeconómico; la evidencia es consistente con dependencia del contexto, </w:t>
      </w:r>
      <w:r>
        <w:rPr>
          <w:b/>
          <w:i w:val="0"/>
        </w:rPr>
        <w:t>pero no permite atribuir causalmente toda la degradación temporal a esas variables.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4"/>
        </w:rPr>
        <w:t>H1 queda respaldada por ablación, H3 descriptivamente y H2 solo parcialmente.</w:t>
      </w:r>
    </w:p>
    <w:p>
      <w:pPr>
        <w:pStyle w:val="ListBullet"/>
      </w:pPr>
      <w:r>
        <w:rPr>
          <w:rFonts w:ascii="Arial" w:hAnsi="Arial" w:eastAsia="Arial"/>
          <w:b w:val="0"/>
          <w:i w:val="0"/>
          <w:sz w:val="24"/>
        </w:rPr>
        <w:t>El valor económico es real pero condicional: positivo en régimen estable, negativo el primer año si se repite la degradación.</w:t>
      </w:r>
    </w:p>
    <w:p>
      <w:pPr>
        <w:jc w:val="both"/>
      </w:pPr>
      <w:r>
        <w:rPr>
          <w:rFonts w:ascii="Arial" w:hAnsi="Arial" w:eastAsia="Arial"/>
          <w:b/>
          <w:i w:val="0"/>
          <w:sz w:val="24"/>
        </w:rPr>
      </w:r>
      <w:r>
        <w:rPr>
          <w:rFonts w:ascii="Arial" w:hAnsi="Arial" w:eastAsia="Arial"/>
          <w:b w:val="0"/>
          <w:i w:val="0"/>
          <w:sz w:val="24"/>
        </w:rPr>
      </w:r>
      <w:r/>
      <w:r>
        <w:t>Recomendación. No desplegar: reentrenar con una campaña actual y ejecutar un piloto A/B con igual presupuesto. Medir conversión, costo por suscripción, Recall @ 30 %, drift y grupos sensibles; escalar solo si el piloto confirma el beneficio.</w:t>
      </w:r>
    </w:p>
    <w:p>
      <w:pPr>
        <w:keepNext/>
        <w:spacing w:before="144" w:line="276" w:lineRule="auto"/>
      </w:pPr>
      <w:r>
        <w:rPr>
          <w:rFonts w:ascii="Arial" w:hAnsi="Arial" w:eastAsia="Arial"/>
          <w:b/>
          <w:i w:val="0"/>
          <w:color w:val="B71C1C"/>
          <w:sz w:val="32"/>
        </w:rPr>
        <w:t>Anexo A. Trazabilidad con la consigna y la pre-entrega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12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Peso</w:t>
            </w:r>
          </w:p>
        </w:tc>
        <w:tc>
          <w:tcPr>
            <w:tcW w:type="dxa" w:w="3707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4819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Evidencia en el informe</w:t>
            </w:r>
          </w:p>
        </w:tc>
      </w:tr>
      <w:tr>
        <w:tc>
          <w:tcPr>
            <w:tcW w:type="dxa" w:w="111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20 %</w:t>
            </w:r>
          </w:p>
        </w:tc>
        <w:tc>
          <w:tcPr>
            <w:tcW w:type="dxa" w:w="3707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Problema y alineación con negocio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Secciones 1-2: decisión, objetivo ex ante, benchmark, costo del error.</w:t>
            </w:r>
          </w:p>
        </w:tc>
      </w:tr>
      <w:tr>
        <w:tc>
          <w:tcPr>
            <w:tcW w:type="dxa" w:w="111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20 %</w:t>
            </w:r>
          </w:p>
        </w:tc>
        <w:tc>
          <w:tcPr>
            <w:tcW w:type="dxa" w:w="3707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Datos, metodología y justificación técnica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Sección 3: calidad con cifras, fuga, CRISP-DM, cuatro diseños de validación.</w:t>
            </w:r>
          </w:p>
        </w:tc>
      </w:tr>
      <w:tr>
        <w:tc>
          <w:tcPr>
            <w:tcW w:type="dxa" w:w="111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15 %</w:t>
            </w:r>
          </w:p>
        </w:tc>
        <w:tc>
          <w:tcPr>
            <w:tcW w:type="dxa" w:w="3707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Selección y defensa del modelo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Sección 4: CV, regla ex ante, desempate temporal, Tablas 1-3.</w:t>
            </w:r>
          </w:p>
        </w:tc>
      </w:tr>
      <w:tr>
        <w:tc>
          <w:tcPr>
            <w:tcW w:type="dxa" w:w="111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15 %</w:t>
            </w:r>
          </w:p>
        </w:tc>
        <w:tc>
          <w:tcPr>
            <w:tcW w:type="dxa" w:w="3707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Calidad de las métricas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PR-AUC con piso, Recall/Precision/Lift @ 30 %, F1, deciles, temporal.</w:t>
            </w:r>
          </w:p>
        </w:tc>
      </w:tr>
      <w:tr>
        <w:tc>
          <w:tcPr>
            <w:tcW w:type="dxa" w:w="111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15 %</w:t>
            </w:r>
          </w:p>
        </w:tc>
        <w:tc>
          <w:tcPr>
            <w:tcW w:type="dxa" w:w="3707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Interpretación y cuantificación de valor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Sección 5 (SHAP, ablaciones) y sección 6 (escenario económico).</w:t>
            </w:r>
          </w:p>
        </w:tc>
      </w:tr>
      <w:tr>
        <w:tc>
          <w:tcPr>
            <w:tcW w:type="dxa" w:w="111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5 %</w:t>
            </w:r>
          </w:p>
        </w:tc>
        <w:tc>
          <w:tcPr>
            <w:tcW w:type="dxa" w:w="3707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Ética y privacidad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Sección 6: auditoría por grupos, riesgos y mitigaciones.</w:t>
            </w:r>
          </w:p>
        </w:tc>
      </w:tr>
      <w:tr>
        <w:tc>
          <w:tcPr>
            <w:tcW w:type="dxa" w:w="1112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10 %</w:t>
            </w:r>
          </w:p>
        </w:tc>
        <w:tc>
          <w:tcPr>
            <w:tcW w:type="dxa" w:w="3707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Impacto y claridad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Resumen en lenguaje no técnico, figuras y recomendación proporcional.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855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Comprometido en la pre-entrega</w:t>
            </w:r>
          </w:p>
        </w:tc>
        <w:tc>
          <w:tcPr>
            <w:tcW w:type="dxa" w:w="5783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Estado en la entrega final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Dataset bank-additional-full.csv y limpieza tomada</w:t>
            </w:r>
          </w:p>
        </w:tc>
        <w:tc>
          <w:tcPr>
            <w:tcW w:type="dxa" w:w="578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Aplicado; 12 duplicados eliminados.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Decisiones pendientes</w:t>
            </w:r>
          </w:p>
        </w:tc>
        <w:tc>
          <w:tcPr>
            <w:tcW w:type="dxa" w:w="5783"/>
          </w:tcPr>
          <w:p>
            <w:r>
              <w:t>Cerradas: campaign sin tope, month categórica y sin ponderación. Score usado para ranking; calibración absoluta no asumida.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CV 5 folds + holdout 20 % + validación temporal</w:t>
            </w:r>
          </w:p>
        </w:tc>
        <w:tc>
          <w:tcPr>
            <w:tcW w:type="dxa" w:w="578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Ejecutado (Tablas 1-3).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Lift por deciles, F1 y baselines</w:t>
            </w:r>
          </w:p>
        </w:tc>
        <w:tc>
          <w:tcPr>
            <w:tcW w:type="dxa" w:w="578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Anexo B y Tabla 2.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Auditoría por edad y estado civil</w:t>
            </w:r>
          </w:p>
        </w:tc>
        <w:tc>
          <w:tcPr>
            <w:tcW w:type="dxa" w:w="5783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Sección 6 y Anexo D.</w:t>
            </w:r>
          </w:p>
        </w:tc>
      </w:tr>
    </w:tbl>
    <w:p>
      <w:pPr>
        <w:spacing w:after="40"/>
      </w:pPr>
    </w:p>
    <w:p>
      <w:pPr>
        <w:keepNext/>
        <w:spacing w:before="144" w:line="276" w:lineRule="auto"/>
      </w:pPr>
      <w:r>
        <w:rPr>
          <w:rFonts w:ascii="Arial" w:hAnsi="Arial" w:eastAsia="Arial"/>
          <w:b/>
          <w:i w:val="0"/>
          <w:color w:val="B71C1C"/>
          <w:sz w:val="32"/>
        </w:rPr>
        <w:t>Anexo B. Lift por deciles (Random Forest, test estable)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106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Decil</w:t>
            </w:r>
          </w:p>
        </w:tc>
        <w:tc>
          <w:tcPr>
            <w:tcW w:type="dxa" w:w="1580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Clientes</w:t>
            </w:r>
          </w:p>
        </w:tc>
        <w:tc>
          <w:tcPr>
            <w:tcW w:type="dxa" w:w="2054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Suscripciones</w:t>
            </w:r>
          </w:p>
        </w:tc>
        <w:tc>
          <w:tcPr>
            <w:tcW w:type="dxa" w:w="1580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Tasa</w:t>
            </w:r>
          </w:p>
        </w:tc>
        <w:tc>
          <w:tcPr>
            <w:tcW w:type="dxa" w:w="1264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Lift</w:t>
            </w:r>
          </w:p>
        </w:tc>
        <w:tc>
          <w:tcPr>
            <w:tcW w:type="dxa" w:w="2054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Recall acumulado</w:t>
            </w:r>
          </w:p>
        </w:tc>
      </w:tr>
      <w:tr>
        <w:tc>
          <w:tcPr>
            <w:tcW w:type="dxa" w:w="1106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8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824</w:t>
            </w:r>
          </w:p>
        </w:tc>
        <w:tc>
          <w:tcPr>
            <w:tcW w:type="dxa" w:w="20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444</w:t>
            </w:r>
          </w:p>
        </w:tc>
        <w:tc>
          <w:tcPr>
            <w:tcW w:type="dxa" w:w="158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53,9 %</w:t>
            </w:r>
          </w:p>
        </w:tc>
        <w:tc>
          <w:tcPr>
            <w:tcW w:type="dxa" w:w="126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4,78</w:t>
            </w:r>
          </w:p>
        </w:tc>
        <w:tc>
          <w:tcPr>
            <w:tcW w:type="dxa" w:w="20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47,8 %</w:t>
            </w:r>
          </w:p>
        </w:tc>
      </w:tr>
      <w:tr>
        <w:tc>
          <w:tcPr>
            <w:tcW w:type="dxa" w:w="1106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158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824</w:t>
            </w:r>
          </w:p>
        </w:tc>
        <w:tc>
          <w:tcPr>
            <w:tcW w:type="dxa" w:w="20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164</w:t>
            </w:r>
          </w:p>
        </w:tc>
        <w:tc>
          <w:tcPr>
            <w:tcW w:type="dxa" w:w="158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19,9 %</w:t>
            </w:r>
          </w:p>
        </w:tc>
        <w:tc>
          <w:tcPr>
            <w:tcW w:type="dxa" w:w="126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1,77</w:t>
            </w:r>
          </w:p>
        </w:tc>
        <w:tc>
          <w:tcPr>
            <w:tcW w:type="dxa" w:w="20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65,5 %</w:t>
            </w:r>
          </w:p>
        </w:tc>
      </w:tr>
      <w:tr>
        <w:tc>
          <w:tcPr>
            <w:tcW w:type="dxa" w:w="1106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158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823</w:t>
            </w:r>
          </w:p>
        </w:tc>
        <w:tc>
          <w:tcPr>
            <w:tcW w:type="dxa" w:w="20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68</w:t>
            </w:r>
          </w:p>
        </w:tc>
        <w:tc>
          <w:tcPr>
            <w:tcW w:type="dxa" w:w="158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8,3 %</w:t>
            </w:r>
          </w:p>
        </w:tc>
        <w:tc>
          <w:tcPr>
            <w:tcW w:type="dxa" w:w="126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0,73</w:t>
            </w:r>
          </w:p>
        </w:tc>
        <w:tc>
          <w:tcPr>
            <w:tcW w:type="dxa" w:w="20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72,8 %</w:t>
            </w:r>
          </w:p>
        </w:tc>
      </w:tr>
      <w:tr>
        <w:tc>
          <w:tcPr>
            <w:tcW w:type="dxa" w:w="1106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158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824</w:t>
            </w:r>
          </w:p>
        </w:tc>
        <w:tc>
          <w:tcPr>
            <w:tcW w:type="dxa" w:w="20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42</w:t>
            </w:r>
          </w:p>
        </w:tc>
        <w:tc>
          <w:tcPr>
            <w:tcW w:type="dxa" w:w="158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5,1 %</w:t>
            </w:r>
          </w:p>
        </w:tc>
        <w:tc>
          <w:tcPr>
            <w:tcW w:type="dxa" w:w="126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0,45</w:t>
            </w:r>
          </w:p>
        </w:tc>
        <w:tc>
          <w:tcPr>
            <w:tcW w:type="dxa" w:w="20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77,4 %</w:t>
            </w:r>
          </w:p>
        </w:tc>
      </w:tr>
      <w:tr>
        <w:tc>
          <w:tcPr>
            <w:tcW w:type="dxa" w:w="1106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158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823</w:t>
            </w:r>
          </w:p>
        </w:tc>
        <w:tc>
          <w:tcPr>
            <w:tcW w:type="dxa" w:w="20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48</w:t>
            </w:r>
          </w:p>
        </w:tc>
        <w:tc>
          <w:tcPr>
            <w:tcW w:type="dxa" w:w="158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5,8 %</w:t>
            </w:r>
          </w:p>
        </w:tc>
        <w:tc>
          <w:tcPr>
            <w:tcW w:type="dxa" w:w="126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0,52</w:t>
            </w:r>
          </w:p>
        </w:tc>
        <w:tc>
          <w:tcPr>
            <w:tcW w:type="dxa" w:w="20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82,5 %</w:t>
            </w:r>
          </w:p>
        </w:tc>
      </w:tr>
      <w:tr>
        <w:tc>
          <w:tcPr>
            <w:tcW w:type="dxa" w:w="1106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6</w:t>
            </w:r>
          </w:p>
        </w:tc>
        <w:tc>
          <w:tcPr>
            <w:tcW w:type="dxa" w:w="158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824</w:t>
            </w:r>
          </w:p>
        </w:tc>
        <w:tc>
          <w:tcPr>
            <w:tcW w:type="dxa" w:w="20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33</w:t>
            </w:r>
          </w:p>
        </w:tc>
        <w:tc>
          <w:tcPr>
            <w:tcW w:type="dxa" w:w="158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4,0 %</w:t>
            </w:r>
          </w:p>
        </w:tc>
        <w:tc>
          <w:tcPr>
            <w:tcW w:type="dxa" w:w="126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0,36</w:t>
            </w:r>
          </w:p>
        </w:tc>
        <w:tc>
          <w:tcPr>
            <w:tcW w:type="dxa" w:w="20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86,1 %</w:t>
            </w:r>
          </w:p>
        </w:tc>
      </w:tr>
      <w:tr>
        <w:tc>
          <w:tcPr>
            <w:tcW w:type="dxa" w:w="1106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158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824</w:t>
            </w:r>
          </w:p>
        </w:tc>
        <w:tc>
          <w:tcPr>
            <w:tcW w:type="dxa" w:w="20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40</w:t>
            </w:r>
          </w:p>
        </w:tc>
        <w:tc>
          <w:tcPr>
            <w:tcW w:type="dxa" w:w="158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4,9 %</w:t>
            </w:r>
          </w:p>
        </w:tc>
        <w:tc>
          <w:tcPr>
            <w:tcW w:type="dxa" w:w="126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0,43</w:t>
            </w:r>
          </w:p>
        </w:tc>
        <w:tc>
          <w:tcPr>
            <w:tcW w:type="dxa" w:w="20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90,4 %</w:t>
            </w:r>
          </w:p>
        </w:tc>
      </w:tr>
      <w:tr>
        <w:tc>
          <w:tcPr>
            <w:tcW w:type="dxa" w:w="1106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</w:t>
            </w:r>
          </w:p>
        </w:tc>
        <w:tc>
          <w:tcPr>
            <w:tcW w:type="dxa" w:w="158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823</w:t>
            </w:r>
          </w:p>
        </w:tc>
        <w:tc>
          <w:tcPr>
            <w:tcW w:type="dxa" w:w="20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33</w:t>
            </w:r>
          </w:p>
        </w:tc>
        <w:tc>
          <w:tcPr>
            <w:tcW w:type="dxa" w:w="158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4,0 %</w:t>
            </w:r>
          </w:p>
        </w:tc>
        <w:tc>
          <w:tcPr>
            <w:tcW w:type="dxa" w:w="126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0,36</w:t>
            </w:r>
          </w:p>
        </w:tc>
        <w:tc>
          <w:tcPr>
            <w:tcW w:type="dxa" w:w="20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94,0 %</w:t>
            </w:r>
          </w:p>
        </w:tc>
      </w:tr>
      <w:tr>
        <w:tc>
          <w:tcPr>
            <w:tcW w:type="dxa" w:w="1106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9</w:t>
            </w:r>
          </w:p>
        </w:tc>
        <w:tc>
          <w:tcPr>
            <w:tcW w:type="dxa" w:w="158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824</w:t>
            </w:r>
          </w:p>
        </w:tc>
        <w:tc>
          <w:tcPr>
            <w:tcW w:type="dxa" w:w="20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58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3,2 %</w:t>
            </w:r>
          </w:p>
        </w:tc>
        <w:tc>
          <w:tcPr>
            <w:tcW w:type="dxa" w:w="126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0,28</w:t>
            </w:r>
          </w:p>
        </w:tc>
        <w:tc>
          <w:tcPr>
            <w:tcW w:type="dxa" w:w="20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96,8 %</w:t>
            </w:r>
          </w:p>
        </w:tc>
      </w:tr>
      <w:tr>
        <w:tc>
          <w:tcPr>
            <w:tcW w:type="dxa" w:w="1106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58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823</w:t>
            </w:r>
          </w:p>
        </w:tc>
        <w:tc>
          <w:tcPr>
            <w:tcW w:type="dxa" w:w="20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58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3,6 %</w:t>
            </w:r>
          </w:p>
        </w:tc>
        <w:tc>
          <w:tcPr>
            <w:tcW w:type="dxa" w:w="126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0,32</w:t>
            </w:r>
          </w:p>
        </w:tc>
        <w:tc>
          <w:tcPr>
            <w:tcW w:type="dxa" w:w="2054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100,0 %</w:t>
            </w:r>
          </w:p>
        </w:tc>
      </w:tr>
    </w:tbl>
    <w:p>
      <w:pPr>
        <w:spacing w:after="40"/>
      </w:pPr>
    </w:p>
    <w:p>
      <w:pPr>
        <w:keepNext/>
        <w:spacing w:before="144" w:line="276" w:lineRule="auto"/>
      </w:pPr>
      <w:r>
        <w:rPr>
          <w:rFonts w:ascii="Arial" w:hAnsi="Arial" w:eastAsia="Arial"/>
          <w:b/>
          <w:i w:val="0"/>
          <w:color w:val="B71C1C"/>
          <w:sz w:val="32"/>
        </w:rPr>
        <w:t>Anexo C. Modelo global vs. modelos por segmento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855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Estrategia</w:t>
            </w:r>
          </w:p>
        </w:tc>
        <w:tc>
          <w:tcPr>
            <w:tcW w:type="dxa" w:w="1928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PR-AUC</w:t>
            </w:r>
          </w:p>
        </w:tc>
        <w:tc>
          <w:tcPr>
            <w:tcW w:type="dxa" w:w="1928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ROC-AUC</w:t>
            </w:r>
          </w:p>
        </w:tc>
        <w:tc>
          <w:tcPr>
            <w:tcW w:type="dxa" w:w="1928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Recall @ 30 %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Modelo global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0,485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0,803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72,8 %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Por contacto previo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0,486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0,805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72,4 %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Por canal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0,484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0,804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72,7 %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Por franja etaria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0,474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0,802</w:t>
            </w:r>
          </w:p>
        </w:tc>
        <w:tc>
          <w:tcPr>
            <w:tcW w:type="dxa" w:w="192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72,7 %</w:t>
            </w:r>
          </w:p>
        </w:tc>
      </w:tr>
    </w:tbl>
    <w:p>
      <w:pPr>
        <w:spacing w:after="40"/>
      </w:pPr>
    </w:p>
    <w:p>
      <w:pPr>
        <w:keepNext/>
        <w:spacing w:before="144" w:line="276" w:lineRule="auto"/>
      </w:pPr>
      <w:r>
        <w:rPr>
          <w:rFonts w:ascii="Arial" w:hAnsi="Arial" w:eastAsia="Arial"/>
          <w:b/>
          <w:i w:val="0"/>
          <w:color w:val="B71C1C"/>
          <w:sz w:val="32"/>
        </w:rPr>
        <w:t>Anexo D. Auditoría por grupos (test estable, top 30 %)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309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Atributo</w:t>
            </w:r>
          </w:p>
        </w:tc>
        <w:tc>
          <w:tcPr>
            <w:tcW w:type="dxa" w:w="1190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Grupo</w:t>
            </w:r>
          </w:p>
        </w:tc>
        <w:tc>
          <w:tcPr>
            <w:tcW w:type="dxa" w:w="1071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Clientes</w:t>
            </w:r>
          </w:p>
        </w:tc>
        <w:tc>
          <w:tcPr>
            <w:tcW w:type="dxa" w:w="1071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Tasa real</w:t>
            </w:r>
          </w:p>
        </w:tc>
        <w:tc>
          <w:tcPr>
            <w:tcW w:type="dxa" w:w="1428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Selecc. del grupo</w:t>
            </w:r>
          </w:p>
        </w:tc>
        <w:tc>
          <w:tcPr>
            <w:tcW w:type="dxa" w:w="1190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% de la cartera</w:t>
            </w:r>
          </w:p>
        </w:tc>
        <w:tc>
          <w:tcPr>
            <w:tcW w:type="dxa" w:w="1190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% del top 30</w:t>
            </w:r>
          </w:p>
        </w:tc>
        <w:tc>
          <w:tcPr>
            <w:tcW w:type="dxa" w:w="1190"/>
            <w:shd w:val="clear" w:color="auto" w:fill="E8E8E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/>
                <w:i w:val="0"/>
                <w:sz w:val="20"/>
              </w:rPr>
              <w:t>Recall del grupo</w:t>
            </w:r>
          </w:p>
        </w:tc>
      </w:tr>
      <w:tr>
        <w:tc>
          <w:tcPr>
            <w:tcW w:type="dxa" w:w="130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edad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&lt;30</w:t>
            </w:r>
          </w:p>
        </w:tc>
        <w:tc>
          <w:tcPr>
            <w:tcW w:type="dxa" w:w="107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1.077</w:t>
            </w:r>
          </w:p>
        </w:tc>
        <w:tc>
          <w:tcPr>
            <w:tcW w:type="dxa" w:w="107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15,6 %</w:t>
            </w:r>
          </w:p>
        </w:tc>
        <w:tc>
          <w:tcPr>
            <w:tcW w:type="dxa" w:w="142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49,0 %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13,1 %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21,4 %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85,7 %</w:t>
            </w:r>
          </w:p>
        </w:tc>
      </w:tr>
      <w:tr>
        <w:tc>
          <w:tcPr>
            <w:tcW w:type="dxa" w:w="130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edad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30-44</w:t>
            </w:r>
          </w:p>
        </w:tc>
        <w:tc>
          <w:tcPr>
            <w:tcW w:type="dxa" w:w="107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4.591</w:t>
            </w:r>
          </w:p>
        </w:tc>
        <w:tc>
          <w:tcPr>
            <w:tcW w:type="dxa" w:w="107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10,5 %</w:t>
            </w:r>
          </w:p>
        </w:tc>
        <w:tc>
          <w:tcPr>
            <w:tcW w:type="dxa" w:w="142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25,5 %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55,7 %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47,5 %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65,6 %</w:t>
            </w:r>
          </w:p>
        </w:tc>
      </w:tr>
      <w:tr>
        <w:tc>
          <w:tcPr>
            <w:tcW w:type="dxa" w:w="130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edad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45-59</w:t>
            </w:r>
          </w:p>
        </w:tc>
        <w:tc>
          <w:tcPr>
            <w:tcW w:type="dxa" w:w="107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2.353</w:t>
            </w:r>
          </w:p>
        </w:tc>
        <w:tc>
          <w:tcPr>
            <w:tcW w:type="dxa" w:w="107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8,2 %</w:t>
            </w:r>
          </w:p>
        </w:tc>
        <w:tc>
          <w:tcPr>
            <w:tcW w:type="dxa" w:w="142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24,6 %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28,6 %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23,4 %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67,7 %</w:t>
            </w:r>
          </w:p>
        </w:tc>
      </w:tr>
      <w:tr>
        <w:tc>
          <w:tcPr>
            <w:tcW w:type="dxa" w:w="130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edad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60+</w:t>
            </w:r>
          </w:p>
        </w:tc>
        <w:tc>
          <w:tcPr>
            <w:tcW w:type="dxa" w:w="107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215</w:t>
            </w:r>
          </w:p>
        </w:tc>
        <w:tc>
          <w:tcPr>
            <w:tcW w:type="dxa" w:w="107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40,9 %</w:t>
            </w:r>
          </w:p>
        </w:tc>
        <w:tc>
          <w:tcPr>
            <w:tcW w:type="dxa" w:w="142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88,8 %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2,6 %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7,7 %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98,9 %</w:t>
            </w:r>
          </w:p>
        </w:tc>
      </w:tr>
      <w:tr>
        <w:tc>
          <w:tcPr>
            <w:tcW w:type="dxa" w:w="130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estado civil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divorced</w:t>
            </w:r>
          </w:p>
        </w:tc>
        <w:tc>
          <w:tcPr>
            <w:tcW w:type="dxa" w:w="107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911</w:t>
            </w:r>
          </w:p>
        </w:tc>
        <w:tc>
          <w:tcPr>
            <w:tcW w:type="dxa" w:w="107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11,4 %</w:t>
            </w:r>
          </w:p>
        </w:tc>
        <w:tc>
          <w:tcPr>
            <w:tcW w:type="dxa" w:w="142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25,4 %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11,1 %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9,3 %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59,6 %</w:t>
            </w:r>
          </w:p>
        </w:tc>
      </w:tr>
      <w:tr>
        <w:tc>
          <w:tcPr>
            <w:tcW w:type="dxa" w:w="130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estado civil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married</w:t>
            </w:r>
          </w:p>
        </w:tc>
        <w:tc>
          <w:tcPr>
            <w:tcW w:type="dxa" w:w="107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5.006</w:t>
            </w:r>
          </w:p>
        </w:tc>
        <w:tc>
          <w:tcPr>
            <w:tcW w:type="dxa" w:w="107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9,8 %</w:t>
            </w:r>
          </w:p>
        </w:tc>
        <w:tc>
          <w:tcPr>
            <w:tcW w:type="dxa" w:w="142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26,7 %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60,8 %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54,0 %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70,0 %</w:t>
            </w:r>
          </w:p>
        </w:tc>
      </w:tr>
      <w:tr>
        <w:tc>
          <w:tcPr>
            <w:tcW w:type="dxa" w:w="130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estado civil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single</w:t>
            </w:r>
          </w:p>
        </w:tc>
        <w:tc>
          <w:tcPr>
            <w:tcW w:type="dxa" w:w="107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2.307</w:t>
            </w:r>
          </w:p>
        </w:tc>
        <w:tc>
          <w:tcPr>
            <w:tcW w:type="dxa" w:w="107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14,3 %</w:t>
            </w:r>
          </w:p>
        </w:tc>
        <w:tc>
          <w:tcPr>
            <w:tcW w:type="dxa" w:w="142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39,1 %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28,0 %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36,5 %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81,5 %</w:t>
            </w:r>
          </w:p>
        </w:tc>
      </w:tr>
      <w:tr>
        <w:tc>
          <w:tcPr>
            <w:tcW w:type="dxa" w:w="1309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estado civil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unknown</w:t>
            </w:r>
          </w:p>
        </w:tc>
        <w:tc>
          <w:tcPr>
            <w:tcW w:type="dxa" w:w="107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071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8,3 %</w:t>
            </w:r>
          </w:p>
        </w:tc>
        <w:tc>
          <w:tcPr>
            <w:tcW w:type="dxa" w:w="1428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33,3 %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0,1 %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0,2 %</w:t>
            </w:r>
          </w:p>
        </w:tc>
        <w:tc>
          <w:tcPr>
            <w:tcW w:type="dxa" w:w="1190"/>
          </w:tcPr>
          <w:p>
            <w:pPr>
              <w:spacing w:line="240" w:lineRule="auto" w:after="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0,0 %</w:t>
            </w:r>
          </w:p>
        </w:tc>
      </w:tr>
    </w:tbl>
    <w:p>
      <w:pPr>
        <w:spacing w:after="40"/>
      </w:pPr>
    </w:p>
    <w:p>
      <w:r>
        <w:rPr>
          <w:rFonts w:ascii="Arial" w:hAnsi="Arial" w:eastAsia="Arial"/>
          <w:b w:val="0"/>
          <w:i/>
          <w:color w:val="555555"/>
          <w:sz w:val="20"/>
        </w:rPr>
        <w:t>El grupo unknown de estado civil tiene 12 clientes: su recall no es interpretable.</w:t>
      </w:r>
    </w:p>
    <w:p>
      <w:pPr>
        <w:keepNext/>
        <w:spacing w:before="144" w:line="276" w:lineRule="auto"/>
      </w:pPr>
      <w:r>
        <w:rPr>
          <w:rFonts w:ascii="Arial" w:hAnsi="Arial" w:eastAsia="Arial"/>
          <w:b/>
          <w:i w:val="0"/>
          <w:color w:val="B71C1C"/>
          <w:sz w:val="32"/>
        </w:rPr>
        <w:t>Anexo E. Reproducibilidad y fuentes</w:t>
      </w:r>
    </w:p>
    <w:p>
      <w:pPr>
        <w:jc w:val="both"/>
      </w:pPr>
      <w:r>
        <w:rPr>
          <w:rFonts w:ascii="Arial" w:hAnsi="Arial" w:eastAsia="Arial"/>
          <w:b w:val="0"/>
          <w:i w:val="0"/>
          <w:sz w:val="24"/>
        </w:rPr>
      </w:r>
      <w:r>
        <w:rPr>
          <w:b/>
          <w:i w:val="0"/>
        </w:rPr>
        <w:t xml:space="preserve">Repositorio: </w:t>
      </w:r>
      <w:r>
        <w:rPr>
          <w:b w:val="0"/>
          <w:i w:val="0"/>
        </w:rPr>
        <w:t xml:space="preserve">[URL del repositorio del equipo]. </w:t>
      </w:r>
      <w:r>
        <w:rPr>
          <w:b w:val="0"/>
          <w:i w:val="0"/>
        </w:rPr>
        <w:t>Contiene proyecto_integrador.ipynb (ejecutado de punta a punta, con salidas), requirements.txt, data_log.md, README con instrucciones y la carpeta results/ con todas las tablas y figuras de este informe. El notebook descarga el dataset oficial y valida su esquema. Fuente oficial de los datos: https://archive.ics.uci.edu/dataset/222/bank+marketing.</w:t>
      </w:r>
    </w:p>
    <w:p>
      <w:pPr>
        <w:jc w:val="both"/>
      </w:pPr>
      <w:r>
        <w:rPr>
          <w:rFonts w:ascii="Arial" w:hAnsi="Arial" w:eastAsia="Arial"/>
          <w:b w:val="0"/>
          <w:i w:val="0"/>
          <w:sz w:val="24"/>
        </w:rPr>
      </w:r>
      <w:r>
        <w:rPr>
          <w:rFonts w:ascii="Arial" w:hAnsi="Arial" w:eastAsia="Arial"/>
          <w:b w:val="0"/>
          <w:i/>
          <w:sz w:val="24"/>
        </w:rPr>
      </w:r>
      <w:r>
        <w:rPr>
          <w:rFonts w:ascii="Arial" w:hAnsi="Arial" w:eastAsia="Arial"/>
          <w:b w:val="0"/>
          <w:i w:val="0"/>
          <w:sz w:val="24"/>
        </w:rPr>
      </w:r>
      <w:r>
        <w:rPr>
          <w:b w:val="0"/>
          <w:i w:val="0"/>
        </w:rPr>
        <w:t xml:space="preserve">Moro, S., Rita, P. y Cortez, P. (2014). </w:t>
      </w:r>
      <w:r>
        <w:rPr>
          <w:b w:val="0"/>
          <w:i/>
        </w:rPr>
        <w:t>Bank Marketing</w:t>
      </w:r>
      <w:r>
        <w:rPr>
          <w:b w:val="0"/>
          <w:i w:val="0"/>
        </w:rPr>
        <w:t xml:space="preserve"> [Dataset]. UCI Machine Learning Repository. https://archive.ics.uci.edu/dataset/222/bank+marketing - DOI: https://doi.org/10.24432/C5K306. Licencia CC BY 4.0.</w:t>
      </w:r>
    </w:p>
    <w:p>
      <w:pPr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Chapman, P. et al. (2000). </w:t>
      </w:r>
      <w:r>
        <w:rPr>
          <w:rFonts w:ascii="Arial" w:hAnsi="Arial" w:eastAsia="Arial"/>
          <w:b w:val="0"/>
          <w:i/>
          <w:sz w:val="24"/>
        </w:rPr>
        <w:t>CRISP-DM 1.0: Step-by-step data mining guide</w:t>
      </w:r>
      <w:r>
        <w:rPr>
          <w:rFonts w:ascii="Arial" w:hAnsi="Arial" w:eastAsia="Arial"/>
          <w:b w:val="0"/>
          <w:i w:val="0"/>
          <w:sz w:val="24"/>
        </w:rPr>
        <w:t xml:space="preserve">. SPSS. - Lundberg, S. y Lee, S.-I. (2017). A unified approach to interpreting model predictions. </w:t>
      </w:r>
      <w:r>
        <w:rPr>
          <w:rFonts w:ascii="Arial" w:hAnsi="Arial" w:eastAsia="Arial"/>
          <w:b w:val="0"/>
          <w:i/>
          <w:sz w:val="24"/>
        </w:rPr>
        <w:t>NeurIPS 30</w:t>
      </w:r>
      <w:r>
        <w:rPr>
          <w:rFonts w:ascii="Arial" w:hAnsi="Arial" w:eastAsia="Arial"/>
          <w:b w:val="0"/>
          <w:i w:val="0"/>
          <w:sz w:val="24"/>
        </w:rPr>
        <w:t>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777777"/>
        <w:sz w:val="18"/>
      </w:rPr>
      <w:t xml:space="preserve">Informe Final - Proyecto Final Integrador | Modelo de cátedra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8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 - Proyecto Final Integrador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