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color w:val="B71C1C"/>
          <w:sz w:val="26"/>
        </w:rPr>
        <w:t>MODELO DE PRE-ENTREGA - DOCUMENTO DE CÁTEDRA</w:t>
      </w:r>
    </w:p>
    <w:p>
      <w:pPr>
        <w:jc w:val="center"/>
      </w:pPr>
      <w:r>
        <w:rPr>
          <w:rFonts w:ascii="Arial" w:hAnsi="Arial" w:eastAsia="Arial"/>
          <w:b/>
          <w:i w:val="0"/>
          <w:sz w:val="44"/>
        </w:rPr>
        <w:t>Priorización de contactos en campañas telefónicas: predicción de suscripción a plazo fijo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4"/>
        </w:rPr>
        <w:t>Diplomado en Ciencia de Datos y Análisis Avanzado - Unidad N.º 9, Proyecto Final Integrador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4"/>
        </w:rPr>
        <w:t>Equipo N.º X - Integrantes: Apellido, Nombre; Apellido, Nombre; Apellido, Nombre - Fecha: __ / __ / 2026</w:t>
      </w:r>
    </w:p>
    <w:p>
      <w:pPr>
        <w:keepNext/>
        <w:spacing w:before="132" w:line="276" w:lineRule="auto"/>
      </w:pPr>
      <w:r>
        <w:rPr>
          <w:rFonts w:ascii="Arial" w:hAnsi="Arial" w:eastAsia="Arial"/>
          <w:b/>
          <w:i w:val="0"/>
          <w:color w:val="B71C1C"/>
          <w:sz w:val="28"/>
        </w:rPr>
        <w:t>1. Resumen ejecutivo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 xml:space="preserve">Banco del Plata (empresa hipotética) ofrece plazos fijos por telemarketing. El call center solo puede llamar a cerca del </w:t>
      </w:r>
      <w:r>
        <w:rPr>
          <w:rFonts w:ascii="Arial" w:hAnsi="Arial" w:eastAsia="Arial"/>
          <w:b/>
          <w:i w:val="0"/>
          <w:sz w:val="22"/>
        </w:rPr>
        <w:t>30 % de la cartera</w:t>
      </w:r>
      <w:r>
        <w:rPr>
          <w:rFonts w:ascii="Arial" w:hAnsi="Arial" w:eastAsia="Arial"/>
          <w:b w:val="0"/>
          <w:i w:val="0"/>
          <w:sz w:val="22"/>
        </w:rPr>
        <w:t xml:space="preserve"> por campaña y hoy la lista se disca sin priorizar: la conversión histórica es de 11,3 %, por lo que la mayoría de las llamadas no termina en suscripción.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  <w:t>Qué proponemos.</w:t>
      </w:r>
      <w:r>
        <w:rPr>
          <w:rFonts w:ascii="Arial" w:hAnsi="Arial" w:eastAsia="Arial"/>
          <w:b w:val="0"/>
          <w:i w:val="0"/>
          <w:sz w:val="22"/>
        </w:rPr>
        <w:t xml:space="preserve"> Un modelo que estime, antes de llamar, la propensión a suscribir y ordene la lista de mayor a menor. </w:t>
      </w:r>
      <w:r>
        <w:rPr>
          <w:rFonts w:ascii="Arial" w:hAnsi="Arial" w:eastAsia="Arial"/>
          <w:b/>
          <w:i w:val="0"/>
          <w:sz w:val="22"/>
        </w:rPr>
        <w:t>Audiencia:</w:t>
      </w:r>
      <w:r>
        <w:rPr>
          <w:rFonts w:ascii="Arial" w:hAnsi="Arial" w:eastAsia="Arial"/>
          <w:b w:val="0"/>
          <w:i w:val="0"/>
          <w:sz w:val="22"/>
        </w:rPr>
        <w:t xml:space="preserve"> gerencia de Marketing Directo y jefatura del call center (interna); el cliente no interactúa con el modelo. </w:t>
      </w:r>
      <w:r>
        <w:rPr>
          <w:rFonts w:ascii="Arial" w:hAnsi="Arial" w:eastAsia="Arial"/>
          <w:b/>
          <w:i w:val="0"/>
          <w:sz w:val="22"/>
        </w:rPr>
        <w:t>KPI de impacto:</w:t>
      </w:r>
      <w:r>
        <w:rPr>
          <w:rFonts w:ascii="Arial" w:hAnsi="Arial" w:eastAsia="Arial"/>
          <w:b w:val="0"/>
          <w:i w:val="0"/>
          <w:sz w:val="22"/>
        </w:rPr>
        <w:t xml:space="preserve"> Recall @ top 30 % (proporción de las suscripciones capturadas llamando solo al 30 % mejor rankeado) y, como resultado de negocio, costo por suscripción.</w:t>
      </w:r>
    </w:p>
    <w:p>
      <w:pPr>
        <w:keepNext/>
        <w:spacing w:before="132" w:line="276" w:lineRule="auto"/>
      </w:pPr>
      <w:r>
        <w:rPr>
          <w:rFonts w:ascii="Arial" w:hAnsi="Arial" w:eastAsia="Arial"/>
          <w:b/>
          <w:i w:val="0"/>
          <w:color w:val="B71C1C"/>
          <w:sz w:val="28"/>
        </w:rPr>
        <w:t>2. Definición del problema y caso de negocio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  <w:t>Objetivo medible.</w:t>
      </w:r>
      <w:r>
        <w:rPr>
          <w:rFonts w:ascii="Arial" w:hAnsi="Arial" w:eastAsia="Arial"/>
          <w:b w:val="0"/>
          <w:i w:val="0"/>
          <w:sz w:val="22"/>
        </w:rPr>
        <w:t xml:space="preserve"> Capturar al menos el </w:t>
      </w:r>
      <w:r>
        <w:rPr>
          <w:rFonts w:ascii="Arial" w:hAnsi="Arial" w:eastAsia="Arial"/>
          <w:b/>
          <w:i w:val="0"/>
          <w:sz w:val="22"/>
        </w:rPr>
        <w:t>70 % de las suscripciones contactando como máximo al 30 % de la base</w:t>
      </w:r>
      <w:r>
        <w:rPr>
          <w:rFonts w:ascii="Arial" w:hAnsi="Arial" w:eastAsia="Arial"/>
          <w:b w:val="0"/>
          <w:i w:val="0"/>
          <w:sz w:val="22"/>
        </w:rPr>
        <w:t>, medido sobre un test que no interviene en la selección del modelo.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  <w:t>Hipótesis.</w:t>
      </w:r>
      <w:r>
        <w:rPr>
          <w:rFonts w:ascii="Arial" w:hAnsi="Arial" w:eastAsia="Arial"/>
          <w:b w:val="0"/>
          <w:i w:val="0"/>
          <w:sz w:val="22"/>
        </w:rPr>
        <w:t xml:space="preserve"> H1: el historial de campañas previas (poutcome, pdays, previous) aporta señal. H2: el mes de contacto modifica la propensión. H3: más contactos en la misma campaña muestran rendimientos decrecientes.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  <w:t>Restricciones.</w:t>
      </w:r>
      <w:r>
        <w:rPr>
          <w:rFonts w:ascii="Arial" w:hAnsi="Arial" w:eastAsia="Arial"/>
          <w:b w:val="0"/>
          <w:i w:val="0"/>
          <w:sz w:val="22"/>
        </w:rPr>
        <w:t xml:space="preserve"> Operativa: el producto es un ranking con cupo de 30 %. Temporal: el score se calcula antes de la llamada; toda variable conocida después queda excluida. Ética: edad y estado civil se tratan como atributos sensibles a auditar; no hay identificadores personales. Técnica: ejecución local o en Colab gratuito.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  <w:t>Valor esperado.</w:t>
      </w:r>
      <w:r>
        <w:rPr>
          <w:rFonts w:ascii="Arial" w:hAnsi="Arial" w:eastAsia="Arial"/>
          <w:b w:val="0"/>
          <w:i w:val="0"/>
          <w:sz w:val="22"/>
        </w:rPr>
        <w:t xml:space="preserve"> Campaña de referencia: 41.000 clientes, USD 1,20 por llamada. Sin ranking, capturar el 70 % de las suscripciones exige llamar a ~70 % de la cartera; con el modelo, al 30 %. Se evitarían 16.400 llamadas: </w:t>
      </w:r>
      <w:r>
        <w:rPr>
          <w:rFonts w:ascii="Arial" w:hAnsi="Arial" w:eastAsia="Arial"/>
          <w:b/>
          <w:i w:val="0"/>
          <w:sz w:val="22"/>
        </w:rPr>
        <w:t>ahorro bruto potencial de USD 19.680 por campaña</w:t>
      </w:r>
      <w:r>
        <w:rPr>
          <w:rFonts w:ascii="Arial" w:hAnsi="Arial" w:eastAsia="Arial"/>
          <w:b w:val="0"/>
          <w:i w:val="0"/>
          <w:sz w:val="22"/>
        </w:rPr>
        <w:t>, a validar en la entrega final junto con costos de implementación.</w:t>
      </w:r>
    </w:p>
    <w:p>
      <w:pPr>
        <w:keepNext/>
        <w:spacing w:before="132" w:line="276" w:lineRule="auto"/>
      </w:pPr>
      <w:r>
        <w:rPr>
          <w:rFonts w:ascii="Arial" w:hAnsi="Arial" w:eastAsia="Arial"/>
          <w:b/>
          <w:i w:val="0"/>
          <w:color w:val="B71C1C"/>
          <w:sz w:val="28"/>
        </w:rPr>
        <w:t>3. Relevamiento de fuentes de datos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</w:r>
      <w:r>
        <w:rPr>
          <w:rFonts w:ascii="Arial" w:hAnsi="Arial" w:eastAsia="Arial"/>
          <w:b w:val="0"/>
          <w:i w:val="0"/>
          <w:sz w:val="22"/>
        </w:rPr>
      </w:r>
      <w:r>
        <w:rPr>
          <w:rFonts w:ascii="Arial" w:hAnsi="Arial" w:eastAsia="Arial"/>
          <w:b/>
          <w:i w:val="0"/>
          <w:sz w:val="22"/>
        </w:rPr>
      </w:r>
      <w:r>
        <w:rPr>
          <w:rFonts w:ascii="Arial" w:hAnsi="Arial" w:eastAsia="Arial"/>
          <w:b w:val="0"/>
          <w:i w:val="0"/>
          <w:sz w:val="22"/>
        </w:rPr>
      </w:r>
      <w:r>
        <w:rPr>
          <w:rFonts w:ascii="Arial" w:hAnsi="Arial" w:eastAsia="Arial"/>
          <w:b/>
          <w:i w:val="0"/>
          <w:sz w:val="22"/>
        </w:rPr>
      </w:r>
      <w:r>
        <w:rPr>
          <w:rFonts w:ascii="Arial" w:hAnsi="Arial" w:eastAsia="Arial"/>
          <w:b w:val="0"/>
          <w:i w:val="0"/>
          <w:sz w:val="22"/>
        </w:rPr>
      </w:r>
      <w:r>
        <w:rPr>
          <w:b/>
          <w:i w:val="0"/>
        </w:rPr>
        <w:t xml:space="preserve">Fuente y licencia. </w:t>
      </w:r>
      <w:r>
        <w:rPr>
          <w:b w:val="0"/>
          <w:i w:val="0"/>
        </w:rPr>
        <w:t xml:space="preserve">Bank Marketing, UCI Machine Learning Repository (Moro, Rita y Cortez, 2014), licencia CC BY 4.0. </w:t>
      </w:r>
      <w:r>
        <w:rPr>
          <w:b/>
          <w:i w:val="0"/>
        </w:rPr>
        <w:t xml:space="preserve">Fuente oficial: </w:t>
      </w:r>
      <w:r>
        <w:rPr>
          <w:b w:val="0"/>
          <w:i w:val="0"/>
        </w:rPr>
        <w:t xml:space="preserve">https://archive.ics.uci.edu/dataset/222/bank+marketing. </w:t>
      </w:r>
      <w:r>
        <w:rPr>
          <w:b/>
          <w:i w:val="0"/>
        </w:rPr>
        <w:t xml:space="preserve">DOI: </w:t>
      </w:r>
      <w:r>
        <w:rPr>
          <w:b w:val="0"/>
          <w:i w:val="0"/>
        </w:rPr>
        <w:t xml:space="preserve">https://doi.org/10.24432/C5K306. </w:t>
      </w:r>
      <w:r>
        <w:rPr>
          <w:b/>
          <w:i w:val="0"/>
        </w:rPr>
        <w:t xml:space="preserve">Archivo: </w:t>
      </w:r>
      <w:r>
        <w:rPr>
          <w:b w:val="0"/>
          <w:i w:val="0"/>
        </w:rPr>
        <w:t>bank-additional-full.csv, con 41.188 registros, 20 variables de entrada más la variable objetivo, ordenado cronológicamente de mayo de 2008 a noviembre de 2010. El notebook descarga el zip oficial, recorre sus zips anidados y valida el esquema para evitar mezclarlo con otras variantes.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72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Variable</w:t>
            </w:r>
          </w:p>
        </w:tc>
        <w:tc>
          <w:tcPr>
            <w:tcW w:type="dxa" w:w="1441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Tipo</w:t>
            </w:r>
          </w:p>
        </w:tc>
        <w:tc>
          <w:tcPr>
            <w:tcW w:type="dxa" w:w="3783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Descripción</w:t>
            </w:r>
          </w:p>
        </w:tc>
        <w:tc>
          <w:tcPr>
            <w:tcW w:type="dxa" w:w="2342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Rol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age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Entero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Edad del cliente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 / auditar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job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Categórica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Ocupación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marital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Categórica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Estado civil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 / auditar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default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Categórica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Crédito en mora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contact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Categórica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Canal: celular o fijo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month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Categórica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Mes del último contacto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 (H2)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campaign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Entero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Contactos en la campaña actual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 (H3)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pdays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Entero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Días desde contacto previo (999 = nunca)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 (H1)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poutcome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Categórica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Resultado de la campaña anterior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 (H1)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euribor3m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Continua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Tasa Euribor 3 meses (contexto macro)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Predictora / drift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y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Binaria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Suscribió el plazo fijo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Objetivo</w:t>
            </w:r>
          </w:p>
        </w:tc>
      </w:tr>
      <w:tr>
        <w:tc>
          <w:tcPr>
            <w:tcW w:type="dxa" w:w="207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duration</w:t>
            </w:r>
          </w:p>
        </w:tc>
        <w:tc>
          <w:tcPr>
            <w:tcW w:type="dxa" w:w="14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Entero</w:t>
            </w:r>
          </w:p>
        </w:tc>
        <w:tc>
          <w:tcPr>
            <w:tcW w:type="dxa" w:w="3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Duración de la llamada</w:t>
            </w:r>
          </w:p>
        </w:tc>
        <w:tc>
          <w:tcPr>
            <w:tcW w:type="dxa" w:w="234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Excluida (fuga)</w:t>
            </w:r>
          </w:p>
        </w:tc>
      </w:tr>
    </w:tbl>
    <w:p>
      <w:pPr>
        <w:jc w:val="center"/>
      </w:pPr>
      <w:r>
        <w:rPr>
          <w:rFonts w:ascii="Arial" w:hAnsi="Arial" w:eastAsia="Arial"/>
          <w:b w:val="0"/>
          <w:i/>
          <w:color w:val="555555"/>
          <w:sz w:val="18"/>
        </w:rPr>
        <w:t>Tabla 1. Diccionario mínimo (10 variables principales + objetivo + variable excluida).</w:t>
      </w:r>
    </w:p>
    <w:p>
      <w:pPr>
        <w:keepNext/>
        <w:spacing w:before="132" w:line="276" w:lineRule="auto"/>
      </w:pPr>
      <w:r>
        <w:rPr>
          <w:rFonts w:ascii="Arial" w:hAnsi="Arial" w:eastAsia="Arial"/>
          <w:b/>
          <w:i w:val="0"/>
          <w:color w:val="444444"/>
          <w:sz w:val="24"/>
        </w:rPr>
        <w:t>Calidad de los datos (medida sobre el archivo completo)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2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Aspecto</w:t>
            </w:r>
          </w:p>
        </w:tc>
        <w:tc>
          <w:tcPr>
            <w:tcW w:type="dxa" w:w="4105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Evidencia</w:t>
            </w:r>
          </w:p>
        </w:tc>
        <w:tc>
          <w:tcPr>
            <w:tcW w:type="dxa" w:w="3213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Tratamiento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Nulos explícitos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0 en todas las variables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No requiere imputación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unknown en default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8.597 (20,9 %); solo 3 casos 'yes'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Categoría explícita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unknown en education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1.731 (4,2 %)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Categoría explícita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unknown en housing / loan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990 cada una (2,4 %)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Categoría explícita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unknown en job / marital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330 / 80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Categoría explícita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Duplicados exactos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 filas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Eliminar (ya reportado)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Centinela pdays = 999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96,3 % nunca contactado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Bandera + días (0 si nunca)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Outliers de campaign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Máx. 56; 869 casos con más de 10 (2,1 %)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Legítimos: no se eliminan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Desbalance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Clase positiva 11,27 %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Accuracy no es criterio</w:t>
            </w:r>
          </w:p>
        </w:tc>
      </w:tr>
      <w:tr>
        <w:tc>
          <w:tcPr>
            <w:tcW w:type="dxa" w:w="232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Cambio temporal</w:t>
            </w:r>
          </w:p>
        </w:tc>
        <w:tc>
          <w:tcPr>
            <w:tcW w:type="dxa" w:w="410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Prevalencia por décimo del archivo: de 2,8 % a 45,9 %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Validación temporal</w:t>
            </w:r>
          </w:p>
        </w:tc>
      </w:tr>
    </w:tbl>
    <w:p>
      <w:pPr>
        <w:jc w:val="center"/>
      </w:pPr>
      <w:r>
        <w:rPr>
          <w:rFonts w:ascii="Arial" w:hAnsi="Arial" w:eastAsia="Arial"/>
          <w:b w:val="0"/>
          <w:i/>
          <w:color w:val="555555"/>
          <w:sz w:val="18"/>
        </w:rPr>
        <w:t>Tabla 2. Nulos, categorías unknown, duplicados, centinelas y outliers.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  <w:t>Evidencia mínima para las hipótesis.</w:t>
      </w:r>
      <w:r>
        <w:rPr>
          <w:rFonts w:ascii="Arial" w:hAnsi="Arial" w:eastAsia="Arial"/>
          <w:b w:val="0"/>
          <w:i w:val="0"/>
          <w:sz w:val="22"/>
        </w:rPr>
        <w:t xml:space="preserve"> H1: poutcome = success convierte 65,1 % frente a 8,8 % sin campaña previa. H2: mayo concentra 13.769 contactos con 6,4 %, mientras marzo, septiembre, octubre y diciembre superan 40 % con poco volumen. H3: la conversión cae de 13,0 % con un contacto a 3,1 % con más de diez. Son asociaciones descriptivas, no causales.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Decisiones de limpieza ya tomadas</w:t>
            </w:r>
          </w:p>
        </w:tc>
        <w:tc>
          <w:tcPr>
            <w:tcW w:type="dxa" w:w="481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Decisiones pendientes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Excluir duration: solo se conoce después del contacto (fuga).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Evaluar tope o transformación de campaign según su efecto en métricas.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Conservar unknown como categoría explícita.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Evaluar agrupar niveles poco frecuentes de job y education.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pdays = 999 → contactado_antes y dias_desde_contacto.</w:t>
            </w:r>
          </w:p>
        </w:tc>
        <w:tc>
          <w:tcPr>
            <w:tcW w:type="dxa" w:w="4819"/>
          </w:tcPr>
          <w:p>
            <w:r>
              <w:t>Evaluar ponderación de clases solo si mejora el ranking. Si el score se usará como probabilidad absoluta, evaluar calibración.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Eliminar los 12 duplicados exactos.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Evaluar codificación de month (categoría o cíclica).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Usar solo bank-additional-full.csv (orden temporal).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Definir cómo tratar la dependencia de variables macroeconómicas.</w:t>
            </w:r>
          </w:p>
        </w:tc>
      </w:tr>
    </w:tbl>
    <w:p>
      <w:pPr>
        <w:spacing w:after="40"/>
      </w:pPr>
    </w:p>
    <w:p>
      <w:pPr>
        <w:keepNext/>
        <w:spacing w:before="132" w:line="276" w:lineRule="auto"/>
      </w:pPr>
      <w:r>
        <w:rPr>
          <w:rFonts w:ascii="Arial" w:hAnsi="Arial" w:eastAsia="Arial"/>
          <w:b/>
          <w:i w:val="0"/>
          <w:color w:val="B71C1C"/>
          <w:sz w:val="28"/>
        </w:rPr>
        <w:t>4. Plan de modelado y validación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  <w:t>Metodología.</w:t>
      </w:r>
      <w:r>
        <w:rPr>
          <w:rFonts w:ascii="Arial" w:hAnsi="Arial" w:eastAsia="Arial"/>
          <w:b w:val="0"/>
          <w:i w:val="0"/>
          <w:sz w:val="22"/>
        </w:rPr>
        <w:t xml:space="preserve"> CRISP-DM: las secciones 1-2 cubren la comprensión del negocio y la 3, la comprensión y el inicio de la preparación de datos. Las decisiones se registran en data_log.md. Toda transformación aprendida se encapsula en un Pipeline de scikit-learn para evitar fuga entre particiones.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  <w:t>Algoritmos.</w:t>
      </w:r>
      <w:r>
        <w:rPr>
          <w:rFonts w:ascii="Arial" w:hAnsi="Arial" w:eastAsia="Arial"/>
          <w:b w:val="0"/>
          <w:i w:val="0"/>
          <w:sz w:val="22"/>
        </w:rPr>
        <w:t xml:space="preserve"> Regresión logística (referencia interpretable), Random Forest y XGBoost.</w:t>
      </w:r>
    </w:p>
    <w:p>
      <w:pPr>
        <w:jc w:val="both"/>
      </w:pPr>
      <w:r>
        <w:rPr>
          <w:rFonts w:ascii="Arial" w:hAnsi="Arial" w:eastAsia="Arial"/>
          <w:b/>
          <w:i w:val="0"/>
          <w:sz w:val="22"/>
        </w:rPr>
      </w:r>
      <w:r>
        <w:rPr>
          <w:rFonts w:ascii="Arial" w:hAnsi="Arial" w:eastAsia="Arial"/>
          <w:b w:val="0"/>
          <w:i w:val="0"/>
          <w:sz w:val="22"/>
        </w:rPr>
      </w:r>
      <w:r>
        <w:rPr>
          <w:rFonts w:ascii="Arial" w:hAnsi="Arial" w:eastAsia="Arial"/>
          <w:b/>
          <w:i w:val="0"/>
          <w:sz w:val="22"/>
        </w:rPr>
      </w:r>
      <w:r>
        <w:rPr>
          <w:rFonts w:ascii="Arial" w:hAnsi="Arial" w:eastAsia="Arial"/>
          <w:b w:val="0"/>
          <w:i w:val="0"/>
          <w:sz w:val="22"/>
        </w:rPr>
      </w:r>
      <w:r>
        <w:rPr>
          <w:b/>
          <w:i w:val="0"/>
        </w:rPr>
        <w:t xml:space="preserve">Esquema de validación. </w:t>
      </w:r>
      <w:r>
        <w:rPr>
          <w:b w:val="0"/>
          <w:i w:val="0"/>
        </w:rPr>
        <w:t xml:space="preserve">(a) Holdout estratificado 80/20: el 20 % de test no se usa para elegir. (b) Validación cruzada estratificada de 5 folds sobre el 80 % de desarrollo. (c) Validación temporal: entrenar con el primer 80 % del archivo y evaluar en el último 20 %; una partición interna 60 %/20 % se reserva para desempates. </w:t>
      </w:r>
      <w:r>
        <w:rPr>
          <w:b/>
          <w:i w:val="0"/>
        </w:rPr>
        <w:t xml:space="preserve">Regla de selección ex ante: </w:t>
      </w:r>
      <w:r>
        <w:rPr>
          <w:b w:val="0"/>
          <w:i w:val="0"/>
        </w:rPr>
        <w:t>los modelos a menos de un desvío de la mejor PR-AUC en CV se consideran empatados; si la logística empata, se elige la logística; si no, se usa la validación temporal interna como desempate. Si todos quedan cerca del piso temporal, el desempate se considera débil y el elegido queda solo como candidato provisional.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5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Métrica</w:t>
            </w:r>
          </w:p>
        </w:tc>
        <w:tc>
          <w:tcPr>
            <w:tcW w:type="dxa" w:w="688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Por qué</w:t>
            </w:r>
          </w:p>
        </w:tc>
      </w:tr>
      <w:tr>
        <w:tc>
          <w:tcPr>
            <w:tcW w:type="dxa" w:w="27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Recall @ top 30 %</w:t>
            </w:r>
          </w:p>
        </w:tc>
        <w:tc>
          <w:tcPr>
            <w:tcW w:type="dxa" w:w="688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Principal de negocio: traduce la meta operativa.</w:t>
            </w:r>
          </w:p>
        </w:tc>
      </w:tr>
      <w:tr>
        <w:tc>
          <w:tcPr>
            <w:tcW w:type="dxa" w:w="27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PR-AUC</w:t>
            </w:r>
          </w:p>
        </w:tc>
        <w:tc>
          <w:tcPr>
            <w:tcW w:type="dxa" w:w="688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Principal estadística: calidad del ranking con clase minoritaria.</w:t>
            </w:r>
          </w:p>
        </w:tc>
      </w:tr>
      <w:tr>
        <w:tc>
          <w:tcPr>
            <w:tcW w:type="dxa" w:w="27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Precision, Lift @ 30 % y lift por deciles</w:t>
            </w:r>
          </w:p>
        </w:tc>
        <w:tc>
          <w:tcPr>
            <w:tcW w:type="dxa" w:w="688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Cuánto mejora el ranking frente a una selección aleatoria.</w:t>
            </w:r>
          </w:p>
        </w:tc>
      </w:tr>
      <w:tr>
        <w:tc>
          <w:tcPr>
            <w:tcW w:type="dxa" w:w="27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ROC-AUC, F1 y accuracy de la regla top 30 %</w:t>
            </w:r>
          </w:p>
        </w:tc>
        <w:tc>
          <w:tcPr>
            <w:tcW w:type="dxa" w:w="688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Complementarias; accuracy no gobierna la decisión.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eastAsia="Arial"/>
          <w:b/>
          <w:i w:val="0"/>
          <w:sz w:val="22"/>
        </w:rPr>
      </w:r>
      <w:r>
        <w:rPr>
          <w:rFonts w:ascii="Arial" w:hAnsi="Arial" w:eastAsia="Arial"/>
          <w:b w:val="0"/>
          <w:i w:val="0"/>
          <w:sz w:val="22"/>
        </w:rPr>
      </w:r>
      <w:r>
        <w:rPr>
          <w:b/>
          <w:i w:val="0"/>
        </w:rPr>
        <w:t xml:space="preserve">Baselines reproducibles (random_state=42, mismo test estratificado). </w:t>
      </w:r>
      <w:r>
        <w:rPr>
          <w:b w:val="0"/>
          <w:i w:val="0"/>
        </w:rPr>
        <w:t xml:space="preserve">El clasificador de clase mayoritaria sirve como piso de clasificación: PR-AUC = prevalencia (≈ 0,113), ROC-AUC = 0,50 y accuracy ≈ 88,7 %, pero </w:t>
      </w:r>
      <w:r>
        <w:rPr>
          <w:b/>
          <w:i w:val="0"/>
        </w:rPr>
        <w:t>no define un ranking</w:t>
      </w:r>
      <w:r>
        <w:rPr>
          <w:b w:val="0"/>
          <w:i w:val="0"/>
        </w:rPr>
        <w:t>, por lo que Recall @ 30 % no corresponde. El benchmark operativo es el ranking aleatorio: PR-AUC ≈ 0,117 y Recall @ 30 % ≈ 30,4 %. Primer modelo de referencia (logística, CV 5 folds): PR-AUC 0,451 ± 0,014 y Recall @ 30 % 70,0 %. El enfoque es viable.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95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Referencia</w:t>
            </w:r>
          </w:p>
        </w:tc>
        <w:tc>
          <w:tcPr>
            <w:tcW w:type="dxa" w:w="2595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Valor</w:t>
            </w:r>
          </w:p>
        </w:tc>
        <w:tc>
          <w:tcPr>
            <w:tcW w:type="dxa" w:w="4448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>Criterio</w:t>
            </w:r>
          </w:p>
        </w:tc>
      </w:tr>
      <w:tr>
        <w:tc>
          <w:tcPr>
            <w:tcW w:type="dxa" w:w="259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Benchmark aleatorio</w:t>
            </w:r>
          </w:p>
        </w:tc>
        <w:tc>
          <w:tcPr>
            <w:tcW w:type="dxa" w:w="259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Recall @ 30 % ≈ 30 %</w:t>
            </w:r>
          </w:p>
        </w:tc>
        <w:tc>
          <w:tcPr>
            <w:tcW w:type="dxa" w:w="444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Piso: igualarlo no agrega valor.</w:t>
            </w:r>
          </w:p>
        </w:tc>
      </w:tr>
      <w:tr>
        <w:tc>
          <w:tcPr>
            <w:tcW w:type="dxa" w:w="259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Umbral mínimo de éxito</w:t>
            </w:r>
          </w:p>
        </w:tc>
        <w:tc>
          <w:tcPr>
            <w:tcW w:type="dxa" w:w="259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Recall @ 30 % ≥ 60 %</w:t>
            </w:r>
          </w:p>
        </w:tc>
        <w:tc>
          <w:tcPr>
            <w:tcW w:type="dxa" w:w="444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Duplica el ranking aleatorio.</w:t>
            </w:r>
          </w:p>
        </w:tc>
      </w:tr>
      <w:tr>
        <w:tc>
          <w:tcPr>
            <w:tcW w:type="dxa" w:w="259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Objetivo comprometido</w:t>
            </w:r>
          </w:p>
        </w:tc>
        <w:tc>
          <w:tcPr>
            <w:tcW w:type="dxa" w:w="259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Recall @ 30 % ≥ 70 %</w:t>
            </w:r>
          </w:p>
        </w:tc>
        <w:tc>
          <w:tcPr>
            <w:tcW w:type="dxa" w:w="444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Meta de la sección 2.</w:t>
            </w:r>
          </w:p>
        </w:tc>
      </w:tr>
    </w:tbl>
    <w:p>
      <w:pPr>
        <w:spacing w:after="40"/>
      </w:pPr>
    </w:p>
    <w:p>
      <w:pPr>
        <w:keepNext/>
        <w:spacing w:before="132" w:line="276" w:lineRule="auto"/>
      </w:pPr>
      <w:r>
        <w:rPr>
          <w:rFonts w:ascii="Arial" w:hAnsi="Arial" w:eastAsia="Arial"/>
          <w:b/>
          <w:i w:val="0"/>
          <w:color w:val="444444"/>
          <w:sz w:val="24"/>
        </w:rPr>
        <w:t>Riesgos, limitaciones y próximos pasos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Cambio de régimen:</w:t>
      </w:r>
      <w:r>
        <w:rPr>
          <w:rFonts w:ascii="Arial" w:hAnsi="Arial" w:eastAsia="Arial"/>
          <w:b w:val="0"/>
          <w:i w:val="0"/>
          <w:sz w:val="22"/>
        </w:rPr>
        <w:t xml:space="preserve"> la prevalencia crece a lo largo del archivo (2,8 % → 45,9 %); un split aleatorio puede sobreestimar el desempeño futuro.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Contexto:</w:t>
      </w:r>
      <w:r>
        <w:rPr>
          <w:rFonts w:ascii="Arial" w:hAnsi="Arial" w:eastAsia="Arial"/>
          <w:b w:val="0"/>
          <w:i w:val="0"/>
          <w:sz w:val="22"/>
        </w:rPr>
        <w:t xml:space="preserve"> datos de un banco portugués 2008-2010; el proyecto demuestra el método, no una política comercial vigente en Argentina.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Fuga y sesgo:</w:t>
      </w:r>
      <w:r>
        <w:rPr>
          <w:rFonts w:ascii="Arial" w:hAnsi="Arial" w:eastAsia="Arial"/>
          <w:b w:val="0"/>
          <w:i w:val="0"/>
          <w:sz w:val="22"/>
        </w:rPr>
        <w:t xml:space="preserve"> duration excluida; se auditará la selección por franja etaria y estado civil.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</w:r>
      <w:r>
        <w:rPr>
          <w:rFonts w:ascii="Arial" w:hAnsi="Arial" w:eastAsia="Arial"/>
          <w:b w:val="0"/>
          <w:i w:val="0"/>
          <w:sz w:val="22"/>
        </w:rPr>
      </w:r>
      <w:r>
        <w:rPr>
          <w:b/>
          <w:i w:val="0"/>
        </w:rPr>
        <w:t xml:space="preserve">Próximos pasos: </w:t>
      </w:r>
      <w:r>
        <w:rPr>
          <w:b w:val="0"/>
          <w:i w:val="0"/>
        </w:rPr>
        <w:t>(1) cerrar decisiones pendientes; (2) CV y selección; (3) test estable y temporal; (4) SHAP y ablaciones de H1-H3; (5) revisar calibración si se pretende interpretar el score como probabilidad absoluta; (6) cuantificar impacto y riesgos.</w:t>
      </w:r>
    </w:p>
    <w:p>
      <w:r>
        <w:rPr>
          <w:rFonts w:ascii="Arial" w:hAnsi="Arial" w:eastAsia="Arial"/>
          <w:b w:val="0"/>
          <w:i/>
          <w:color w:val="555555"/>
          <w:sz w:val="18"/>
        </w:rPr>
        <w:t>Repositorio público (notebook, requirements.txt, data_log.md y README): [URL del repositorio del equipo]. Checklist de la consigna: problema medible, KPI, fuentes y licencia, 10 variables, nulos y outliers con cifras, limpieza tomada vs. pendiente, baseline reproducible, métricas y validación definidas antes del modelado, umbral y benchmark, riesgos.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77777"/>
        <w:sz w:val="18"/>
      </w:rPr>
      <w:t xml:space="preserve">Pre-entrega - Proyecto Final Integrador | Modelo de cátedra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99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Pre-entrega - Proyecto Final Integrador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