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5A248" w14:textId="2D4D9178" w:rsidR="00A55982" w:rsidRDefault="00A55982" w:rsidP="00A55982">
      <w:pPr>
        <w:pStyle w:val="Title"/>
        <w:jc w:val="center"/>
      </w:pPr>
      <w:r w:rsidRPr="00A55982">
        <w:t xml:space="preserve">Audit </w:t>
      </w:r>
      <w:r>
        <w:t xml:space="preserve">of </w:t>
      </w:r>
      <w:r w:rsidRPr="00A55982">
        <w:t xml:space="preserve">All Things PG </w:t>
      </w:r>
      <w:r>
        <w:t>Website</w:t>
      </w:r>
    </w:p>
    <w:p w14:paraId="785F8145" w14:textId="77777777" w:rsidR="00A55982" w:rsidRDefault="00A55982" w:rsidP="00A55982">
      <w:pPr>
        <w:jc w:val="center"/>
        <w:rPr>
          <w:b/>
          <w:bCs/>
        </w:rPr>
      </w:pPr>
      <w:r>
        <w:rPr>
          <w:b/>
          <w:bCs/>
        </w:rPr>
        <w:t>Dave DePottie</w:t>
      </w:r>
      <w:r>
        <w:rPr>
          <w:b/>
          <w:bCs/>
        </w:rPr>
        <w:br/>
      </w:r>
      <w:r>
        <w:rPr>
          <w:b/>
          <w:bCs/>
        </w:rPr>
        <w:t>June 5, 2026</w:t>
      </w:r>
    </w:p>
    <w:p w14:paraId="0E19628C" w14:textId="77777777" w:rsidR="00A55982" w:rsidRDefault="00A55982" w:rsidP="00A55982">
      <w:pPr>
        <w:rPr>
          <w:b/>
          <w:bCs/>
        </w:rPr>
      </w:pPr>
    </w:p>
    <w:p w14:paraId="56AF692A" w14:textId="13D283DD" w:rsidR="00A55982" w:rsidRPr="00A55982" w:rsidRDefault="00A55982" w:rsidP="00A55982">
      <w:pPr>
        <w:pStyle w:val="Heading2"/>
      </w:pPr>
      <w:r w:rsidRPr="00A55982">
        <w:t>Executive Summary</w:t>
      </w:r>
    </w:p>
    <w:p w14:paraId="22625543" w14:textId="0C59A99A" w:rsidR="00A55982" w:rsidRPr="00A55982" w:rsidRDefault="00A55982" w:rsidP="00A55982">
      <w:pPr>
        <w:spacing w:after="160" w:line="278" w:lineRule="auto"/>
      </w:pPr>
      <w:r w:rsidRPr="00A55982">
        <w:t xml:space="preserve">All Things PG’s Phase 1 website establishes a foundational online presence for a rare disease community, offering basic information about Pyoderma Gangrenosum (PG) and initial tools for patient support. The current site’s strengths include clear mission communication and essential content (disease facts, support resources, clinic finder). However, its </w:t>
      </w:r>
      <w:r w:rsidRPr="00A55982">
        <w:rPr>
          <w:b/>
          <w:bCs/>
        </w:rPr>
        <w:t>static</w:t>
      </w:r>
      <w:r w:rsidRPr="00A55982">
        <w:t xml:space="preserve"> architecture and limited features constrain user experience, scalability, and content management. Key weaknesses – such as </w:t>
      </w:r>
      <w:r w:rsidRPr="00A55982">
        <w:rPr>
          <w:b/>
          <w:bCs/>
        </w:rPr>
        <w:t>non-dynamic content</w:t>
      </w:r>
      <w:r w:rsidRPr="00A55982">
        <w:t xml:space="preserve">, </w:t>
      </w:r>
      <w:r w:rsidRPr="00A55982">
        <w:rPr>
          <w:b/>
          <w:bCs/>
        </w:rPr>
        <w:t>lack of search functionality</w:t>
      </w:r>
      <w:r w:rsidRPr="00A55982">
        <w:t xml:space="preserve">, and </w:t>
      </w:r>
      <w:r w:rsidRPr="00A55982">
        <w:rPr>
          <w:b/>
          <w:bCs/>
        </w:rPr>
        <w:t>one-size-fits-all navigation</w:t>
      </w:r>
      <w:r w:rsidRPr="00A55982">
        <w:t xml:space="preserve"> – hinder ease of use and efficient growth. Without a database-driven Content Management System (CMS), adding or updating content is labor-intensive and risks inconsistent user experience as the site expands.</w:t>
      </w:r>
      <w:r>
        <w:t xml:space="preserve">  Without </w:t>
      </w:r>
      <w:proofErr w:type="gramStart"/>
      <w:r>
        <w:t>a central</w:t>
      </w:r>
      <w:proofErr w:type="gramEnd"/>
      <w:r>
        <w:t xml:space="preserve"> architecture it is common for growth to appear disjointed and not well </w:t>
      </w:r>
      <w:proofErr w:type="gramStart"/>
      <w:r>
        <w:t>organize</w:t>
      </w:r>
      <w:proofErr w:type="gramEnd"/>
      <w:r>
        <w:t>.</w:t>
      </w:r>
    </w:p>
    <w:p w14:paraId="316DBF7C" w14:textId="540304EB" w:rsidR="00A55982" w:rsidRPr="00A55982" w:rsidRDefault="00A55982" w:rsidP="006E44C2">
      <w:pPr>
        <w:spacing w:after="160" w:line="278" w:lineRule="auto"/>
      </w:pPr>
      <w:r w:rsidRPr="00A55982">
        <w:t>In the context of a Phase 2</w:t>
      </w:r>
      <w:r>
        <w:t xml:space="preserve"> upgrade using some type of </w:t>
      </w:r>
      <w:r w:rsidRPr="00A55982">
        <w:rPr>
          <w:b/>
          <w:bCs/>
        </w:rPr>
        <w:t xml:space="preserve">Dynamic Content and </w:t>
      </w:r>
      <w:proofErr w:type="spellStart"/>
      <w:r w:rsidRPr="00A55982">
        <w:rPr>
          <w:b/>
          <w:bCs/>
        </w:rPr>
        <w:t>Menuing</w:t>
      </w:r>
      <w:proofErr w:type="spellEnd"/>
      <w:r w:rsidRPr="00A55982">
        <w:rPr>
          <w:b/>
          <w:bCs/>
        </w:rPr>
        <w:t xml:space="preserve"> System (DCMS</w:t>
      </w:r>
      <w:r w:rsidRPr="00A55982">
        <w:t xml:space="preserve">, this audit finds that transitioning to a database-driven architecture will directly address current limitations. A DCMS will enable </w:t>
      </w:r>
      <w:r w:rsidRPr="00A55982">
        <w:rPr>
          <w:b/>
          <w:bCs/>
        </w:rPr>
        <w:t>dynamic routing</w:t>
      </w:r>
      <w:r>
        <w:t xml:space="preserve"> of menu items and content stored in a database</w:t>
      </w:r>
      <w:r w:rsidR="006E44C2">
        <w:t xml:space="preserve"> and will provide a different user experience based on the </w:t>
      </w:r>
      <w:r>
        <w:t>type of user visiting the website.  A data-drive</w:t>
      </w:r>
      <w:r w:rsidR="006E44C2">
        <w:t>n</w:t>
      </w:r>
      <w:r>
        <w:t xml:space="preserve"> </w:t>
      </w:r>
      <w:r w:rsidR="006E44C2">
        <w:t xml:space="preserve">website </w:t>
      </w:r>
      <w:r>
        <w:t xml:space="preserve">architecture </w:t>
      </w:r>
      <w:proofErr w:type="gramStart"/>
      <w:r>
        <w:t>provides for</w:t>
      </w:r>
      <w:proofErr w:type="gramEnd"/>
      <w:r>
        <w:t xml:space="preserve"> </w:t>
      </w:r>
      <w:r w:rsidR="006E44C2">
        <w:t xml:space="preserve">organized information, </w:t>
      </w:r>
      <w:r w:rsidRPr="00A55982">
        <w:t>structured content types (e.g. articles, news, directories, FAQs)</w:t>
      </w:r>
      <w:r w:rsidR="006E44C2">
        <w:t xml:space="preserve">, using </w:t>
      </w:r>
      <w:r w:rsidRPr="00A55982">
        <w:t>data-driven menus</w:t>
      </w:r>
      <w:r w:rsidR="006E44C2">
        <w:t xml:space="preserve"> and content to help improve </w:t>
      </w:r>
      <w:r w:rsidRPr="00A55982">
        <w:rPr>
          <w:b/>
          <w:bCs/>
        </w:rPr>
        <w:t>maintainability, flexibility, and personalization</w:t>
      </w:r>
      <w:r w:rsidRPr="00A55982">
        <w:t xml:space="preserve">. It will support editorial workflows and content curation for </w:t>
      </w:r>
      <w:r>
        <w:t xml:space="preserve">different </w:t>
      </w:r>
      <w:r w:rsidRPr="00A55982">
        <w:t>audience</w:t>
      </w:r>
      <w:r>
        <w:t xml:space="preserve"> types, such as </w:t>
      </w:r>
      <w:r w:rsidRPr="00A55982">
        <w:t>patients, caregivers, providers</w:t>
      </w:r>
      <w:r>
        <w:t xml:space="preserve"> etc.  Combined with a </w:t>
      </w:r>
      <w:r w:rsidRPr="00A55982">
        <w:t xml:space="preserve">scaling </w:t>
      </w:r>
      <w:r>
        <w:t xml:space="preserve">technology </w:t>
      </w:r>
      <w:r w:rsidRPr="00A55982">
        <w:t xml:space="preserve">platform </w:t>
      </w:r>
      <w:r>
        <w:t>such as Azure, a</w:t>
      </w:r>
      <w:r w:rsidR="006E44C2">
        <w:t xml:space="preserve"> data-drive </w:t>
      </w:r>
      <w:r>
        <w:t>website</w:t>
      </w:r>
      <w:r w:rsidR="006E44C2">
        <w:t xml:space="preserve"> is completely scalable and allows for structure, organized growth.  </w:t>
      </w:r>
    </w:p>
    <w:p w14:paraId="5A57D136" w14:textId="77777777" w:rsidR="00A55982" w:rsidRPr="00A55982" w:rsidRDefault="00A55982" w:rsidP="006E44C2">
      <w:pPr>
        <w:pStyle w:val="Heading2"/>
      </w:pPr>
      <w:r w:rsidRPr="00A55982">
        <w:t>Top Findings &amp; Recommendations (Highlights):</w:t>
      </w:r>
    </w:p>
    <w:p w14:paraId="7C36C5AC" w14:textId="77777777" w:rsidR="006E44C2" w:rsidRDefault="006E44C2" w:rsidP="00A55982">
      <w:pPr>
        <w:spacing w:before="0" w:after="160" w:line="278" w:lineRule="auto"/>
        <w:rPr>
          <w:b/>
          <w:bCs/>
        </w:rPr>
      </w:pPr>
    </w:p>
    <w:p w14:paraId="7601E44C" w14:textId="0298EF00" w:rsidR="00A55982" w:rsidRPr="00A55982" w:rsidRDefault="00A55982" w:rsidP="006E44C2">
      <w:r w:rsidRPr="006E44C2">
        <w:rPr>
          <w:b/>
          <w:bCs/>
        </w:rPr>
        <w:t>Strengths</w:t>
      </w:r>
      <w:r w:rsidR="006E44C2">
        <w:rPr>
          <w:b/>
          <w:bCs/>
        </w:rPr>
        <w:t>:</w:t>
      </w:r>
    </w:p>
    <w:p w14:paraId="41A03617" w14:textId="77777777" w:rsidR="00A55982" w:rsidRPr="00A55982" w:rsidRDefault="00A55982" w:rsidP="00A55982">
      <w:pPr>
        <w:numPr>
          <w:ilvl w:val="0"/>
          <w:numId w:val="17"/>
        </w:numPr>
        <w:spacing w:before="0" w:after="160" w:line="278" w:lineRule="auto"/>
      </w:pPr>
      <w:r w:rsidRPr="00A55982">
        <w:rPr>
          <w:b/>
          <w:bCs/>
        </w:rPr>
        <w:t>Clear Mission &amp; Audience Focus:</w:t>
      </w:r>
      <w:r w:rsidRPr="00A55982">
        <w:t xml:space="preserve"> The site immediately states its purpose as a PG community connecting patients and caregivers. This clarity of mission helps users understand the site’s value proposition </w:t>
      </w:r>
      <w:proofErr w:type="gramStart"/>
      <w:r w:rsidRPr="00A55982">
        <w:t>at a glance</w:t>
      </w:r>
      <w:proofErr w:type="gramEnd"/>
      <w:r w:rsidRPr="00A55982">
        <w:t xml:space="preserve">, building trust. Content consistently references both patients and caregivers, indicating inclusivity (e.g. </w:t>
      </w:r>
      <w:r w:rsidRPr="00A55982">
        <w:rPr>
          <w:i/>
          <w:iCs/>
        </w:rPr>
        <w:t>“All Things PG…connecting patients and caregivers”</w:t>
      </w:r>
      <w:r w:rsidRPr="00A55982">
        <w:t xml:space="preserve">). </w:t>
      </w:r>
      <w:hyperlink r:id="rId5" w:history="1">
        <w:r w:rsidRPr="00A55982">
          <w:rPr>
            <w:rStyle w:val="Hyperlink"/>
          </w:rPr>
          <w:t>[allthingspg.org]</w:t>
        </w:r>
      </w:hyperlink>
    </w:p>
    <w:p w14:paraId="3A47DB36" w14:textId="3E774665" w:rsidR="00A55982" w:rsidRPr="00A55982" w:rsidRDefault="00A55982" w:rsidP="00A55982">
      <w:pPr>
        <w:numPr>
          <w:ilvl w:val="0"/>
          <w:numId w:val="17"/>
        </w:numPr>
        <w:spacing w:before="0" w:after="160" w:line="278" w:lineRule="auto"/>
      </w:pPr>
      <w:r w:rsidRPr="00A55982">
        <w:rPr>
          <w:b/>
          <w:bCs/>
        </w:rPr>
        <w:t>Essential Educational Content:</w:t>
      </w:r>
      <w:r w:rsidRPr="00A55982">
        <w:t xml:space="preserve"> Phase 1 provides fundamental PG information and guidance. Key topics (What is PG, Symptoms, Causes, Diagnosis, Treatment, Associated Issues) are covered via dedicated pages, which is critical for a rare disease resource. This breadth of basic content ensures newly diagnosed patients or curious caregivers can learn the essentials in an organized way. The content is written in accessible language and clarifies medical terminology (e.g. explaining the meaning of “Pyoderma Gangrenosum” in simple terms), demonstrating empathy and educational value. </w:t>
      </w:r>
      <w:hyperlink r:id="rId6" w:history="1">
        <w:r w:rsidRPr="00A55982">
          <w:rPr>
            <w:rStyle w:val="Hyperlink"/>
          </w:rPr>
          <w:t>[allthingspg.org]</w:t>
        </w:r>
      </w:hyperlink>
      <w:r w:rsidRPr="00A55982">
        <w:t xml:space="preserve"> </w:t>
      </w:r>
    </w:p>
    <w:p w14:paraId="71B16BB3" w14:textId="77777777" w:rsidR="00A55982" w:rsidRPr="00A55982" w:rsidRDefault="00A55982" w:rsidP="00A55982">
      <w:pPr>
        <w:numPr>
          <w:ilvl w:val="0"/>
          <w:numId w:val="17"/>
        </w:numPr>
        <w:spacing w:before="0" w:after="160" w:line="278" w:lineRule="auto"/>
      </w:pPr>
      <w:r w:rsidRPr="00A55982">
        <w:rPr>
          <w:b/>
          <w:bCs/>
        </w:rPr>
        <w:lastRenderedPageBreak/>
        <w:t>Supportive Tone &amp; Community Emphasis:</w:t>
      </w:r>
      <w:r w:rsidRPr="00A55982">
        <w:t xml:space="preserve"> The site’s content strategy emphasizes support and community. For example, the </w:t>
      </w:r>
      <w:r w:rsidRPr="00A55982">
        <w:rPr>
          <w:b/>
          <w:bCs/>
        </w:rPr>
        <w:t>Support Groups</w:t>
      </w:r>
      <w:r w:rsidRPr="00A55982">
        <w:t xml:space="preserve"> page welcomes anyone affected by PG and assures them “you are not alone,” fostering a compassionate tone. Content like </w:t>
      </w:r>
      <w:r w:rsidRPr="00A55982">
        <w:rPr>
          <w:b/>
          <w:bCs/>
        </w:rPr>
        <w:t>“Talking About PG”</w:t>
      </w:r>
      <w:r w:rsidRPr="00A55982">
        <w:t xml:space="preserve"> provides practical tips for patients to communicate about their condition, reflecting a user-centric approach focused on improving patients’ lives. This supportive, encouraging tone is consistent and appropriate for the audience. </w:t>
      </w:r>
      <w:hyperlink r:id="rId7" w:history="1">
        <w:r w:rsidRPr="00A55982">
          <w:rPr>
            <w:rStyle w:val="Hyperlink"/>
          </w:rPr>
          <w:t>[allthingspg.org]</w:t>
        </w:r>
      </w:hyperlink>
      <w:r w:rsidRPr="00A55982">
        <w:t xml:space="preserve"> </w:t>
      </w:r>
      <w:hyperlink r:id="rId8" w:history="1">
        <w:r w:rsidRPr="00A55982">
          <w:rPr>
            <w:rStyle w:val="Hyperlink"/>
          </w:rPr>
          <w:t>[allthingspg.org]</w:t>
        </w:r>
      </w:hyperlink>
      <w:r w:rsidRPr="00A55982">
        <w:t xml:space="preserve">, </w:t>
      </w:r>
      <w:hyperlink r:id="rId9" w:history="1">
        <w:r w:rsidRPr="00A55982">
          <w:rPr>
            <w:rStyle w:val="Hyperlink"/>
          </w:rPr>
          <w:t>[allthingspg.org]</w:t>
        </w:r>
      </w:hyperlink>
    </w:p>
    <w:p w14:paraId="3E7D9E00" w14:textId="77777777" w:rsidR="00A55982" w:rsidRPr="00A55982" w:rsidRDefault="00A55982" w:rsidP="00A55982">
      <w:pPr>
        <w:numPr>
          <w:ilvl w:val="0"/>
          <w:numId w:val="17"/>
        </w:numPr>
        <w:spacing w:before="0" w:after="160" w:line="278" w:lineRule="auto"/>
      </w:pPr>
      <w:r w:rsidRPr="00A55982">
        <w:rPr>
          <w:b/>
          <w:bCs/>
        </w:rPr>
        <w:t>Initial Interactive Tools:</w:t>
      </w:r>
      <w:r w:rsidRPr="00A55982">
        <w:t xml:space="preserve"> Despite being a static site, Phase 1 includes a valuable </w:t>
      </w:r>
      <w:r w:rsidRPr="00A55982">
        <w:rPr>
          <w:b/>
          <w:bCs/>
        </w:rPr>
        <w:t>Clinic Finder</w:t>
      </w:r>
      <w:r w:rsidRPr="00A55982">
        <w:t xml:space="preserve"> tool to help users locate PG specialists by state. The presence of this searchable map/directory is a strong feature for a niche community, directly addressing a major patient need (finding knowledgeable care). It signals a forward-looking approach, as interactive elements like this are unusual in basic static sites. The site also integrates external tools effectively for </w:t>
      </w:r>
      <w:r w:rsidRPr="00A55982">
        <w:rPr>
          <w:b/>
          <w:bCs/>
        </w:rPr>
        <w:t>surveys</w:t>
      </w:r>
      <w:r w:rsidRPr="00A55982">
        <w:t xml:space="preserve"> and </w:t>
      </w:r>
      <w:r w:rsidRPr="00A55982">
        <w:rPr>
          <w:b/>
          <w:bCs/>
        </w:rPr>
        <w:t>email updates</w:t>
      </w:r>
      <w:r w:rsidRPr="00A55982">
        <w:t xml:space="preserve"> – for example, linking to a PG patient survey and embedding an email subscription form – which encourages user engagement even at this early stage. </w:t>
      </w:r>
      <w:hyperlink r:id="rId10" w:history="1">
        <w:r w:rsidRPr="00A55982">
          <w:rPr>
            <w:rStyle w:val="Hyperlink"/>
          </w:rPr>
          <w:t>[allthingspg.org]</w:t>
        </w:r>
      </w:hyperlink>
      <w:r w:rsidRPr="00A55982">
        <w:t xml:space="preserve"> </w:t>
      </w:r>
      <w:hyperlink r:id="rId11" w:history="1">
        <w:r w:rsidRPr="00A55982">
          <w:rPr>
            <w:rStyle w:val="Hyperlink"/>
          </w:rPr>
          <w:t>[allthingspg.org]</w:t>
        </w:r>
      </w:hyperlink>
      <w:r w:rsidRPr="00A55982">
        <w:t xml:space="preserve"> </w:t>
      </w:r>
      <w:hyperlink r:id="rId12" w:history="1">
        <w:r w:rsidRPr="00A55982">
          <w:rPr>
            <w:rStyle w:val="Hyperlink"/>
          </w:rPr>
          <w:t>[allthingspg.org]</w:t>
        </w:r>
      </w:hyperlink>
    </w:p>
    <w:p w14:paraId="74233618" w14:textId="77777777" w:rsidR="00A55982" w:rsidRPr="00A55982" w:rsidRDefault="00A55982" w:rsidP="00A55982">
      <w:pPr>
        <w:numPr>
          <w:ilvl w:val="0"/>
          <w:numId w:val="17"/>
        </w:numPr>
        <w:spacing w:before="0" w:after="160" w:line="278" w:lineRule="auto"/>
      </w:pPr>
      <w:r w:rsidRPr="00A55982">
        <w:rPr>
          <w:b/>
          <w:bCs/>
        </w:rPr>
        <w:t>Performance &amp; Simplicity:</w:t>
      </w:r>
      <w:r w:rsidRPr="00A55982">
        <w:t xml:space="preserve"> </w:t>
      </w:r>
      <w:r w:rsidRPr="00A55982">
        <w:rPr>
          <w:i/>
          <w:iCs/>
        </w:rPr>
        <w:t>(Inferred)</w:t>
      </w:r>
      <w:r w:rsidRPr="00A55982">
        <w:t xml:space="preserve"> The simple, content-focused design likely yields fast load times and a straightforward browsing experience (common advantages of static sites). Minimal scripts and the absence of heavy multimedia suggest the site performs well on various devices, which is beneficial for users who may have limited internet or older devices (often a consideration for accessibility in health contexts). The site uses a responsive design (assumed from modern development practices in 2025–2026), so it should adapt to mobile screens adequately. Simplicity in design also reduces cognitive load for users dealing with </w:t>
      </w:r>
      <w:proofErr w:type="gramStart"/>
      <w:r w:rsidRPr="00A55982">
        <w:t>a stressful</w:t>
      </w:r>
      <w:proofErr w:type="gramEnd"/>
      <w:r w:rsidRPr="00A55982">
        <w:t xml:space="preserve"> health condition.</w:t>
      </w:r>
    </w:p>
    <w:p w14:paraId="05DF3D98" w14:textId="77777777" w:rsidR="00A55982" w:rsidRPr="00A55982" w:rsidRDefault="00A55982" w:rsidP="00A55982">
      <w:pPr>
        <w:spacing w:before="0" w:after="160" w:line="278" w:lineRule="auto"/>
        <w:rPr>
          <w:b/>
          <w:bCs/>
        </w:rPr>
      </w:pPr>
      <w:r w:rsidRPr="00A55982">
        <w:rPr>
          <w:b/>
          <w:bCs/>
        </w:rPr>
        <w:t>Weaknesses</w:t>
      </w:r>
    </w:p>
    <w:p w14:paraId="604AA1E5" w14:textId="77777777" w:rsidR="00A55982" w:rsidRPr="00A55982" w:rsidRDefault="00A55982" w:rsidP="00A55982">
      <w:pPr>
        <w:numPr>
          <w:ilvl w:val="0"/>
          <w:numId w:val="18"/>
        </w:numPr>
        <w:spacing w:before="0" w:after="160" w:line="278" w:lineRule="auto"/>
      </w:pPr>
      <w:r w:rsidRPr="00A55982">
        <w:rPr>
          <w:b/>
          <w:bCs/>
        </w:rPr>
        <w:t>Static Content Maintenance:</w:t>
      </w:r>
      <w:r w:rsidRPr="00A55982">
        <w:t xml:space="preserve"> The Phase 1 site appears to be </w:t>
      </w:r>
      <w:r w:rsidRPr="00A55982">
        <w:rPr>
          <w:b/>
          <w:bCs/>
        </w:rPr>
        <w:t>statically built</w:t>
      </w:r>
      <w:r w:rsidRPr="00A55982">
        <w:t xml:space="preserve"> (no content database), which severely limits maintainability and agility. Adding new content or updating existing pages requires technical effort (code edits and redeployment) instead of a quick CMS entry. As a result, content updates may lag or rely on developer availability, risking stale information and missed opportunities for timely engagement. For example, the </w:t>
      </w:r>
      <w:r w:rsidRPr="00A55982">
        <w:rPr>
          <w:b/>
          <w:bCs/>
        </w:rPr>
        <w:t>News &amp; Events</w:t>
      </w:r>
      <w:r w:rsidRPr="00A55982">
        <w:t xml:space="preserve"> section currently just lists external links to stories and videos, rather than hosting rich content on-site – a likely consequence of not having a dynamic content system. </w:t>
      </w:r>
      <w:r w:rsidRPr="00A55982">
        <w:rPr>
          <w:b/>
          <w:bCs/>
        </w:rPr>
        <w:t>Why it matters:</w:t>
      </w:r>
      <w:r w:rsidRPr="00A55982">
        <w:t xml:space="preserve"> In a rapidly evolving health domain, inability to quickly publish updates (e.g. research news or events) can reduce the site’s relevance and user trust. </w:t>
      </w:r>
      <w:hyperlink r:id="rId13" w:history="1">
        <w:r w:rsidRPr="00A55982">
          <w:rPr>
            <w:rStyle w:val="Hyperlink"/>
          </w:rPr>
          <w:t>[allthingspg.org]</w:t>
        </w:r>
      </w:hyperlink>
      <w:r w:rsidRPr="00A55982">
        <w:t xml:space="preserve">, </w:t>
      </w:r>
      <w:hyperlink r:id="rId14" w:history="1">
        <w:r w:rsidRPr="00A55982">
          <w:rPr>
            <w:rStyle w:val="Hyperlink"/>
          </w:rPr>
          <w:t>[allthingspg.org]</w:t>
        </w:r>
      </w:hyperlink>
    </w:p>
    <w:p w14:paraId="2A31B871" w14:textId="77777777" w:rsidR="00A55982" w:rsidRPr="00A55982" w:rsidRDefault="00A55982" w:rsidP="00A55982">
      <w:pPr>
        <w:numPr>
          <w:ilvl w:val="0"/>
          <w:numId w:val="18"/>
        </w:numPr>
        <w:spacing w:before="0" w:after="160" w:line="278" w:lineRule="auto"/>
      </w:pPr>
      <w:r w:rsidRPr="00A55982">
        <w:rPr>
          <w:b/>
          <w:bCs/>
        </w:rPr>
        <w:t>No Search or Advanced Navigation:</w:t>
      </w:r>
      <w:r w:rsidRPr="00A55982">
        <w:t xml:space="preserve"> Users cannot search the website’s content – an omission that hampers findability, even if the content volume is modest now. The navigation is entirely manual: users must click through menu categories (e.g. “About PG” or “News &amp; Events”) or manually scan pages for information. This is manageable for a handful of pages but will become frustrating as content grows. </w:t>
      </w:r>
      <w:r w:rsidRPr="00A55982">
        <w:rPr>
          <w:b/>
          <w:bCs/>
        </w:rPr>
        <w:t>Impact:</w:t>
      </w:r>
      <w:r w:rsidRPr="00A55982">
        <w:t xml:space="preserve"> Without a search bar or filtering, a caregiver looking for specific information (say, “pain management for PG” or a particular news piece) may struggle to find it quickly, possibly leaving the site. Likewise, the </w:t>
      </w:r>
      <w:r w:rsidRPr="00A55982">
        <w:rPr>
          <w:b/>
          <w:bCs/>
        </w:rPr>
        <w:t>Clinic Finder</w:t>
      </w:r>
      <w:r w:rsidRPr="00A55982">
        <w:t xml:space="preserve"> has state filtering only by clicking state abbreviations, which may not be obvious to all users and could present usability issues, especially on small screens. </w:t>
      </w:r>
      <w:hyperlink r:id="rId15" w:history="1">
        <w:r w:rsidRPr="00A55982">
          <w:rPr>
            <w:rStyle w:val="Hyperlink"/>
          </w:rPr>
          <w:t>[allthingspg.org]</w:t>
        </w:r>
      </w:hyperlink>
    </w:p>
    <w:p w14:paraId="507D9041" w14:textId="77777777" w:rsidR="00A55982" w:rsidRPr="00A55982" w:rsidRDefault="00A55982" w:rsidP="00A55982">
      <w:pPr>
        <w:numPr>
          <w:ilvl w:val="0"/>
          <w:numId w:val="18"/>
        </w:numPr>
        <w:spacing w:before="0" w:after="160" w:line="278" w:lineRule="auto"/>
      </w:pPr>
      <w:r w:rsidRPr="00A55982">
        <w:rPr>
          <w:b/>
          <w:bCs/>
        </w:rPr>
        <w:t>Navigation &amp; Structural Gaps:</w:t>
      </w:r>
      <w:r w:rsidRPr="00A55982">
        <w:t xml:space="preserve"> The site’s </w:t>
      </w:r>
      <w:r w:rsidRPr="00A55982">
        <w:rPr>
          <w:b/>
          <w:bCs/>
        </w:rPr>
        <w:t>information architecture</w:t>
      </w:r>
      <w:r w:rsidRPr="00A55982">
        <w:t xml:space="preserve">, while straightforward, has some inconsistencies. Key sections like “About PG” and “Living with PG” are logically grouped, but </w:t>
      </w:r>
      <w:r w:rsidRPr="00A55982">
        <w:lastRenderedPageBreak/>
        <w:t xml:space="preserve">other resources (e.g. the Support Groups page) are not clearly integrated into these categories – it appears as a standalone menu item, which may confuse users. The main navigation labeling could be clearer: for instance, it is not immediately clear what the “All Things PG” menu item represents (beyond the site’s name) or if it’s just a home link. Some redundancy exists; for example, the </w:t>
      </w:r>
      <w:r w:rsidRPr="00A55982">
        <w:rPr>
          <w:b/>
          <w:bCs/>
        </w:rPr>
        <w:t>email sign-up call-to-action</w:t>
      </w:r>
      <w:r w:rsidRPr="00A55982">
        <w:t xml:space="preserve"> (“Sign up for updates”) is repeated on many pages, which, while important, could be streamlined. </w:t>
      </w:r>
      <w:r w:rsidRPr="00A55982">
        <w:rPr>
          <w:b/>
          <w:bCs/>
        </w:rPr>
        <w:t>Impact:</w:t>
      </w:r>
      <w:r w:rsidRPr="00A55982">
        <w:t xml:space="preserve"> A less-than-intuitive navigation or slight duplication can impede new visitors from discovering all resources. Patients or caregivers not familiar with web conventions might miss critical pages if they are not clearly labeled or grouped. </w:t>
      </w:r>
      <w:hyperlink r:id="rId16" w:history="1">
        <w:r w:rsidRPr="00A55982">
          <w:rPr>
            <w:rStyle w:val="Hyperlink"/>
          </w:rPr>
          <w:t>[allthingspg.org]</w:t>
        </w:r>
      </w:hyperlink>
      <w:r w:rsidRPr="00A55982">
        <w:t xml:space="preserve">, </w:t>
      </w:r>
      <w:hyperlink r:id="rId17" w:history="1">
        <w:r w:rsidRPr="00A55982">
          <w:rPr>
            <w:rStyle w:val="Hyperlink"/>
          </w:rPr>
          <w:t>[allthingspg.org]</w:t>
        </w:r>
      </w:hyperlink>
    </w:p>
    <w:p w14:paraId="7C13F935" w14:textId="77777777" w:rsidR="00A55982" w:rsidRPr="00A55982" w:rsidRDefault="00A55982" w:rsidP="00A55982">
      <w:pPr>
        <w:numPr>
          <w:ilvl w:val="0"/>
          <w:numId w:val="18"/>
        </w:numPr>
        <w:spacing w:before="0" w:after="160" w:line="278" w:lineRule="auto"/>
      </w:pPr>
      <w:r w:rsidRPr="00A55982">
        <w:rPr>
          <w:b/>
          <w:bCs/>
        </w:rPr>
        <w:t>Lack of Audience-Specific Paths:</w:t>
      </w:r>
      <w:r w:rsidRPr="00A55982">
        <w:t xml:space="preserve"> Although the site is intended for both patients and caregivers, content is not explicitly segmented or personalized by audience type. All users see the same navigation and pages. There is no section like “For Patients” vs “For Caregivers” that curates content based on their differing needs. </w:t>
      </w:r>
      <w:r w:rsidRPr="00A55982">
        <w:rPr>
          <w:b/>
          <w:bCs/>
        </w:rPr>
        <w:t xml:space="preserve">Why </w:t>
      </w:r>
      <w:proofErr w:type="gramStart"/>
      <w:r w:rsidRPr="00A55982">
        <w:rPr>
          <w:b/>
          <w:bCs/>
        </w:rPr>
        <w:t>it’s</w:t>
      </w:r>
      <w:proofErr w:type="gramEnd"/>
      <w:r w:rsidRPr="00A55982">
        <w:rPr>
          <w:b/>
          <w:bCs/>
        </w:rPr>
        <w:t xml:space="preserve"> a problem:</w:t>
      </w:r>
      <w:r w:rsidRPr="00A55982">
        <w:t xml:space="preserve"> Caregivers might have unique questions (e.g., how to support a loved one with PG, how to manage care logistics) that could be addressed in dedicated content. Without clear signposting, caregivers must sift through patient-oriented content to find relevant insights. This one-size-fits-all approach may limit the perceived relevance for each group and is an </w:t>
      </w:r>
      <w:proofErr w:type="gramStart"/>
      <w:r w:rsidRPr="00A55982">
        <w:rPr>
          <w:b/>
          <w:bCs/>
        </w:rPr>
        <w:t>opportunity cost</w:t>
      </w:r>
      <w:proofErr w:type="gramEnd"/>
      <w:r w:rsidRPr="00A55982">
        <w:t xml:space="preserve"> for deeper engagement.</w:t>
      </w:r>
    </w:p>
    <w:p w14:paraId="6E38E9E6" w14:textId="77777777" w:rsidR="006E44C2" w:rsidRPr="006E44C2" w:rsidRDefault="00A55982" w:rsidP="00A55982">
      <w:pPr>
        <w:numPr>
          <w:ilvl w:val="0"/>
          <w:numId w:val="18"/>
        </w:numPr>
        <w:spacing w:before="0" w:after="160" w:line="278" w:lineRule="auto"/>
        <w:rPr>
          <w:b/>
          <w:bCs/>
          <w:i/>
          <w:iCs/>
        </w:rPr>
      </w:pPr>
      <w:r w:rsidRPr="00A55982">
        <w:rPr>
          <w:b/>
          <w:bCs/>
        </w:rPr>
        <w:t>Limited Content Depth &amp; Engagement:</w:t>
      </w:r>
      <w:r w:rsidRPr="00A55982">
        <w:t xml:space="preserve"> The current content, while well-written, remains </w:t>
      </w:r>
      <w:proofErr w:type="gramStart"/>
      <w:r w:rsidRPr="00A55982">
        <w:t>fairly high-level</w:t>
      </w:r>
      <w:proofErr w:type="gramEnd"/>
      <w:r w:rsidRPr="00A55982">
        <w:t xml:space="preserve">. For example, beyond the basic descriptions of PG and a single patient story video link, there is little in-depth content like detailed patient case studies, expert articles, or FAQs. Interactive engagement is also minimal – there’s no forum, comment section, or direct question submission mechanism (aside from a basic contact form). </w:t>
      </w:r>
    </w:p>
    <w:p w14:paraId="254C602A" w14:textId="59309815" w:rsidR="00A55982" w:rsidRPr="006E44C2" w:rsidRDefault="00A55982" w:rsidP="006E44C2">
      <w:pPr>
        <w:spacing w:before="0" w:after="160" w:line="278" w:lineRule="auto"/>
        <w:rPr>
          <w:rStyle w:val="IntenseEmphasis"/>
        </w:rPr>
      </w:pPr>
      <w:r w:rsidRPr="006E44C2">
        <w:rPr>
          <w:rStyle w:val="IntenseEmphasis"/>
        </w:rPr>
        <w:t xml:space="preserve">Impact: Users seeking more comprehensive information or community interaction may turn elsewhere. The site risks being seen as an entry point only, rather than a rich ongoing resource. </w:t>
      </w:r>
    </w:p>
    <w:p w14:paraId="7E11F31C" w14:textId="77777777" w:rsidR="00A55982" w:rsidRPr="00A55982" w:rsidRDefault="00A55982" w:rsidP="00A55982">
      <w:pPr>
        <w:spacing w:after="160" w:line="278" w:lineRule="auto"/>
      </w:pPr>
      <w:r w:rsidRPr="00A55982">
        <w:rPr>
          <w:i/>
          <w:iCs/>
        </w:rPr>
        <w:t>(Many of these weaknesses are direct results of Phase 1’s static architecture and nascent content strategy, which Phase 2 is intended to overcome.)</w:t>
      </w:r>
    </w:p>
    <w:p w14:paraId="11A880CC" w14:textId="77777777" w:rsidR="00A55982" w:rsidRPr="00A55982" w:rsidRDefault="00A55982" w:rsidP="006E44C2">
      <w:pPr>
        <w:pStyle w:val="Heading2"/>
      </w:pPr>
      <w:r w:rsidRPr="00A55982">
        <w:t>UX / UI Evaluation</w:t>
      </w:r>
    </w:p>
    <w:p w14:paraId="0861BCE6" w14:textId="77777777" w:rsidR="00A55982" w:rsidRPr="00A55982" w:rsidRDefault="00A55982" w:rsidP="00A55982">
      <w:pPr>
        <w:spacing w:after="160" w:line="278" w:lineRule="auto"/>
      </w:pPr>
      <w:r w:rsidRPr="00A55982">
        <w:rPr>
          <w:b/>
          <w:bCs/>
        </w:rPr>
        <w:t>Navigation Clarity:</w:t>
      </w:r>
      <w:r w:rsidRPr="00A55982">
        <w:t xml:space="preserve"> The top navigation bar includes broad sections (e.g. </w:t>
      </w:r>
      <w:r w:rsidRPr="00A55982">
        <w:rPr>
          <w:i/>
          <w:iCs/>
        </w:rPr>
        <w:t>About PG</w:t>
      </w:r>
      <w:r w:rsidRPr="00A55982">
        <w:t xml:space="preserve">, </w:t>
      </w:r>
      <w:r w:rsidRPr="00A55982">
        <w:rPr>
          <w:i/>
          <w:iCs/>
        </w:rPr>
        <w:t>News &amp; Events</w:t>
      </w:r>
      <w:r w:rsidRPr="00A55982">
        <w:t xml:space="preserve">, </w:t>
      </w:r>
      <w:r w:rsidRPr="00A55982">
        <w:rPr>
          <w:i/>
          <w:iCs/>
        </w:rPr>
        <w:t>About Us</w:t>
      </w:r>
      <w:r w:rsidRPr="00A55982">
        <w:t xml:space="preserve">, </w:t>
      </w:r>
      <w:r w:rsidRPr="00A55982">
        <w:rPr>
          <w:i/>
          <w:iCs/>
        </w:rPr>
        <w:t>Contact</w:t>
      </w:r>
      <w:r w:rsidRPr="00A55982">
        <w:t xml:space="preserve">, </w:t>
      </w:r>
      <w:r w:rsidRPr="00A55982">
        <w:rPr>
          <w:i/>
          <w:iCs/>
        </w:rPr>
        <w:t>Donate</w:t>
      </w:r>
      <w:r w:rsidRPr="00A55982">
        <w:t xml:space="preserve">). These categories generally make sense, but there is room for improvement. The grouping of disease information under “About PG” and supportive resources under “Living with PG” is logical, yet some navigation labels are unclear or redundant. For example, </w:t>
      </w:r>
      <w:r w:rsidRPr="00A55982">
        <w:rPr>
          <w:i/>
          <w:iCs/>
        </w:rPr>
        <w:t>“All Things PG”</w:t>
      </w:r>
      <w:r w:rsidRPr="00A55982">
        <w:t xml:space="preserve"> appears in the menu (possibly as the home link) which could confuse users who might interpret it as another section. Meanwhile, the </w:t>
      </w:r>
      <w:r w:rsidRPr="00A55982">
        <w:rPr>
          <w:b/>
          <w:bCs/>
        </w:rPr>
        <w:t>Support Groups</w:t>
      </w:r>
      <w:r w:rsidRPr="00A55982">
        <w:t xml:space="preserve"> page – a key resource – isn’t obviously nested under a clear parent section, appearing separate in some navigation contexts. </w:t>
      </w:r>
      <w:r w:rsidRPr="00A55982">
        <w:rPr>
          <w:b/>
          <w:bCs/>
        </w:rPr>
        <w:t>Recommendation:</w:t>
      </w:r>
      <w:r w:rsidRPr="00A55982">
        <w:t xml:space="preserve"> In Phase 2, streamline the top menu: ensure each menu item corresponds to a distinct content category or user need. Consider grouping </w:t>
      </w:r>
      <w:r w:rsidRPr="00A55982">
        <w:rPr>
          <w:i/>
          <w:iCs/>
        </w:rPr>
        <w:t>Support Groups</w:t>
      </w:r>
      <w:r w:rsidRPr="00A55982">
        <w:t xml:space="preserve"> and similar community resources under a clear heading (e.g. “Community” or “Get Support”) for easier discovery. </w:t>
      </w:r>
      <w:hyperlink r:id="rId18" w:history="1">
        <w:r w:rsidRPr="00A55982">
          <w:rPr>
            <w:rStyle w:val="Hyperlink"/>
          </w:rPr>
          <w:t>[allthingspg.org]</w:t>
        </w:r>
      </w:hyperlink>
      <w:r w:rsidRPr="00A55982">
        <w:t xml:space="preserve"> </w:t>
      </w:r>
      <w:hyperlink r:id="rId19" w:history="1">
        <w:r w:rsidRPr="00A55982">
          <w:rPr>
            <w:rStyle w:val="Hyperlink"/>
          </w:rPr>
          <w:t>[allthingspg.org]</w:t>
        </w:r>
      </w:hyperlink>
    </w:p>
    <w:p w14:paraId="28986C2B" w14:textId="77777777" w:rsidR="00A55982" w:rsidRPr="00A55982" w:rsidRDefault="00A55982" w:rsidP="00A55982">
      <w:pPr>
        <w:spacing w:after="160" w:line="278" w:lineRule="auto"/>
      </w:pPr>
      <w:r w:rsidRPr="00A55982">
        <w:rPr>
          <w:b/>
          <w:bCs/>
        </w:rPr>
        <w:t>Ease of Use (Patients vs. Caregivers):</w:t>
      </w:r>
      <w:r w:rsidRPr="00A55982">
        <w:t xml:space="preserve"> The site design is simple and </w:t>
      </w:r>
      <w:r w:rsidRPr="00A55982">
        <w:rPr>
          <w:b/>
          <w:bCs/>
        </w:rPr>
        <w:t>uniform for all visitors</w:t>
      </w:r>
      <w:r w:rsidRPr="00A55982">
        <w:t xml:space="preserve">, which ensures consistency but doesn’t tailor the experience. Both patients and caregivers can navigate the site similarly; however, neither group has specialized pathways. Patients likely seek medical info and peer support – the site addresses this via the “About PG” pages (for medical info) and “Support Groups” and </w:t>
      </w:r>
      <w:r w:rsidRPr="00A55982">
        <w:rPr>
          <w:i/>
          <w:iCs/>
        </w:rPr>
        <w:t>Clinic Finder</w:t>
      </w:r>
      <w:r w:rsidRPr="00A55982">
        <w:t xml:space="preserve"> for </w:t>
      </w:r>
      <w:r w:rsidRPr="00A55982">
        <w:lastRenderedPageBreak/>
        <w:t xml:space="preserve">support. Caregivers may look for guidance on helping loved ones – the site does include references to families and caregivers in </w:t>
      </w:r>
      <w:proofErr w:type="gramStart"/>
      <w:r w:rsidRPr="00A55982">
        <w:t>text</w:t>
      </w:r>
      <w:proofErr w:type="gramEnd"/>
      <w:r w:rsidRPr="00A55982">
        <w:t xml:space="preserve"> but no dedicated caregiver guide section exists. </w:t>
      </w:r>
      <w:r w:rsidRPr="00A55982">
        <w:rPr>
          <w:b/>
          <w:bCs/>
        </w:rPr>
        <w:t>Heuristic assessment:</w:t>
      </w:r>
      <w:r w:rsidRPr="00A55982">
        <w:t xml:space="preserve"> The site’s straightforward layout is </w:t>
      </w:r>
      <w:r w:rsidRPr="00A55982">
        <w:rPr>
          <w:b/>
          <w:bCs/>
        </w:rPr>
        <w:t>usable</w:t>
      </w:r>
      <w:r w:rsidRPr="00A55982">
        <w:t xml:space="preserve"> by both </w:t>
      </w:r>
      <w:proofErr w:type="gramStart"/>
      <w:r w:rsidRPr="00A55982">
        <w:t>groups, but</w:t>
      </w:r>
      <w:proofErr w:type="gramEnd"/>
      <w:r w:rsidRPr="00A55982">
        <w:t xml:space="preserve"> not optimized to highlight caregiver-specific content. Phase 2 should introduce audience-based tagging or sections. For example, </w:t>
      </w:r>
      <w:r w:rsidRPr="00A55982">
        <w:rPr>
          <w:i/>
          <w:iCs/>
        </w:rPr>
        <w:t>Caregiver Tips</w:t>
      </w:r>
      <w:r w:rsidRPr="00A55982">
        <w:t xml:space="preserve"> or a “For Caregivers” content filter would improve usability by directly addressing that segment’s questions. </w:t>
      </w:r>
      <w:hyperlink r:id="rId20" w:history="1">
        <w:r w:rsidRPr="00A55982">
          <w:rPr>
            <w:rStyle w:val="Hyperlink"/>
          </w:rPr>
          <w:t>[allthingspg.org]</w:t>
        </w:r>
      </w:hyperlink>
      <w:r w:rsidRPr="00A55982">
        <w:t xml:space="preserve"> </w:t>
      </w:r>
      <w:hyperlink r:id="rId21" w:history="1">
        <w:r w:rsidRPr="00A55982">
          <w:rPr>
            <w:rStyle w:val="Hyperlink"/>
          </w:rPr>
          <w:t>[allthingspg.org]</w:t>
        </w:r>
      </w:hyperlink>
      <w:r w:rsidRPr="00A55982">
        <w:t xml:space="preserve">, </w:t>
      </w:r>
      <w:hyperlink r:id="rId22" w:history="1">
        <w:r w:rsidRPr="00A55982">
          <w:rPr>
            <w:rStyle w:val="Hyperlink"/>
          </w:rPr>
          <w:t>[allthingspg.org]</w:t>
        </w:r>
      </w:hyperlink>
    </w:p>
    <w:p w14:paraId="7A7A7254" w14:textId="77777777" w:rsidR="00A55982" w:rsidRPr="00A55982" w:rsidRDefault="00A55982" w:rsidP="00A55982">
      <w:pPr>
        <w:spacing w:after="160" w:line="278" w:lineRule="auto"/>
      </w:pPr>
      <w:r w:rsidRPr="00A55982">
        <w:rPr>
          <w:b/>
          <w:bCs/>
        </w:rPr>
        <w:t>Mobile Responsiveness:</w:t>
      </w:r>
      <w:r w:rsidRPr="00A55982">
        <w:t xml:space="preserve"> </w:t>
      </w:r>
      <w:r w:rsidRPr="00A55982">
        <w:rPr>
          <w:i/>
          <w:iCs/>
        </w:rPr>
        <w:t>Heuristically inferred.</w:t>
      </w:r>
      <w:r w:rsidRPr="00A55982">
        <w:t xml:space="preserve"> The content structure (single-column text with headings and some lists) suggests a responsive implementation. The lack of mention of separate mobile pages and the modern design timeframe (2025–2026) imply responsive CSS was used. However, some UI elements might pose challenges on small screens – e.g., the wide horizontal list of state abbreviations in the Clinic Finder could be hard to tap or scroll on mobile. Similarly, multi-column menu structures might compress awkwardly on a phone. </w:t>
      </w:r>
      <w:r w:rsidRPr="00A55982">
        <w:rPr>
          <w:b/>
          <w:bCs/>
        </w:rPr>
        <w:t>Recommendation:</w:t>
      </w:r>
      <w:r w:rsidRPr="00A55982">
        <w:t xml:space="preserve"> Phase 2 should explicitly test and refine mobile styles, ensuring that navigation collapses into a clear mobile menu and interactive elements like the state filter are </w:t>
      </w:r>
      <w:proofErr w:type="gramStart"/>
      <w:r w:rsidRPr="00A55982">
        <w:t>touch-friendly</w:t>
      </w:r>
      <w:proofErr w:type="gramEnd"/>
      <w:r w:rsidRPr="00A55982">
        <w:t xml:space="preserve">. Given a significant portion of patient audience may browse on mobile, optimizing for mobile-first design is crucial for accessibility and engagement. </w:t>
      </w:r>
      <w:hyperlink r:id="rId23" w:history="1">
        <w:r w:rsidRPr="00A55982">
          <w:rPr>
            <w:rStyle w:val="Hyperlink"/>
          </w:rPr>
          <w:t>[allthingspg.org]</w:t>
        </w:r>
      </w:hyperlink>
    </w:p>
    <w:p w14:paraId="4680F002" w14:textId="77777777" w:rsidR="00A55982" w:rsidRPr="00A55982" w:rsidRDefault="00A55982" w:rsidP="00A55982">
      <w:pPr>
        <w:spacing w:after="160" w:line="278" w:lineRule="auto"/>
      </w:pPr>
      <w:r w:rsidRPr="00A55982">
        <w:rPr>
          <w:b/>
          <w:bCs/>
        </w:rPr>
        <w:t>Visual Hierarchy &amp; Accessibility:</w:t>
      </w:r>
      <w:r w:rsidRPr="00A55982">
        <w:t xml:space="preserve"> The site uses clear headings and subheadings to structure content (e.g. the </w:t>
      </w:r>
      <w:r w:rsidRPr="00A55982">
        <w:rPr>
          <w:b/>
          <w:bCs/>
        </w:rPr>
        <w:t>What is PG</w:t>
      </w:r>
      <w:r w:rsidRPr="00A55982">
        <w:t xml:space="preserve"> page has proper headings for sections and subtopics). This approach creates a logical visual hierarchy, which is good for scanning and screen-reader accessibility. Text is mostly black on white or high-contrast backgrounds, which is favorable for readability (though we have not tested color contrast, it appears standard). One potential issue is the </w:t>
      </w:r>
      <w:r w:rsidRPr="00A55982">
        <w:rPr>
          <w:b/>
          <w:bCs/>
        </w:rPr>
        <w:t>lack of imagery</w:t>
      </w:r>
      <w:r w:rsidRPr="00A55982">
        <w:t xml:space="preserve"> or graphics – while this keeps pages clean and fast, it may also make the site feel text-heavy and less engaging. Additionally, reliance solely on text could be a cognitive burden for users with lower health literacy or visual learning preferences. On the accessibility front, the site includes a Google Translate widget (as indicated by the “Original text / Translate” elements), showing consideration for non-English speakers. </w:t>
      </w:r>
      <w:r w:rsidRPr="00A55982">
        <w:rPr>
          <w:b/>
          <w:bCs/>
        </w:rPr>
        <w:t>Recommendations:</w:t>
      </w:r>
      <w:r w:rsidRPr="00A55982">
        <w:t xml:space="preserve"> In Phase 2, incorporate relevant images, icons, or infographics with proper alt text to enhance visual appeal and explanatory power. Ensure all images have descriptive alt attributes for screen readers, and continue adhering to semantic HTML for headings, lists, and links. Possibly integrate accessibility reviews (e.g. ARIA landmarks, keyboard navigation checks) as part of the new CMS templates to uphold compliance. </w:t>
      </w:r>
      <w:hyperlink r:id="rId24" w:history="1">
        <w:r w:rsidRPr="00A55982">
          <w:rPr>
            <w:rStyle w:val="Hyperlink"/>
          </w:rPr>
          <w:t>[allthingspg.org]</w:t>
        </w:r>
      </w:hyperlink>
      <w:r w:rsidRPr="00A55982">
        <w:t xml:space="preserve"> </w:t>
      </w:r>
      <w:hyperlink r:id="rId25" w:history="1">
        <w:r w:rsidRPr="00A55982">
          <w:rPr>
            <w:rStyle w:val="Hyperlink"/>
          </w:rPr>
          <w:t>[allthingspg.org]</w:t>
        </w:r>
      </w:hyperlink>
    </w:p>
    <w:p w14:paraId="5B84615B" w14:textId="77777777" w:rsidR="00A55982" w:rsidRPr="00A55982" w:rsidRDefault="00A55982" w:rsidP="006E44C2">
      <w:pPr>
        <w:pStyle w:val="Heading2"/>
      </w:pPr>
      <w:r w:rsidRPr="00A55982">
        <w:t>Information Architecture (IA) Analysis</w:t>
      </w:r>
    </w:p>
    <w:p w14:paraId="0097B7BB" w14:textId="77777777" w:rsidR="00A55982" w:rsidRPr="00A55982" w:rsidRDefault="00A55982" w:rsidP="00A55982">
      <w:pPr>
        <w:spacing w:after="160" w:line="278" w:lineRule="auto"/>
      </w:pPr>
      <w:r w:rsidRPr="00A55982">
        <w:t xml:space="preserve">The </w:t>
      </w:r>
      <w:r w:rsidRPr="00A55982">
        <w:rPr>
          <w:b/>
          <w:bCs/>
        </w:rPr>
        <w:t>information architecture</w:t>
      </w:r>
      <w:r w:rsidRPr="00A55982">
        <w:t xml:space="preserve"> of All Things PG Phase 1 is straightforward but somewhat </w:t>
      </w:r>
      <w:r w:rsidRPr="00A55982">
        <w:rPr>
          <w:b/>
          <w:bCs/>
        </w:rPr>
        <w:t>flat</w:t>
      </w:r>
      <w:r w:rsidRPr="00A55982">
        <w:t>. Content is organized into a few main categories:</w:t>
      </w:r>
    </w:p>
    <w:p w14:paraId="577021FA" w14:textId="77777777" w:rsidR="00A55982" w:rsidRPr="00A55982" w:rsidRDefault="00A55982" w:rsidP="00A55982">
      <w:pPr>
        <w:numPr>
          <w:ilvl w:val="0"/>
          <w:numId w:val="19"/>
        </w:numPr>
        <w:spacing w:before="0" w:after="160" w:line="278" w:lineRule="auto"/>
      </w:pPr>
      <w:r w:rsidRPr="00A55982">
        <w:rPr>
          <w:b/>
          <w:bCs/>
        </w:rPr>
        <w:t>About PG:</w:t>
      </w:r>
      <w:r w:rsidRPr="00A55982">
        <w:t xml:space="preserve"> Contains core medical and disease information pages (What is PG, Symptoms, Causes, Diagnosis, Treatment, Associated Health Issues). </w:t>
      </w:r>
      <w:hyperlink r:id="rId26" w:history="1">
        <w:r w:rsidRPr="00A55982">
          <w:rPr>
            <w:rStyle w:val="Hyperlink"/>
          </w:rPr>
          <w:t>[allthingspg.org]</w:t>
        </w:r>
      </w:hyperlink>
    </w:p>
    <w:p w14:paraId="03D451A3" w14:textId="77777777" w:rsidR="00A55982" w:rsidRPr="00A55982" w:rsidRDefault="00A55982" w:rsidP="00A55982">
      <w:pPr>
        <w:numPr>
          <w:ilvl w:val="0"/>
          <w:numId w:val="19"/>
        </w:numPr>
        <w:spacing w:before="0" w:after="160" w:line="278" w:lineRule="auto"/>
      </w:pPr>
      <w:r w:rsidRPr="00A55982">
        <w:rPr>
          <w:b/>
          <w:bCs/>
        </w:rPr>
        <w:t>Living with PG:</w:t>
      </w:r>
      <w:r w:rsidRPr="00A55982">
        <w:t xml:space="preserve"> Contains guidance for managing life with the disease (e.g. How to Identify PG, Talking About PG). </w:t>
      </w:r>
      <w:hyperlink r:id="rId27" w:history="1">
        <w:r w:rsidRPr="00A55982">
          <w:rPr>
            <w:rStyle w:val="Hyperlink"/>
          </w:rPr>
          <w:t>[allthingspg.org]</w:t>
        </w:r>
      </w:hyperlink>
    </w:p>
    <w:p w14:paraId="034C82AE" w14:textId="77777777" w:rsidR="00A55982" w:rsidRPr="00A55982" w:rsidRDefault="00A55982" w:rsidP="00A55982">
      <w:pPr>
        <w:numPr>
          <w:ilvl w:val="0"/>
          <w:numId w:val="19"/>
        </w:numPr>
        <w:spacing w:before="0" w:after="160" w:line="278" w:lineRule="auto"/>
      </w:pPr>
      <w:r w:rsidRPr="00A55982">
        <w:rPr>
          <w:b/>
          <w:bCs/>
        </w:rPr>
        <w:t>Community/Support:</w:t>
      </w:r>
      <w:r w:rsidRPr="00A55982">
        <w:t xml:space="preserve"> There are resources like Support Groups, a Clinic Finder tool, and external links (survey, etc.), but they are not consolidated under one menu label on the site, making the structure a bit disjointed. The “News &amp; Events” section lists updates and stories, functioning like a blog or news listing. </w:t>
      </w:r>
      <w:hyperlink r:id="rId28" w:history="1">
        <w:r w:rsidRPr="00A55982">
          <w:rPr>
            <w:rStyle w:val="Hyperlink"/>
          </w:rPr>
          <w:t>[allthingspg.org]</w:t>
        </w:r>
      </w:hyperlink>
      <w:r w:rsidRPr="00A55982">
        <w:t xml:space="preserve"> </w:t>
      </w:r>
      <w:hyperlink r:id="rId29" w:history="1">
        <w:r w:rsidRPr="00A55982">
          <w:rPr>
            <w:rStyle w:val="Hyperlink"/>
          </w:rPr>
          <w:t>[allthingspg.org]</w:t>
        </w:r>
      </w:hyperlink>
      <w:r w:rsidRPr="00A55982">
        <w:t xml:space="preserve"> </w:t>
      </w:r>
      <w:hyperlink r:id="rId30" w:history="1">
        <w:r w:rsidRPr="00A55982">
          <w:rPr>
            <w:rStyle w:val="Hyperlink"/>
          </w:rPr>
          <w:t>[allthingspg.org]</w:t>
        </w:r>
      </w:hyperlink>
    </w:p>
    <w:p w14:paraId="293E03FC" w14:textId="77777777" w:rsidR="00A55982" w:rsidRPr="00A55982" w:rsidRDefault="00A55982" w:rsidP="00A55982">
      <w:pPr>
        <w:spacing w:after="160" w:line="278" w:lineRule="auto"/>
      </w:pPr>
      <w:r w:rsidRPr="00A55982">
        <w:rPr>
          <w:b/>
          <w:bCs/>
        </w:rPr>
        <w:t>Page Hierarchy &amp; Discoverability:</w:t>
      </w:r>
      <w:r w:rsidRPr="00A55982">
        <w:t xml:space="preserve"> The </w:t>
      </w:r>
      <w:r w:rsidRPr="00A55982">
        <w:rPr>
          <w:b/>
          <w:bCs/>
        </w:rPr>
        <w:t>hierarchy depth</w:t>
      </w:r>
      <w:r w:rsidRPr="00A55982">
        <w:t xml:space="preserve"> is shallow – essentially one level down from the main menu to individual pages. This is good for simplicity (no </w:t>
      </w:r>
      <w:proofErr w:type="gramStart"/>
      <w:r w:rsidRPr="00A55982">
        <w:t>deeply</w:t>
      </w:r>
      <w:proofErr w:type="gramEnd"/>
      <w:r w:rsidRPr="00A55982">
        <w:t xml:space="preserve"> nested menus). However, it also means </w:t>
      </w:r>
      <w:r w:rsidRPr="00A55982">
        <w:lastRenderedPageBreak/>
        <w:t xml:space="preserve">related items might not be obviously connected. For example, a user reading “What is PG?” may not realize “PG Symptoms” or “PG Causes” are companion pages unless they notice the menu or bottom-of-page link set, since there are no in-text links connecting those topics. Additionally, the site’s reliance on external pages (e.g., news items linking off-site) can disrupt the internal structure and user journey. </w:t>
      </w:r>
      <w:hyperlink r:id="rId31" w:history="1">
        <w:r w:rsidRPr="00A55982">
          <w:rPr>
            <w:rStyle w:val="Hyperlink"/>
          </w:rPr>
          <w:t>[allthingspg.org]</w:t>
        </w:r>
      </w:hyperlink>
      <w:r w:rsidRPr="00A55982">
        <w:t xml:space="preserve"> </w:t>
      </w:r>
      <w:hyperlink r:id="rId32" w:history="1">
        <w:r w:rsidRPr="00A55982">
          <w:rPr>
            <w:rStyle w:val="Hyperlink"/>
          </w:rPr>
          <w:t>[allthingspg.org]</w:t>
        </w:r>
      </w:hyperlink>
    </w:p>
    <w:p w14:paraId="4B2BABEC" w14:textId="77777777" w:rsidR="00A55982" w:rsidRPr="00A55982" w:rsidRDefault="00A55982" w:rsidP="00A55982">
      <w:pPr>
        <w:spacing w:after="160" w:line="278" w:lineRule="auto"/>
      </w:pPr>
      <w:r w:rsidRPr="00A55982">
        <w:rPr>
          <w:b/>
          <w:bCs/>
        </w:rPr>
        <w:t>Logical Grouping &amp; Gaps:</w:t>
      </w:r>
      <w:r w:rsidRPr="00A55982">
        <w:t xml:space="preserve"> The main content grouping is rational (medical info vs. living with the condition). Yet, the IA could better reflect tasks users want to accomplish. For instance, a </w:t>
      </w:r>
      <w:r w:rsidRPr="00A55982">
        <w:rPr>
          <w:i/>
          <w:iCs/>
        </w:rPr>
        <w:t>caregiver</w:t>
      </w:r>
      <w:r w:rsidRPr="00A55982">
        <w:t xml:space="preserve"> might not intuitively click “Living with PG” for advice; a label like “Care &amp; Support” might resonate more. There are also some content </w:t>
      </w:r>
      <w:r w:rsidRPr="00A55982">
        <w:rPr>
          <w:b/>
          <w:bCs/>
        </w:rPr>
        <w:t>gaps</w:t>
      </w:r>
      <w:r w:rsidRPr="00A55982">
        <w:t>: no obvious FAQ section (common in health sites), and no dedicated “Resources” section consolidating things like support groups, clinic finder, and external references. The structure currently puts those under different parts (support groups under a top link, clinic finder via homepage CTA). Over time, this might confuse as more content types are added.</w:t>
      </w:r>
    </w:p>
    <w:p w14:paraId="656F5140" w14:textId="77777777" w:rsidR="00A55982" w:rsidRPr="00A55982" w:rsidRDefault="00A55982" w:rsidP="00A55982">
      <w:pPr>
        <w:spacing w:after="160" w:line="278" w:lineRule="auto"/>
      </w:pPr>
      <w:r w:rsidRPr="00A55982">
        <w:rPr>
          <w:b/>
          <w:bCs/>
        </w:rPr>
        <w:t>Redundancies:</w:t>
      </w:r>
      <w:r w:rsidRPr="00A55982">
        <w:t xml:space="preserve"> Some duplication exists in navigation aids – for example, the bottom-of-page footer repeats the menu links for “About PG” topics and “Living with PG” topics on every page. This consistency can help discoverability, but it also underscores that the architecture </w:t>
      </w:r>
      <w:proofErr w:type="gramStart"/>
      <w:r w:rsidRPr="00A55982">
        <w:t>has to</w:t>
      </w:r>
      <w:proofErr w:type="gramEnd"/>
      <w:r w:rsidRPr="00A55982">
        <w:t xml:space="preserve"> manually present links everywhere for visibility, a sign of a static site. A dynamic site could cross-link relevant pages contextually (e.g. automatically suggesting related topics at the end of an article) rather than relying on a repeated list. </w:t>
      </w:r>
      <w:hyperlink r:id="rId33" w:history="1">
        <w:r w:rsidRPr="00A55982">
          <w:rPr>
            <w:rStyle w:val="Hyperlink"/>
          </w:rPr>
          <w:t>[allthingspg.org]</w:t>
        </w:r>
      </w:hyperlink>
      <w:r w:rsidRPr="00A55982">
        <w:t xml:space="preserve">, </w:t>
      </w:r>
      <w:hyperlink r:id="rId34" w:history="1">
        <w:r w:rsidRPr="00A55982">
          <w:rPr>
            <w:rStyle w:val="Hyperlink"/>
          </w:rPr>
          <w:t>[allthingspg.org]</w:t>
        </w:r>
      </w:hyperlink>
    </w:p>
    <w:p w14:paraId="7A8D0041" w14:textId="77777777" w:rsidR="00A55982" w:rsidRPr="00A55982" w:rsidRDefault="00A55982" w:rsidP="00A55982">
      <w:pPr>
        <w:spacing w:after="160" w:line="278" w:lineRule="auto"/>
      </w:pPr>
      <w:r w:rsidRPr="00A55982">
        <w:rPr>
          <w:b/>
          <w:bCs/>
        </w:rPr>
        <w:t>IA Recommendations:</w:t>
      </w:r>
      <w:r w:rsidRPr="00A55982">
        <w:t xml:space="preserve"> Introduce a more </w:t>
      </w:r>
      <w:r w:rsidRPr="00A55982">
        <w:rPr>
          <w:b/>
          <w:bCs/>
        </w:rPr>
        <w:t>user-centered IA</w:t>
      </w:r>
      <w:r w:rsidRPr="00A55982">
        <w:t xml:space="preserve"> in Phase 2. Consider reorganizing content into high-level sections such as </w:t>
      </w:r>
      <w:r w:rsidRPr="00A55982">
        <w:rPr>
          <w:i/>
          <w:iCs/>
        </w:rPr>
        <w:t>“Learn about PG”</w:t>
      </w:r>
      <w:r w:rsidRPr="00A55982">
        <w:t xml:space="preserve">, </w:t>
      </w:r>
      <w:r w:rsidRPr="00A55982">
        <w:rPr>
          <w:i/>
          <w:iCs/>
        </w:rPr>
        <w:t>“Support &amp; Community”</w:t>
      </w:r>
      <w:r w:rsidRPr="00A55982">
        <w:t xml:space="preserve">, </w:t>
      </w:r>
      <w:r w:rsidRPr="00A55982">
        <w:rPr>
          <w:i/>
          <w:iCs/>
        </w:rPr>
        <w:t>“News &amp; Updates”</w:t>
      </w:r>
      <w:r w:rsidRPr="00A55982">
        <w:t xml:space="preserve">, and </w:t>
      </w:r>
      <w:r w:rsidRPr="00A55982">
        <w:rPr>
          <w:i/>
          <w:iCs/>
        </w:rPr>
        <w:t>“About the Organization”</w:t>
      </w:r>
      <w:r w:rsidRPr="00A55982">
        <w:t xml:space="preserve">. This would cluster similar content and guide different user intents. Implement a dynamic menu system so that adding a new page (e.g. a new support resource or an FAQ) automatically places it in the correct navigation. Ensure parent-child relationships in content types (for example, “Support &amp; Community” could include Support Groups, Clinic Finder, PFAC events, etc.) to avoid orphaned pages. The new structure should minimize reliance on external links for core content – instead, bring those narratives in-house under proper categories (for example, hosting a blog post on </w:t>
      </w:r>
      <w:proofErr w:type="spellStart"/>
      <w:r w:rsidRPr="00A55982">
        <w:t>AllThingsPG</w:t>
      </w:r>
      <w:proofErr w:type="spellEnd"/>
      <w:r w:rsidRPr="00A55982">
        <w:t xml:space="preserve"> for stories like </w:t>
      </w:r>
      <w:r w:rsidRPr="00A55982">
        <w:rPr>
          <w:i/>
          <w:iCs/>
        </w:rPr>
        <w:t>“One Woman’s Journey with PG”</w:t>
      </w:r>
      <w:r w:rsidRPr="00A55982">
        <w:t xml:space="preserve"> rather than only linking to YouTube, to keep users within the site). </w:t>
      </w:r>
      <w:hyperlink r:id="rId35" w:history="1">
        <w:r w:rsidRPr="00A55982">
          <w:rPr>
            <w:rStyle w:val="Hyperlink"/>
          </w:rPr>
          <w:t>[allthingspg.org]</w:t>
        </w:r>
      </w:hyperlink>
    </w:p>
    <w:p w14:paraId="0E4FAF0F" w14:textId="77777777" w:rsidR="00A55982" w:rsidRPr="00A55982" w:rsidRDefault="00A55982" w:rsidP="006E44C2">
      <w:pPr>
        <w:pStyle w:val="Heading2"/>
      </w:pPr>
      <w:r w:rsidRPr="00A55982">
        <w:t>Content Strategy Evaluation</w:t>
      </w:r>
    </w:p>
    <w:p w14:paraId="21FB863A" w14:textId="77777777" w:rsidR="00A55982" w:rsidRPr="00A55982" w:rsidRDefault="00A55982" w:rsidP="00A55982">
      <w:pPr>
        <w:spacing w:after="160" w:line="278" w:lineRule="auto"/>
      </w:pPr>
      <w:r w:rsidRPr="00A55982">
        <w:t xml:space="preserve">The site’s content strategy in Phase 1 centers on </w:t>
      </w:r>
      <w:r w:rsidRPr="00A55982">
        <w:rPr>
          <w:b/>
          <w:bCs/>
        </w:rPr>
        <w:t>education, awareness, and engagement</w:t>
      </w:r>
      <w:r w:rsidRPr="00A55982">
        <w:t>, which aligns well with its nonprofit patient-focused mission. The content can be evaluated on clarity, audience targeting, tone, and depth:</w:t>
      </w:r>
    </w:p>
    <w:p w14:paraId="49592640" w14:textId="77777777" w:rsidR="00A55982" w:rsidRPr="00A55982" w:rsidRDefault="00A55982" w:rsidP="00A55982">
      <w:pPr>
        <w:numPr>
          <w:ilvl w:val="0"/>
          <w:numId w:val="20"/>
        </w:numPr>
        <w:spacing w:before="0" w:after="160" w:line="278" w:lineRule="auto"/>
      </w:pPr>
      <w:r w:rsidRPr="00A55982">
        <w:rPr>
          <w:b/>
          <w:bCs/>
        </w:rPr>
        <w:t>Clarity of Messaging:</w:t>
      </w:r>
      <w:r w:rsidRPr="00A55982">
        <w:t xml:space="preserve"> The messaging is clear and compassionate. It explicitly states the site’s purpose and invites users to participate (survey, sign-ups) in helping improve understanding of PG. Each page sticks to its primary topic with plain language explanations (for example, describing PG in lay terms on the “What is PG” page). For an executive audience, this indicates the content is on-point and not overly technical for patients. </w:t>
      </w:r>
      <w:hyperlink r:id="rId36" w:history="1">
        <w:r w:rsidRPr="00A55982">
          <w:rPr>
            <w:rStyle w:val="Hyperlink"/>
          </w:rPr>
          <w:t>[allthingspg.org]</w:t>
        </w:r>
      </w:hyperlink>
      <w:r w:rsidRPr="00A55982">
        <w:t xml:space="preserve"> </w:t>
      </w:r>
      <w:hyperlink r:id="rId37" w:history="1">
        <w:r w:rsidRPr="00A55982">
          <w:rPr>
            <w:rStyle w:val="Hyperlink"/>
          </w:rPr>
          <w:t>[allthingspg.org]</w:t>
        </w:r>
      </w:hyperlink>
    </w:p>
    <w:p w14:paraId="7C1D5484" w14:textId="77777777" w:rsidR="00A55982" w:rsidRPr="00A55982" w:rsidRDefault="00A55982" w:rsidP="00A55982">
      <w:pPr>
        <w:numPr>
          <w:ilvl w:val="0"/>
          <w:numId w:val="20"/>
        </w:numPr>
        <w:spacing w:before="0" w:after="160" w:line="278" w:lineRule="auto"/>
      </w:pPr>
      <w:r w:rsidRPr="00A55982">
        <w:rPr>
          <w:b/>
          <w:bCs/>
        </w:rPr>
        <w:t>Audience Targeting:</w:t>
      </w:r>
      <w:r w:rsidRPr="00A55982">
        <w:t xml:space="preserve"> The content generally addresses either patients or a broad audience of people affected by PG. It occasionally nods to caregivers and families (e.g., </w:t>
      </w:r>
      <w:r w:rsidRPr="00A55982">
        <w:rPr>
          <w:i/>
          <w:iCs/>
        </w:rPr>
        <w:t>“we provide a safe space… whether you’re newly diagnosed… or a caregiver”</w:t>
      </w:r>
      <w:r w:rsidRPr="00A55982">
        <w:t xml:space="preserve">), but most guidance is written as if addressing the patient directly (second person “you”). There is limited content specifically from a caregiver’s </w:t>
      </w:r>
      <w:r w:rsidRPr="00A55982">
        <w:lastRenderedPageBreak/>
        <w:t xml:space="preserve">perspective. </w:t>
      </w:r>
      <w:r w:rsidRPr="00A55982">
        <w:rPr>
          <w:b/>
          <w:bCs/>
        </w:rPr>
        <w:t>Opportunity:</w:t>
      </w:r>
      <w:r w:rsidRPr="00A55982">
        <w:t xml:space="preserve"> In Phase 2, additional content types (like “Caregiver Guides” or personal stories from caregivers) could balance this and strengthen the site’s value for that audience. </w:t>
      </w:r>
      <w:hyperlink r:id="rId38" w:history="1">
        <w:r w:rsidRPr="00A55982">
          <w:rPr>
            <w:rStyle w:val="Hyperlink"/>
          </w:rPr>
          <w:t>[allthingspg.org]</w:t>
        </w:r>
      </w:hyperlink>
      <w:r w:rsidRPr="00A55982">
        <w:t xml:space="preserve"> </w:t>
      </w:r>
      <w:hyperlink r:id="rId39" w:history="1">
        <w:r w:rsidRPr="00A55982">
          <w:rPr>
            <w:rStyle w:val="Hyperlink"/>
          </w:rPr>
          <w:t>[allthingspg.org]</w:t>
        </w:r>
      </w:hyperlink>
    </w:p>
    <w:p w14:paraId="0C40420B" w14:textId="77777777" w:rsidR="00A55982" w:rsidRPr="00A55982" w:rsidRDefault="00A55982" w:rsidP="00A55982">
      <w:pPr>
        <w:numPr>
          <w:ilvl w:val="0"/>
          <w:numId w:val="20"/>
        </w:numPr>
        <w:spacing w:before="0" w:after="160" w:line="278" w:lineRule="auto"/>
      </w:pPr>
      <w:r w:rsidRPr="00A55982">
        <w:rPr>
          <w:b/>
          <w:bCs/>
        </w:rPr>
        <w:t>Consistency and Tone:</w:t>
      </w:r>
      <w:r w:rsidRPr="00A55982">
        <w:t xml:space="preserve"> The tone is consistent – supportive, informative, and motivational. Whether reading about scientific aspects of PG or community support, the voice remains encouraging and authoritative without being clinical. This consistency reinforces trust. If anything, the site could expand on that with more storytelling (patient or caregiver experiences) to deepen emotional engagement. We do see a start: e.g., the link to a podcast/story about a patient’s journey suggests an intent to share narratives, although currently those stories are offsite. </w:t>
      </w:r>
      <w:hyperlink r:id="rId40" w:history="1">
        <w:r w:rsidRPr="00A55982">
          <w:rPr>
            <w:rStyle w:val="Hyperlink"/>
          </w:rPr>
          <w:t>[allthingspg.org]</w:t>
        </w:r>
      </w:hyperlink>
    </w:p>
    <w:p w14:paraId="18325DAA" w14:textId="77777777" w:rsidR="00A55982" w:rsidRPr="00A55982" w:rsidRDefault="00A55982" w:rsidP="00A55982">
      <w:pPr>
        <w:numPr>
          <w:ilvl w:val="0"/>
          <w:numId w:val="20"/>
        </w:numPr>
        <w:spacing w:before="0" w:after="160" w:line="278" w:lineRule="auto"/>
      </w:pPr>
      <w:r w:rsidRPr="00A55982">
        <w:rPr>
          <w:b/>
          <w:bCs/>
        </w:rPr>
        <w:t>Content Depth vs Superficiality:</w:t>
      </w:r>
      <w:r w:rsidRPr="00A55982">
        <w:t xml:space="preserve"> The present content covers </w:t>
      </w:r>
      <w:r w:rsidRPr="00A55982">
        <w:rPr>
          <w:b/>
          <w:bCs/>
        </w:rPr>
        <w:t>breadth</w:t>
      </w:r>
      <w:r w:rsidRPr="00A55982">
        <w:t xml:space="preserve"> (many topics) but not deep interactivity or volume. Each topic page is short to medium length (the snippet for “PG Symptoms” suggests a concise list of key symptoms). For a new site, brevity can aid initial readability. However, as the community grows, users may crave deeper dives (detailed guides, treatment research updates, etc.). Also, currently </w:t>
      </w:r>
      <w:r w:rsidRPr="00A55982">
        <w:rPr>
          <w:b/>
          <w:bCs/>
        </w:rPr>
        <w:t>user engagement is one-way</w:t>
      </w:r>
      <w:r w:rsidRPr="00A55982">
        <w:t xml:space="preserve"> – users read or click links, but cannot, for example, comment or contribute content. The newsletter sign-up and survey are the only calls to action. </w:t>
      </w:r>
      <w:r w:rsidRPr="00A55982">
        <w:rPr>
          <w:b/>
          <w:bCs/>
        </w:rPr>
        <w:t>Strategic note:</w:t>
      </w:r>
      <w:r w:rsidRPr="00A55982">
        <w:t xml:space="preserve"> Phase 2 could widen content strategy to include dynamic content forms like blog updates, Q&amp;A, or multimedia galleries, to keep the content fresh and engaging beyond static pages. </w:t>
      </w:r>
      <w:hyperlink r:id="rId41" w:history="1">
        <w:r w:rsidRPr="00A55982">
          <w:rPr>
            <w:rStyle w:val="Hyperlink"/>
          </w:rPr>
          <w:t>[allthingspg.org]</w:t>
        </w:r>
      </w:hyperlink>
    </w:p>
    <w:p w14:paraId="5F40090A" w14:textId="77777777" w:rsidR="00A55982" w:rsidRPr="00A55982" w:rsidRDefault="00A55982" w:rsidP="00A55982">
      <w:pPr>
        <w:numPr>
          <w:ilvl w:val="0"/>
          <w:numId w:val="20"/>
        </w:numPr>
        <w:spacing w:before="0" w:after="160" w:line="278" w:lineRule="auto"/>
      </w:pPr>
      <w:r w:rsidRPr="00A55982">
        <w:rPr>
          <w:b/>
          <w:bCs/>
        </w:rPr>
        <w:t>SEO and Reach (Inferred):</w:t>
      </w:r>
      <w:r w:rsidRPr="00A55982">
        <w:t xml:space="preserve"> The site uses descriptive page titles and URLs (e.g. “what-is-</w:t>
      </w:r>
      <w:proofErr w:type="spellStart"/>
      <w:r w:rsidRPr="00A55982">
        <w:t>pg</w:t>
      </w:r>
      <w:proofErr w:type="spellEnd"/>
      <w:r w:rsidRPr="00A55982">
        <w:t xml:space="preserve">” slug, content headings repeating keywords like “Pyoderma Gangrenosum”). This is good for search engine indexing and indicates some SEO thought. However, reliance on external links for key content means some SEO value might be lost (since content like personal stories isn’t hosted on-site). Phase 2’s content strategy should focus on </w:t>
      </w:r>
      <w:r w:rsidRPr="00A55982">
        <w:rPr>
          <w:b/>
          <w:bCs/>
        </w:rPr>
        <w:t>keeping valuable content in-house</w:t>
      </w:r>
      <w:r w:rsidRPr="00A55982">
        <w:t xml:space="preserve"> to improve search visibility and user retention. </w:t>
      </w:r>
      <w:hyperlink r:id="rId42" w:history="1">
        <w:r w:rsidRPr="00A55982">
          <w:rPr>
            <w:rStyle w:val="Hyperlink"/>
          </w:rPr>
          <w:t>[allthingspg.org]</w:t>
        </w:r>
      </w:hyperlink>
    </w:p>
    <w:p w14:paraId="36A7AD02" w14:textId="77777777" w:rsidR="00A55982" w:rsidRPr="00A55982" w:rsidRDefault="00A55982" w:rsidP="006E44C2">
      <w:pPr>
        <w:pStyle w:val="Heading2"/>
      </w:pPr>
      <w:r w:rsidRPr="00A55982">
        <w:t>Technical Architecture Limitations (Phase 1)</w:t>
      </w:r>
    </w:p>
    <w:p w14:paraId="59A5008A" w14:textId="77777777" w:rsidR="00A55982" w:rsidRPr="00A55982" w:rsidRDefault="00A55982" w:rsidP="00A55982">
      <w:pPr>
        <w:spacing w:after="160" w:line="278" w:lineRule="auto"/>
      </w:pPr>
      <w:r w:rsidRPr="00A55982">
        <w:t xml:space="preserve">The current site’s technical foundation is limited by its </w:t>
      </w:r>
      <w:r w:rsidRPr="00A55982">
        <w:rPr>
          <w:b/>
          <w:bCs/>
        </w:rPr>
        <w:t>static architecture</w:t>
      </w:r>
      <w:r w:rsidRPr="00A55982">
        <w:t xml:space="preserve">. It likely consists of HTML/CSS pages with possibly some client-side scripts for interactive elements (like the Clinic Finder). </w:t>
      </w:r>
      <w:r w:rsidRPr="00A55982">
        <w:rPr>
          <w:b/>
          <w:bCs/>
        </w:rPr>
        <w:t>We infer there is no underlying database or CMS in Phase 1.</w:t>
      </w:r>
      <w:r w:rsidRPr="00A55982">
        <w:t xml:space="preserve"> This yields some notable constraints:</w:t>
      </w:r>
    </w:p>
    <w:p w14:paraId="2A128DAB" w14:textId="77777777" w:rsidR="00A55982" w:rsidRPr="00A55982" w:rsidRDefault="00A55982" w:rsidP="00A55982">
      <w:pPr>
        <w:numPr>
          <w:ilvl w:val="0"/>
          <w:numId w:val="21"/>
        </w:numPr>
        <w:spacing w:before="0" w:after="160" w:line="278" w:lineRule="auto"/>
      </w:pPr>
      <w:r w:rsidRPr="00A55982">
        <w:rPr>
          <w:b/>
          <w:bCs/>
        </w:rPr>
        <w:t>No Central Content Repository:</w:t>
      </w:r>
      <w:r w:rsidRPr="00A55982">
        <w:t xml:space="preserve"> Without a database or content repository, every piece of content is hard-coded or manually edited. For instance, the list of clinic providers is likely embedded in the page code. Any change (adding a new clinic, updating a doctor’s info) requires editing the HTML/JS files and redeploying the site. This process is prone to errors and delays, especially as content volume grows. </w:t>
      </w:r>
      <w:hyperlink r:id="rId43" w:history="1">
        <w:r w:rsidRPr="00A55982">
          <w:rPr>
            <w:rStyle w:val="Hyperlink"/>
          </w:rPr>
          <w:t>[allthingspg.org]</w:t>
        </w:r>
      </w:hyperlink>
      <w:r w:rsidRPr="00A55982">
        <w:t xml:space="preserve">, </w:t>
      </w:r>
      <w:hyperlink r:id="rId44" w:history="1">
        <w:r w:rsidRPr="00A55982">
          <w:rPr>
            <w:rStyle w:val="Hyperlink"/>
          </w:rPr>
          <w:t>[allthingspg.org]</w:t>
        </w:r>
      </w:hyperlink>
    </w:p>
    <w:p w14:paraId="24D1A34D" w14:textId="77777777" w:rsidR="00A55982" w:rsidRPr="00A55982" w:rsidRDefault="00A55982" w:rsidP="00A55982">
      <w:pPr>
        <w:numPr>
          <w:ilvl w:val="0"/>
          <w:numId w:val="21"/>
        </w:numPr>
        <w:spacing w:before="0" w:after="160" w:line="278" w:lineRule="auto"/>
      </w:pPr>
      <w:r w:rsidRPr="00A55982">
        <w:rPr>
          <w:b/>
          <w:bCs/>
        </w:rPr>
        <w:t>Limited Scalability of Content Updates:</w:t>
      </w:r>
      <w:r w:rsidRPr="00A55982">
        <w:t xml:space="preserve"> The static approach does not scale well for frequent updates or large content libraries. If All Things PG plans to regularly post news or maintain a growing library of patient resources, the current setup could become a bottleneck. The presence of outdated event content (e.g., a 2018 news link on the News &amp; Events page sitting among recent items) hints that content maintenance might already be a challenge. </w:t>
      </w:r>
      <w:hyperlink r:id="rId45" w:history="1">
        <w:r w:rsidRPr="00A55982">
          <w:rPr>
            <w:rStyle w:val="Hyperlink"/>
          </w:rPr>
          <w:t>[allthingspg.org]</w:t>
        </w:r>
      </w:hyperlink>
    </w:p>
    <w:p w14:paraId="19729412" w14:textId="77777777" w:rsidR="00A55982" w:rsidRPr="00A55982" w:rsidRDefault="00A55982" w:rsidP="00A55982">
      <w:pPr>
        <w:numPr>
          <w:ilvl w:val="0"/>
          <w:numId w:val="21"/>
        </w:numPr>
        <w:spacing w:before="0" w:after="160" w:line="278" w:lineRule="auto"/>
      </w:pPr>
      <w:r w:rsidRPr="00A55982">
        <w:rPr>
          <w:b/>
          <w:bCs/>
        </w:rPr>
        <w:t>Integration Challenges:</w:t>
      </w:r>
      <w:r w:rsidRPr="00A55982">
        <w:t xml:space="preserve"> Phase 1 offloads interactive functionality to external services (Constant Contact for email/signup, </w:t>
      </w:r>
      <w:proofErr w:type="spellStart"/>
      <w:r w:rsidRPr="00A55982">
        <w:t>Givebutter</w:t>
      </w:r>
      <w:proofErr w:type="spellEnd"/>
      <w:r w:rsidRPr="00A55982">
        <w:t xml:space="preserve"> for donations, Zoom/YouTube for events/videos). While this is </w:t>
      </w:r>
      <w:r w:rsidRPr="00A55982">
        <w:lastRenderedPageBreak/>
        <w:t xml:space="preserve">efficient for a quick launch, it means user data and engagement metrics are </w:t>
      </w:r>
      <w:proofErr w:type="gramStart"/>
      <w:r w:rsidRPr="00A55982">
        <w:t>siloed</w:t>
      </w:r>
      <w:proofErr w:type="gramEnd"/>
      <w:r w:rsidRPr="00A55982">
        <w:t xml:space="preserve"> in third-party platforms. The site itself does not “know” much about its users’ interactions. </w:t>
      </w:r>
      <w:hyperlink r:id="rId46" w:history="1">
        <w:r w:rsidRPr="00A55982">
          <w:rPr>
            <w:rStyle w:val="Hyperlink"/>
          </w:rPr>
          <w:t>[allthingspg.org]</w:t>
        </w:r>
      </w:hyperlink>
      <w:r w:rsidRPr="00A55982">
        <w:t xml:space="preserve"> </w:t>
      </w:r>
      <w:hyperlink r:id="rId47" w:history="1">
        <w:r w:rsidRPr="00A55982">
          <w:rPr>
            <w:rStyle w:val="Hyperlink"/>
          </w:rPr>
          <w:t>[allthingspg.org]</w:t>
        </w:r>
      </w:hyperlink>
      <w:r w:rsidRPr="00A55982">
        <w:t xml:space="preserve"> </w:t>
      </w:r>
      <w:hyperlink r:id="rId48" w:history="1">
        <w:r w:rsidRPr="00A55982">
          <w:rPr>
            <w:rStyle w:val="Hyperlink"/>
          </w:rPr>
          <w:t>[allthingspg.org]</w:t>
        </w:r>
      </w:hyperlink>
      <w:r w:rsidRPr="00A55982">
        <w:t xml:space="preserve">, </w:t>
      </w:r>
      <w:hyperlink r:id="rId49" w:history="1">
        <w:r w:rsidRPr="00A55982">
          <w:rPr>
            <w:rStyle w:val="Hyperlink"/>
          </w:rPr>
          <w:t>[allthingspg.org]</w:t>
        </w:r>
      </w:hyperlink>
    </w:p>
    <w:p w14:paraId="5BA73ADF" w14:textId="77777777" w:rsidR="00A55982" w:rsidRPr="00A55982" w:rsidRDefault="00A55982" w:rsidP="00A55982">
      <w:pPr>
        <w:numPr>
          <w:ilvl w:val="0"/>
          <w:numId w:val="21"/>
        </w:numPr>
        <w:spacing w:before="0" w:after="160" w:line="278" w:lineRule="auto"/>
      </w:pPr>
      <w:r w:rsidRPr="00A55982">
        <w:rPr>
          <w:b/>
          <w:bCs/>
        </w:rPr>
        <w:t>Manual Menu Management:</w:t>
      </w:r>
      <w:r w:rsidRPr="00A55982">
        <w:t xml:space="preserve"> Each page’s menu and footer links appear hard-coded (or duplicated via include files). This means adding a new top-level section or rearranging navigation is tedious and error-prone without a dynamic system. </w:t>
      </w:r>
      <w:hyperlink r:id="rId50" w:history="1">
        <w:r w:rsidRPr="00A55982">
          <w:rPr>
            <w:rStyle w:val="Hyperlink"/>
          </w:rPr>
          <w:t>[allthingspg.org]</w:t>
        </w:r>
      </w:hyperlink>
      <w:r w:rsidRPr="00A55982">
        <w:t xml:space="preserve">, </w:t>
      </w:r>
      <w:hyperlink r:id="rId51" w:history="1">
        <w:r w:rsidRPr="00A55982">
          <w:rPr>
            <w:rStyle w:val="Hyperlink"/>
          </w:rPr>
          <w:t>[allthingspg.org]</w:t>
        </w:r>
      </w:hyperlink>
    </w:p>
    <w:p w14:paraId="398A7007" w14:textId="77777777" w:rsidR="00A55982" w:rsidRPr="00A55982" w:rsidRDefault="00A55982" w:rsidP="00A55982">
      <w:pPr>
        <w:numPr>
          <w:ilvl w:val="0"/>
          <w:numId w:val="21"/>
        </w:numPr>
        <w:spacing w:before="0" w:after="160" w:line="278" w:lineRule="auto"/>
      </w:pPr>
      <w:r w:rsidRPr="00A55982">
        <w:rPr>
          <w:b/>
          <w:bCs/>
        </w:rPr>
        <w:t>No Personalization or Login:</w:t>
      </w:r>
      <w:r w:rsidRPr="00A55982">
        <w:t xml:space="preserve"> As expected in a static site, there’s no user account system or tailored content delivery. If the organization ever wanted to offer personalized content (e.g. a logged-in dashboard for members, or content that adapts to whether the visitor is a patient or caregiver), the static framework cannot support it. Even if not immediately needed, this is a limitation for long-term digital strategy.</w:t>
      </w:r>
    </w:p>
    <w:p w14:paraId="0EF88F6B" w14:textId="77777777" w:rsidR="00A55982" w:rsidRPr="00A55982" w:rsidRDefault="00A55982" w:rsidP="00A55982">
      <w:pPr>
        <w:spacing w:after="160" w:line="278" w:lineRule="auto"/>
      </w:pPr>
      <w:r w:rsidRPr="00A55982">
        <w:t xml:space="preserve">In summary, the Phase 1 technology choice (likely static HTML with perhaps some embedded scripts) was expedient for launching content quickly, but it </w:t>
      </w:r>
      <w:r w:rsidRPr="00A55982">
        <w:rPr>
          <w:b/>
          <w:bCs/>
        </w:rPr>
        <w:t>lacks the infrastructure for growth</w:t>
      </w:r>
      <w:r w:rsidRPr="00A55982">
        <w:t xml:space="preserve">. These limitations underscore the need for a Phase 2 </w:t>
      </w:r>
      <w:proofErr w:type="gramStart"/>
      <w:r w:rsidRPr="00A55982">
        <w:t>rebuild</w:t>
      </w:r>
      <w:proofErr w:type="gramEnd"/>
      <w:r w:rsidRPr="00A55982">
        <w:t xml:space="preserve"> with a robust backend (i.e. a database + DCMS) to relieve maintenance pain points and enable new features.</w:t>
      </w:r>
    </w:p>
    <w:p w14:paraId="70A2AB4C" w14:textId="77777777" w:rsidR="00A55982" w:rsidRPr="00A55982" w:rsidRDefault="00A55982" w:rsidP="006E44C2">
      <w:pPr>
        <w:pStyle w:val="Heading2"/>
      </w:pPr>
      <w:r w:rsidRPr="00A55982">
        <w:t>Scalability Assessment</w:t>
      </w:r>
    </w:p>
    <w:p w14:paraId="2B9281FD" w14:textId="77777777" w:rsidR="00A55982" w:rsidRPr="00A55982" w:rsidRDefault="00A55982" w:rsidP="00A55982">
      <w:pPr>
        <w:spacing w:after="160" w:line="278" w:lineRule="auto"/>
      </w:pPr>
      <w:r w:rsidRPr="00A55982">
        <w:t xml:space="preserve">From both content and technical perspectives, the current site has </w:t>
      </w:r>
      <w:r w:rsidRPr="00A55982">
        <w:rPr>
          <w:b/>
          <w:bCs/>
        </w:rPr>
        <w:t>very limited scalability</w:t>
      </w:r>
      <w:r w:rsidRPr="00A55982">
        <w:t>. Key aspects:</w:t>
      </w:r>
    </w:p>
    <w:p w14:paraId="2E9198A9" w14:textId="77777777" w:rsidR="00A55982" w:rsidRPr="00A55982" w:rsidRDefault="00A55982" w:rsidP="00A55982">
      <w:pPr>
        <w:numPr>
          <w:ilvl w:val="0"/>
          <w:numId w:val="22"/>
        </w:numPr>
        <w:spacing w:before="0" w:after="160" w:line="278" w:lineRule="auto"/>
      </w:pPr>
      <w:r w:rsidRPr="00A55982">
        <w:rPr>
          <w:b/>
          <w:bCs/>
        </w:rPr>
        <w:t>Content Scalability:</w:t>
      </w:r>
      <w:r w:rsidRPr="00A55982">
        <w:t xml:space="preserve"> As more content is added (new articles, events, tools, etc.), the static structure will become unwieldy. Already, the site has over a dozen pages (disease topics, support resources, news, team bios, etc.), which is near the upper comfort limit for purely manual management. Scaling to, say, dozens of news posts or more interactive pages (like an FAQ with many entries) would be extremely challenging to maintain consistently. For example, adding a new “FAQ” section in Phase 1 would require building new pages and ensuring they’re linked in navigation, whereas a CMS could handle it systematically. Similarly, if the clinic directory expands internationally beyond the U.S. (as might be suggested by the “INT” abbreviation for international in the state list), the static map/list approach will become cumbersome. </w:t>
      </w:r>
      <w:hyperlink r:id="rId52" w:history="1">
        <w:r w:rsidRPr="00A55982">
          <w:rPr>
            <w:rStyle w:val="Hyperlink"/>
          </w:rPr>
          <w:t>[allthingspg.org]</w:t>
        </w:r>
      </w:hyperlink>
    </w:p>
    <w:p w14:paraId="229A4564" w14:textId="77777777" w:rsidR="00A55982" w:rsidRPr="00A55982" w:rsidRDefault="00A55982" w:rsidP="00A55982">
      <w:pPr>
        <w:numPr>
          <w:ilvl w:val="0"/>
          <w:numId w:val="22"/>
        </w:numPr>
        <w:spacing w:before="0" w:after="160" w:line="278" w:lineRule="auto"/>
      </w:pPr>
      <w:r w:rsidRPr="00A55982">
        <w:rPr>
          <w:b/>
          <w:bCs/>
        </w:rPr>
        <w:t>User Scalability:</w:t>
      </w:r>
      <w:r w:rsidRPr="00A55982">
        <w:t xml:space="preserve"> The static site likely handles current traffic fine (and static hosting can scale visitors easily via </w:t>
      </w:r>
      <w:proofErr w:type="gramStart"/>
      <w:r w:rsidRPr="00A55982">
        <w:t>caching</w:t>
      </w:r>
      <w:proofErr w:type="gramEnd"/>
      <w:r w:rsidRPr="00A55982">
        <w:t xml:space="preserve"> and CDNs). However, user engagement scalability is low – the site cannot accommodate user-generated content or dynamic personalization. If the community grows and expects more interactive services (forums, comment threads, user profiles, etc.), these cannot be met without a new platform.</w:t>
      </w:r>
    </w:p>
    <w:p w14:paraId="1364D76F" w14:textId="77777777" w:rsidR="00A55982" w:rsidRPr="00A55982" w:rsidRDefault="00A55982" w:rsidP="00A55982">
      <w:pPr>
        <w:numPr>
          <w:ilvl w:val="0"/>
          <w:numId w:val="22"/>
        </w:numPr>
        <w:spacing w:before="0" w:after="160" w:line="278" w:lineRule="auto"/>
      </w:pPr>
      <w:r w:rsidRPr="00A55982">
        <w:rPr>
          <w:b/>
          <w:bCs/>
        </w:rPr>
        <w:t>Operational Scalability:</w:t>
      </w:r>
      <w:r w:rsidRPr="00A55982">
        <w:t xml:space="preserve"> The burden on staff/volunteers to update the site is a factor. Without a CMS, small content changes (fixing a typo, adding a paragraph) require technical steps that do not scale well across a growing team. Training multiple content contributors on HTML or site builder workflows is inefficient. In a scalable solution, non-technical staff should be empowered to update content through a user-friendly interface – something Phase 1 lacks.</w:t>
      </w:r>
    </w:p>
    <w:p w14:paraId="1EA98974" w14:textId="77777777" w:rsidR="00A55982" w:rsidRPr="00A55982" w:rsidRDefault="00A55982" w:rsidP="00A55982">
      <w:pPr>
        <w:numPr>
          <w:ilvl w:val="0"/>
          <w:numId w:val="22"/>
        </w:numPr>
        <w:spacing w:before="0" w:after="160" w:line="278" w:lineRule="auto"/>
      </w:pPr>
      <w:r w:rsidRPr="00A55982">
        <w:rPr>
          <w:b/>
          <w:bCs/>
        </w:rPr>
        <w:t>Performance Scalability:</w:t>
      </w:r>
      <w:r w:rsidRPr="00A55982">
        <w:t xml:space="preserve"> One bright spot is static sites serve content quickly and handle surges well, but as Phase 2 introduces dynamic content, ensuring caching and load optimization will be important. This is more a planning point – that </w:t>
      </w:r>
      <w:r w:rsidRPr="00A55982">
        <w:rPr>
          <w:b/>
          <w:bCs/>
        </w:rPr>
        <w:t>Phase 2’s architecture must be built with performance in mind</w:t>
      </w:r>
      <w:r w:rsidRPr="00A55982">
        <w:t xml:space="preserve"> so as not to lose the speed edge of Phase 1. Given that user base might grow </w:t>
      </w:r>
      <w:r w:rsidRPr="00A55982">
        <w:lastRenderedPageBreak/>
        <w:t>with improved content, we should ensure the new system can handle increased pageviews or heavier pages (embedding videos, etc.) gracefully.</w:t>
      </w:r>
    </w:p>
    <w:p w14:paraId="690AEF98" w14:textId="77777777" w:rsidR="00A55982" w:rsidRPr="00A55982" w:rsidRDefault="00A55982" w:rsidP="00A55982">
      <w:pPr>
        <w:spacing w:after="160" w:line="278" w:lineRule="auto"/>
      </w:pPr>
      <w:r w:rsidRPr="00A55982">
        <w:t xml:space="preserve">Overall, Phase 1 is </w:t>
      </w:r>
      <w:r w:rsidRPr="00A55982">
        <w:rPr>
          <w:b/>
          <w:bCs/>
        </w:rPr>
        <w:t>not sustainable for significant growth</w:t>
      </w:r>
      <w:r w:rsidRPr="00A55982">
        <w:t xml:space="preserve"> in content volume, user engagement features, or contributor base. Phase 2’s database-driven approach is essential to scale in each of these dimensions, albeit with careful attention to implementing it in a robust, performance-aware manner to maintain and enhance scalability.</w:t>
      </w:r>
    </w:p>
    <w:p w14:paraId="63968CDB" w14:textId="77777777" w:rsidR="00A55982" w:rsidRPr="00A55982" w:rsidRDefault="00A55982" w:rsidP="006E44C2">
      <w:pPr>
        <w:pStyle w:val="Heading2"/>
      </w:pPr>
      <w:r w:rsidRPr="00A55982">
        <w:t>Readiness for Database-Driven CMS (DCMS)</w:t>
      </w:r>
    </w:p>
    <w:p w14:paraId="21A6AA51" w14:textId="77777777" w:rsidR="00A55982" w:rsidRPr="00A55982" w:rsidRDefault="00A55982" w:rsidP="00A55982">
      <w:pPr>
        <w:spacing w:after="160" w:line="278" w:lineRule="auto"/>
      </w:pPr>
      <w:r w:rsidRPr="00A55982">
        <w:t xml:space="preserve">Evaluating how well the current site aligns with a future </w:t>
      </w:r>
      <w:r w:rsidRPr="00A55982">
        <w:rPr>
          <w:b/>
          <w:bCs/>
        </w:rPr>
        <w:t xml:space="preserve">Dynamic Content and </w:t>
      </w:r>
      <w:proofErr w:type="spellStart"/>
      <w:r w:rsidRPr="00A55982">
        <w:rPr>
          <w:b/>
          <w:bCs/>
        </w:rPr>
        <w:t>Menuing</w:t>
      </w:r>
      <w:proofErr w:type="spellEnd"/>
      <w:r w:rsidRPr="00A55982">
        <w:rPr>
          <w:b/>
          <w:bCs/>
        </w:rPr>
        <w:t xml:space="preserve"> System (DCMS)</w:t>
      </w:r>
      <w:r w:rsidRPr="00A55982">
        <w:t>, we consider content structure, routing, and data readiness:</w:t>
      </w:r>
    </w:p>
    <w:p w14:paraId="11E0A977" w14:textId="76FCB57B" w:rsidR="00A55982" w:rsidRPr="00A55982" w:rsidRDefault="006E44C2" w:rsidP="00A55982">
      <w:pPr>
        <w:numPr>
          <w:ilvl w:val="0"/>
          <w:numId w:val="23"/>
        </w:numPr>
        <w:spacing w:before="0" w:after="160" w:line="278" w:lineRule="auto"/>
      </w:pPr>
      <w:r>
        <w:rPr>
          <w:b/>
          <w:bCs/>
        </w:rPr>
        <w:t xml:space="preserve">Data-Driven </w:t>
      </w:r>
      <w:r w:rsidR="00A55982" w:rsidRPr="00A55982">
        <w:rPr>
          <w:b/>
          <w:bCs/>
        </w:rPr>
        <w:t>Routing Alignment:</w:t>
      </w:r>
      <w:r w:rsidR="00A55982" w:rsidRPr="00A55982">
        <w:t xml:space="preserve"> The Phase 1 site already uses clean, descriptive URLs (e.g. /what-is-</w:t>
      </w:r>
      <w:proofErr w:type="spellStart"/>
      <w:r w:rsidR="00A55982" w:rsidRPr="00A55982">
        <w:t>pg</w:t>
      </w:r>
      <w:proofErr w:type="spellEnd"/>
      <w:r w:rsidR="00A55982" w:rsidRPr="00A55982">
        <w:t>, /</w:t>
      </w:r>
      <w:proofErr w:type="spellStart"/>
      <w:r w:rsidR="00A55982" w:rsidRPr="00A55982">
        <w:t>pg</w:t>
      </w:r>
      <w:proofErr w:type="spellEnd"/>
      <w:r w:rsidR="00A55982" w:rsidRPr="00A55982">
        <w:t xml:space="preserve">-symptoms, /support-groups) for each content page. This is a positive sign: it means migrating to a slug-based routing system will be straightforward, with minimal URL changes needed. The consistency of using hyphenated titles as URLs aligns with best practices in a CMS and will make 301-redirect planning easier if needed. The DCMS should maintain or </w:t>
      </w:r>
      <w:proofErr w:type="gramStart"/>
      <w:r w:rsidR="00A55982" w:rsidRPr="00A55982">
        <w:t>improve on</w:t>
      </w:r>
      <w:proofErr w:type="gramEnd"/>
      <w:r w:rsidR="00A55982" w:rsidRPr="00A55982">
        <w:t xml:space="preserve"> this by making all new content URLs similarly clean and </w:t>
      </w:r>
      <w:proofErr w:type="gramStart"/>
      <w:r w:rsidR="00A55982" w:rsidRPr="00A55982">
        <w:t>human-readable</w:t>
      </w:r>
      <w:proofErr w:type="gramEnd"/>
      <w:r w:rsidR="00A55982" w:rsidRPr="00A55982">
        <w:t xml:space="preserve">. </w:t>
      </w:r>
    </w:p>
    <w:p w14:paraId="72D1EB02" w14:textId="77777777" w:rsidR="00A55982" w:rsidRPr="00A55982" w:rsidRDefault="00A55982" w:rsidP="00A55982">
      <w:pPr>
        <w:numPr>
          <w:ilvl w:val="0"/>
          <w:numId w:val="23"/>
        </w:numPr>
        <w:spacing w:before="0" w:after="160" w:line="278" w:lineRule="auto"/>
      </w:pPr>
      <w:r w:rsidRPr="00A55982">
        <w:rPr>
          <w:b/>
          <w:bCs/>
        </w:rPr>
        <w:t>Content Types Identification:</w:t>
      </w:r>
      <w:r w:rsidRPr="00A55982">
        <w:t xml:space="preserve"> We can clearly identify distinct </w:t>
      </w:r>
      <w:r w:rsidRPr="00A55982">
        <w:rPr>
          <w:b/>
          <w:bCs/>
        </w:rPr>
        <w:t>content types in the current content mix</w:t>
      </w:r>
      <w:r w:rsidRPr="00A55982">
        <w:t xml:space="preserve">, which will map to DCMS data models. For example: </w:t>
      </w:r>
    </w:p>
    <w:p w14:paraId="7A318F14" w14:textId="77777777" w:rsidR="00A55982" w:rsidRPr="00A55982" w:rsidRDefault="00A55982" w:rsidP="00A55982">
      <w:pPr>
        <w:numPr>
          <w:ilvl w:val="1"/>
          <w:numId w:val="23"/>
        </w:numPr>
        <w:spacing w:before="0" w:after="160" w:line="278" w:lineRule="auto"/>
      </w:pPr>
      <w:r w:rsidRPr="00A55982">
        <w:rPr>
          <w:b/>
          <w:bCs/>
        </w:rPr>
        <w:t>Informational Articles:</w:t>
      </w:r>
      <w:r w:rsidRPr="00A55982">
        <w:t xml:space="preserve"> Pages like “What is PG?” or “Treatment of PG” are educational articles. A DCMS can define a content type for these medical info pages (with fields for title, body, perhaps related images or references).</w:t>
      </w:r>
    </w:p>
    <w:p w14:paraId="5A4AED12" w14:textId="77777777" w:rsidR="00A55982" w:rsidRPr="00A55982" w:rsidRDefault="00A55982" w:rsidP="00A55982">
      <w:pPr>
        <w:numPr>
          <w:ilvl w:val="1"/>
          <w:numId w:val="23"/>
        </w:numPr>
        <w:spacing w:before="0" w:after="160" w:line="278" w:lineRule="auto"/>
      </w:pPr>
      <w:r w:rsidRPr="00A55982">
        <w:rPr>
          <w:b/>
          <w:bCs/>
        </w:rPr>
        <w:t>News/Events Posts:</w:t>
      </w:r>
      <w:r w:rsidRPr="00A55982">
        <w:t xml:space="preserve"> The News &amp; Events listing shows items with a title, date, and description, which typically indicates a </w:t>
      </w:r>
      <w:r w:rsidRPr="00A55982">
        <w:rPr>
          <w:b/>
          <w:bCs/>
        </w:rPr>
        <w:t>news post</w:t>
      </w:r>
      <w:r w:rsidRPr="00A55982">
        <w:t xml:space="preserve"> or </w:t>
      </w:r>
      <w:r w:rsidRPr="00A55982">
        <w:rPr>
          <w:b/>
          <w:bCs/>
        </w:rPr>
        <w:t>blog post</w:t>
      </w:r>
      <w:r w:rsidRPr="00A55982">
        <w:t xml:space="preserve"> content type. Currently these link externally, but Phase 2 could bring them into a News content type within the CMS, enabling onsite hosting of news articles and events. </w:t>
      </w:r>
      <w:hyperlink r:id="rId53" w:history="1">
        <w:r w:rsidRPr="00A55982">
          <w:rPr>
            <w:rStyle w:val="Hyperlink"/>
          </w:rPr>
          <w:t>[allthingspg.org]</w:t>
        </w:r>
      </w:hyperlink>
      <w:r w:rsidRPr="00A55982">
        <w:t xml:space="preserve">, </w:t>
      </w:r>
      <w:hyperlink r:id="rId54" w:history="1">
        <w:r w:rsidRPr="00A55982">
          <w:rPr>
            <w:rStyle w:val="Hyperlink"/>
          </w:rPr>
          <w:t>[allthingspg.org]</w:t>
        </w:r>
      </w:hyperlink>
    </w:p>
    <w:p w14:paraId="0775C0A8" w14:textId="77777777" w:rsidR="00A55982" w:rsidRPr="00A55982" w:rsidRDefault="00A55982" w:rsidP="00A55982">
      <w:pPr>
        <w:numPr>
          <w:ilvl w:val="1"/>
          <w:numId w:val="23"/>
        </w:numPr>
        <w:spacing w:before="0" w:after="160" w:line="278" w:lineRule="auto"/>
      </w:pPr>
      <w:r w:rsidRPr="00A55982">
        <w:rPr>
          <w:b/>
          <w:bCs/>
        </w:rPr>
        <w:t>Directory Entries:</w:t>
      </w:r>
      <w:r w:rsidRPr="00A55982">
        <w:t xml:space="preserve"> The Clinic Finder essentially contains a directory of providers/clinics with attributes (name, location, specialty, telehealth availability, etc.). This can map to a </w:t>
      </w:r>
      <w:r w:rsidRPr="00A55982">
        <w:rPr>
          <w:b/>
          <w:bCs/>
        </w:rPr>
        <w:t>“Provider Directory”</w:t>
      </w:r>
      <w:r w:rsidRPr="00A55982">
        <w:t xml:space="preserve"> content type in the new system, stored in a database table, enabling easier additions and dynamic filtering/search. </w:t>
      </w:r>
      <w:hyperlink r:id="rId55" w:history="1">
        <w:r w:rsidRPr="00A55982">
          <w:rPr>
            <w:rStyle w:val="Hyperlink"/>
          </w:rPr>
          <w:t>[allthingspg.org]</w:t>
        </w:r>
      </w:hyperlink>
      <w:r w:rsidRPr="00A55982">
        <w:t xml:space="preserve">, </w:t>
      </w:r>
      <w:hyperlink r:id="rId56" w:history="1">
        <w:r w:rsidRPr="00A55982">
          <w:rPr>
            <w:rStyle w:val="Hyperlink"/>
          </w:rPr>
          <w:t>[allthingspg.org]</w:t>
        </w:r>
      </w:hyperlink>
    </w:p>
    <w:p w14:paraId="4B6C9CD6" w14:textId="77777777" w:rsidR="00A55982" w:rsidRPr="00A55982" w:rsidRDefault="00A55982" w:rsidP="00A55982">
      <w:pPr>
        <w:numPr>
          <w:ilvl w:val="1"/>
          <w:numId w:val="23"/>
        </w:numPr>
        <w:spacing w:before="0" w:after="160" w:line="278" w:lineRule="auto"/>
      </w:pPr>
      <w:r w:rsidRPr="00A55982">
        <w:rPr>
          <w:b/>
          <w:bCs/>
        </w:rPr>
        <w:t>Static Pages:</w:t>
      </w:r>
      <w:r w:rsidRPr="00A55982">
        <w:t xml:space="preserve"> Pages like “Donate” or “Contact Us” are more generic content pages. These could be managed as a basic page content type or as part of a “Site Info” category in the CMS. </w:t>
      </w:r>
      <w:hyperlink r:id="rId57" w:history="1">
        <w:r w:rsidRPr="00A55982">
          <w:rPr>
            <w:rStyle w:val="Hyperlink"/>
          </w:rPr>
          <w:t>[allthingspg.org]</w:t>
        </w:r>
      </w:hyperlink>
    </w:p>
    <w:p w14:paraId="20C9933D" w14:textId="77777777" w:rsidR="00A55982" w:rsidRPr="00A55982" w:rsidRDefault="00A55982" w:rsidP="00A55982">
      <w:pPr>
        <w:numPr>
          <w:ilvl w:val="1"/>
          <w:numId w:val="23"/>
        </w:numPr>
        <w:spacing w:before="0" w:after="160" w:line="278" w:lineRule="auto"/>
      </w:pPr>
      <w:r w:rsidRPr="00A55982">
        <w:rPr>
          <w:b/>
          <w:bCs/>
        </w:rPr>
        <w:t>People Profiles:</w:t>
      </w:r>
      <w:r w:rsidRPr="00A55982">
        <w:t xml:space="preserve"> The “Our People” board member listings suggest a </w:t>
      </w:r>
      <w:r w:rsidRPr="00A55982">
        <w:rPr>
          <w:b/>
          <w:bCs/>
        </w:rPr>
        <w:t>profile content type</w:t>
      </w:r>
      <w:r w:rsidRPr="00A55982">
        <w:t xml:space="preserve"> (each with name, role, bio). Phase 2 could formalize this, making it easier to update team members. </w:t>
      </w:r>
      <w:hyperlink r:id="rId58" w:history="1">
        <w:r w:rsidRPr="00A55982">
          <w:rPr>
            <w:rStyle w:val="Hyperlink"/>
          </w:rPr>
          <w:t>[allthingspg.org]</w:t>
        </w:r>
      </w:hyperlink>
      <w:r w:rsidRPr="00A55982">
        <w:t xml:space="preserve">, </w:t>
      </w:r>
      <w:hyperlink r:id="rId59" w:history="1">
        <w:r w:rsidRPr="00A55982">
          <w:rPr>
            <w:rStyle w:val="Hyperlink"/>
          </w:rPr>
          <w:t>[allthingspg.org]</w:t>
        </w:r>
      </w:hyperlink>
    </w:p>
    <w:p w14:paraId="7022484D" w14:textId="77777777" w:rsidR="00A55982" w:rsidRPr="00A55982" w:rsidRDefault="00A55982" w:rsidP="00A55982">
      <w:pPr>
        <w:numPr>
          <w:ilvl w:val="1"/>
          <w:numId w:val="23"/>
        </w:numPr>
        <w:spacing w:before="0" w:after="160" w:line="278" w:lineRule="auto"/>
      </w:pPr>
      <w:r w:rsidRPr="00A55982">
        <w:rPr>
          <w:b/>
          <w:bCs/>
        </w:rPr>
        <w:t>Forms/Surveys:</w:t>
      </w:r>
      <w:r w:rsidRPr="00A55982">
        <w:t xml:space="preserve"> While external now, a DCMS with a </w:t>
      </w:r>
      <w:proofErr w:type="gramStart"/>
      <w:r w:rsidRPr="00A55982">
        <w:t>forms</w:t>
      </w:r>
      <w:proofErr w:type="gramEnd"/>
      <w:r w:rsidRPr="00A55982">
        <w:t xml:space="preserve"> module could bring subscription or survey forms in-house if desired. But this is optional given existing integrations.</w:t>
      </w:r>
    </w:p>
    <w:p w14:paraId="6E3C9433" w14:textId="77777777" w:rsidR="00A55982" w:rsidRPr="00A55982" w:rsidRDefault="00A55982" w:rsidP="00A55982">
      <w:pPr>
        <w:spacing w:after="160" w:line="278" w:lineRule="auto"/>
      </w:pPr>
      <w:r w:rsidRPr="00A55982">
        <w:lastRenderedPageBreak/>
        <w:t xml:space="preserve">Having these content categories already conceptually separate means Phase 1 content is </w:t>
      </w:r>
      <w:r w:rsidRPr="00A55982">
        <w:rPr>
          <w:i/>
          <w:iCs/>
        </w:rPr>
        <w:t>relatively well-structured logically</w:t>
      </w:r>
      <w:r w:rsidRPr="00A55982">
        <w:t>, even if not in a database. The team likely knows the difference between an article vs. a news post vs. a directory entry – which is exactly how one should approach migrating to a structured CMS.</w:t>
      </w:r>
    </w:p>
    <w:p w14:paraId="250E6DD4" w14:textId="77777777" w:rsidR="00A55982" w:rsidRPr="00A55982" w:rsidRDefault="00A55982" w:rsidP="00A55982">
      <w:pPr>
        <w:numPr>
          <w:ilvl w:val="0"/>
          <w:numId w:val="23"/>
        </w:numPr>
        <w:spacing w:before="0" w:after="160" w:line="278" w:lineRule="auto"/>
      </w:pPr>
      <w:r w:rsidRPr="00A55982">
        <w:rPr>
          <w:b/>
          <w:bCs/>
        </w:rPr>
        <w:t>Menu Structure and DCMS:</w:t>
      </w:r>
      <w:r w:rsidRPr="00A55982">
        <w:t xml:space="preserve"> The current navigation is static but </w:t>
      </w:r>
      <w:proofErr w:type="gramStart"/>
      <w:r w:rsidRPr="00A55982">
        <w:t>fairly well-defined</w:t>
      </w:r>
      <w:proofErr w:type="gramEnd"/>
      <w:r w:rsidRPr="00A55982">
        <w:t xml:space="preserve">. A DCMS can replicate this menu dynamically: for example, an “About PG” menu that automatically lists all pages tagged as disease info. The site’s use of sub-menu grouping (About PG vs. Living with PG) can be translated into a hierarchical menu tree in a CMS. </w:t>
      </w:r>
      <w:r w:rsidRPr="00A55982">
        <w:rPr>
          <w:b/>
          <w:bCs/>
        </w:rPr>
        <w:t>Adjustment needed:</w:t>
      </w:r>
      <w:r w:rsidRPr="00A55982">
        <w:t xml:space="preserve"> Ensure that the DCMS’s menu supports multi-level entries (Category &gt; Sub-page) and can incorporate external links when necessary (for items like Donate which goes off-site to a donation platform).</w:t>
      </w:r>
    </w:p>
    <w:p w14:paraId="359816E3" w14:textId="77777777" w:rsidR="00A55982" w:rsidRPr="00A55982" w:rsidRDefault="00A55982" w:rsidP="00A55982">
      <w:pPr>
        <w:numPr>
          <w:ilvl w:val="0"/>
          <w:numId w:val="23"/>
        </w:numPr>
        <w:spacing w:before="0" w:after="160" w:line="278" w:lineRule="auto"/>
      </w:pPr>
      <w:r w:rsidRPr="00A55982">
        <w:rPr>
          <w:b/>
          <w:bCs/>
        </w:rPr>
        <w:t>Curation Workflows &amp; Content Relationships:</w:t>
      </w:r>
      <w:r w:rsidRPr="00A55982">
        <w:t xml:space="preserve"> Phase 1 content is mostly stand-alone pages with minimal interlinking, which means it’s not yet leveraging relationships (other than the homepage featuring some content manually). A DCMS will allow more dynamic curation – e.g. the homepage could automatically display the latest news post or a featured patient story by tagging it. To prepare, the organization should consider how they want to </w:t>
      </w:r>
      <w:r w:rsidRPr="00A55982">
        <w:rPr>
          <w:b/>
          <w:bCs/>
        </w:rPr>
        <w:t>relate content</w:t>
      </w:r>
      <w:r w:rsidRPr="00A55982">
        <w:t xml:space="preserve">. For instance, linking “What is PG?” to “Treatment of PG” as related topics or linking “Support Groups” in relevant pages (as is done in “Talking About PG”). The readiness here is conceptual: stakeholders must outline which content pieces should connect or be curated together. The current site shows hints of this (like cross-linking to Support Groups), so the team is aware of the need; Phase 2 can make it systematic (through tags, categories, or manual curation in a CMS interface). </w:t>
      </w:r>
      <w:hyperlink r:id="rId60" w:history="1">
        <w:r w:rsidRPr="00A55982">
          <w:rPr>
            <w:rStyle w:val="Hyperlink"/>
          </w:rPr>
          <w:t>[allthingspg.org]</w:t>
        </w:r>
      </w:hyperlink>
    </w:p>
    <w:p w14:paraId="26B2D723" w14:textId="77777777" w:rsidR="00A55982" w:rsidRPr="00A55982" w:rsidRDefault="00A55982" w:rsidP="00A55982">
      <w:pPr>
        <w:numPr>
          <w:ilvl w:val="0"/>
          <w:numId w:val="23"/>
        </w:numPr>
        <w:spacing w:before="0" w:after="160" w:line="278" w:lineRule="auto"/>
      </w:pPr>
      <w:r w:rsidRPr="00A55982">
        <w:rPr>
          <w:b/>
          <w:bCs/>
        </w:rPr>
        <w:t>Data Migration Considerations:</w:t>
      </w:r>
      <w:r w:rsidRPr="00A55982">
        <w:t xml:space="preserve"> The relatively small volume of content in Phase 1 is a </w:t>
      </w:r>
      <w:r w:rsidRPr="00A55982">
        <w:rPr>
          <w:b/>
          <w:bCs/>
        </w:rPr>
        <w:t>blessing for migration</w:t>
      </w:r>
      <w:r w:rsidRPr="00A55982">
        <w:t xml:space="preserve"> – it can likely be moved into DCMS fields with modest effort. However, care must be taken to maintain SEO (preserve </w:t>
      </w:r>
      <w:proofErr w:type="gramStart"/>
      <w:r w:rsidRPr="00A55982">
        <w:t>slugs, or</w:t>
      </w:r>
      <w:proofErr w:type="gramEnd"/>
      <w:r w:rsidRPr="00A55982">
        <w:t xml:space="preserve"> use redirects) and content integrity (transfer text, images, links accurately). No complex legacy databases need integration since it’s all static content, easing the import process.</w:t>
      </w:r>
    </w:p>
    <w:p w14:paraId="35F416EF" w14:textId="77777777" w:rsidR="00A55982" w:rsidRPr="00A55982" w:rsidRDefault="00A55982" w:rsidP="00A55982">
      <w:pPr>
        <w:spacing w:after="160" w:line="278" w:lineRule="auto"/>
      </w:pPr>
      <w:r w:rsidRPr="00A55982">
        <w:t>In summary, the current site is conceptually aligned with a DCMS upgrade: content is already separated by purpose, URLs are clean, and the team has begun using structured content ideas (directory, news listings). The move to DCMS will mostly involve implementing these concepts in software and filling gaps (like adding internal search and more content relationships).</w:t>
      </w:r>
    </w:p>
    <w:p w14:paraId="702091A8" w14:textId="77777777" w:rsidR="00A55982" w:rsidRPr="00A55982" w:rsidRDefault="00A55982" w:rsidP="006D77BA">
      <w:pPr>
        <w:pStyle w:val="Heading2"/>
      </w:pPr>
      <w:r w:rsidRPr="00A55982">
        <w:t>Phase 2 Readiness &amp; DCMS Alignment</w:t>
      </w:r>
    </w:p>
    <w:p w14:paraId="2C80DB22" w14:textId="77777777" w:rsidR="00A55982" w:rsidRPr="00A55982" w:rsidRDefault="00A55982" w:rsidP="00A55982">
      <w:pPr>
        <w:spacing w:after="160" w:line="278" w:lineRule="auto"/>
      </w:pPr>
      <w:r w:rsidRPr="00A55982">
        <w:t xml:space="preserve">Phase 2 aims to implement a </w:t>
      </w:r>
      <w:r w:rsidRPr="00A55982">
        <w:rPr>
          <w:b/>
          <w:bCs/>
        </w:rPr>
        <w:t xml:space="preserve">Dynamic Content and </w:t>
      </w:r>
      <w:proofErr w:type="spellStart"/>
      <w:r w:rsidRPr="00A55982">
        <w:rPr>
          <w:b/>
          <w:bCs/>
        </w:rPr>
        <w:t>Menuing</w:t>
      </w:r>
      <w:proofErr w:type="spellEnd"/>
      <w:r w:rsidRPr="00A55982">
        <w:rPr>
          <w:b/>
          <w:bCs/>
        </w:rPr>
        <w:t xml:space="preserve"> System</w:t>
      </w:r>
      <w:r w:rsidRPr="00A55982">
        <w:t>. Here’s an analysis of how the current state will transition, and what must be tackled to ensure success:</w:t>
      </w:r>
    </w:p>
    <w:p w14:paraId="66637FFD" w14:textId="77777777" w:rsidR="00A55982" w:rsidRPr="00A55982" w:rsidRDefault="00A55982" w:rsidP="00A55982">
      <w:pPr>
        <w:numPr>
          <w:ilvl w:val="0"/>
          <w:numId w:val="24"/>
        </w:numPr>
        <w:spacing w:before="0" w:after="160" w:line="278" w:lineRule="auto"/>
      </w:pPr>
      <w:r w:rsidRPr="00A55982">
        <w:rPr>
          <w:b/>
          <w:bCs/>
        </w:rPr>
        <w:t>Identifying Breaking Points:</w:t>
      </w:r>
      <w:r w:rsidRPr="00A55982">
        <w:t xml:space="preserve"> Without a CMS, certain planned Phase 2 features cannot exist in Phase 1. </w:t>
      </w:r>
      <w:r w:rsidRPr="00A55982">
        <w:rPr>
          <w:i/>
          <w:iCs/>
        </w:rPr>
        <w:t>For instance, if Phase 2 will introduce personalized content feeds or interactive content filtering, these would “break” Phase 1’s static paradigm.</w:t>
      </w:r>
      <w:r w:rsidRPr="00A55982">
        <w:t xml:space="preserve"> Fortunately, no such features are </w:t>
      </w:r>
      <w:proofErr w:type="gramStart"/>
      <w:r w:rsidRPr="00A55982">
        <w:t>live</w:t>
      </w:r>
      <w:proofErr w:type="gramEnd"/>
      <w:r w:rsidRPr="00A55982">
        <w:t xml:space="preserve"> now (so nothing will literally break on upgrade), but </w:t>
      </w:r>
      <w:r w:rsidRPr="00A55982">
        <w:rPr>
          <w:b/>
          <w:bCs/>
        </w:rPr>
        <w:t>continuing without a CMS would make new features nearly impossible</w:t>
      </w:r>
      <w:r w:rsidRPr="00A55982">
        <w:t xml:space="preserve">. For example, if the organization attempted to launch a multi-entry blog or a more complex multi-level menu </w:t>
      </w:r>
      <w:r w:rsidRPr="00A55982">
        <w:rPr>
          <w:i/>
          <w:iCs/>
        </w:rPr>
        <w:t>without a CMS</w:t>
      </w:r>
      <w:r w:rsidRPr="00A55982">
        <w:t xml:space="preserve">, it would become untenable to manage by hand. </w:t>
      </w:r>
      <w:r w:rsidRPr="00A55982">
        <w:rPr>
          <w:b/>
          <w:bCs/>
        </w:rPr>
        <w:t xml:space="preserve">In other words, Phase 1 has reached its practical ceiling – further growth </w:t>
      </w:r>
      <w:r w:rsidRPr="00A55982">
        <w:rPr>
          <w:b/>
          <w:bCs/>
          <w:i/>
          <w:iCs/>
        </w:rPr>
        <w:t>requires</w:t>
      </w:r>
      <w:r w:rsidRPr="00A55982">
        <w:rPr>
          <w:b/>
          <w:bCs/>
        </w:rPr>
        <w:t xml:space="preserve"> the new DCMS.</w:t>
      </w:r>
    </w:p>
    <w:p w14:paraId="1232088C" w14:textId="77777777" w:rsidR="00A55982" w:rsidRPr="00A55982" w:rsidRDefault="00A55982" w:rsidP="00A55982">
      <w:pPr>
        <w:numPr>
          <w:ilvl w:val="0"/>
          <w:numId w:val="24"/>
        </w:numPr>
        <w:spacing w:before="0" w:after="160" w:line="278" w:lineRule="auto"/>
      </w:pPr>
      <w:r w:rsidRPr="00A55982">
        <w:rPr>
          <w:b/>
          <w:bCs/>
        </w:rPr>
        <w:lastRenderedPageBreak/>
        <w:t>Dynamic Routing Benefits:</w:t>
      </w:r>
      <w:r w:rsidRPr="00A55982">
        <w:t xml:space="preserve"> Immediately, dynamic routing will allow </w:t>
      </w:r>
      <w:r w:rsidRPr="00A55982">
        <w:rPr>
          <w:b/>
          <w:bCs/>
        </w:rPr>
        <w:t>new content pages to be created on the fly</w:t>
      </w:r>
      <w:r w:rsidRPr="00A55982">
        <w:t xml:space="preserve">, each accessible via automatically generated slugs. This will benefit areas like News/Events – where currently adding a news item means editing the News page manually – by allowing each news item to have its own page. Users will be able to click, for instance, “Read more” on a news blurb and stay on the </w:t>
      </w:r>
      <w:proofErr w:type="spellStart"/>
      <w:r w:rsidRPr="00A55982">
        <w:t>AllThingsPG</w:t>
      </w:r>
      <w:proofErr w:type="spellEnd"/>
      <w:r w:rsidRPr="00A55982">
        <w:t xml:space="preserve"> site to see the full story, rather than bouncing to an external site or having no further content. This keeps users engaged and improves content depth. Additionally, dynamic routing can power user-friendly URLs for unforeseen content categories (e.g., future pages like /patient-stories/… or /</w:t>
      </w:r>
      <w:proofErr w:type="spellStart"/>
      <w:r w:rsidRPr="00A55982">
        <w:t>faq</w:t>
      </w:r>
      <w:proofErr w:type="spellEnd"/>
      <w:r w:rsidRPr="00A55982">
        <w:t xml:space="preserve">/… can be created with no structural overhaul). </w:t>
      </w:r>
      <w:hyperlink r:id="rId61" w:history="1">
        <w:r w:rsidRPr="00A55982">
          <w:rPr>
            <w:rStyle w:val="Hyperlink"/>
          </w:rPr>
          <w:t>[allthingspg.org]</w:t>
        </w:r>
      </w:hyperlink>
    </w:p>
    <w:p w14:paraId="247E8B19" w14:textId="77777777" w:rsidR="00A55982" w:rsidRPr="00A55982" w:rsidRDefault="00A55982" w:rsidP="00A55982">
      <w:pPr>
        <w:numPr>
          <w:ilvl w:val="0"/>
          <w:numId w:val="24"/>
        </w:numPr>
        <w:spacing w:before="0" w:after="160" w:line="278" w:lineRule="auto"/>
      </w:pPr>
      <w:r w:rsidRPr="00A55982">
        <w:rPr>
          <w:b/>
          <w:bCs/>
        </w:rPr>
        <w:t>Introducing Distinct Content Types:</w:t>
      </w:r>
      <w:r w:rsidRPr="00A55982">
        <w:t xml:space="preserve"> The new CMS should define content types as outlined above. This is critical to maintain order and exploit the dynamic nature. For example: </w:t>
      </w:r>
    </w:p>
    <w:p w14:paraId="25AB0651" w14:textId="77777777" w:rsidR="00A55982" w:rsidRPr="00A55982" w:rsidRDefault="00A55982" w:rsidP="00A55982">
      <w:pPr>
        <w:numPr>
          <w:ilvl w:val="1"/>
          <w:numId w:val="24"/>
        </w:numPr>
        <w:spacing w:before="0" w:after="160" w:line="278" w:lineRule="auto"/>
      </w:pPr>
      <w:r w:rsidRPr="00A55982">
        <w:rPr>
          <w:i/>
          <w:iCs/>
        </w:rPr>
        <w:t>Articles (educational)</w:t>
      </w:r>
      <w:r w:rsidRPr="00A55982">
        <w:t xml:space="preserve"> – to consolidate all the “About PG” and “Living with PG” pages in one manageable structure.</w:t>
      </w:r>
    </w:p>
    <w:p w14:paraId="2D1E08CD" w14:textId="77777777" w:rsidR="00A55982" w:rsidRPr="00A55982" w:rsidRDefault="00A55982" w:rsidP="00A55982">
      <w:pPr>
        <w:numPr>
          <w:ilvl w:val="1"/>
          <w:numId w:val="24"/>
        </w:numPr>
        <w:spacing w:before="0" w:after="160" w:line="278" w:lineRule="auto"/>
      </w:pPr>
      <w:r w:rsidRPr="00A55982">
        <w:rPr>
          <w:i/>
          <w:iCs/>
        </w:rPr>
        <w:t>News/Updates</w:t>
      </w:r>
      <w:r w:rsidRPr="00A55982">
        <w:t xml:space="preserve"> – to handle what’s currently external posts and integrate them internally.</w:t>
      </w:r>
    </w:p>
    <w:p w14:paraId="74445CDD" w14:textId="77777777" w:rsidR="00A55982" w:rsidRPr="00A55982" w:rsidRDefault="00A55982" w:rsidP="00A55982">
      <w:pPr>
        <w:numPr>
          <w:ilvl w:val="1"/>
          <w:numId w:val="24"/>
        </w:numPr>
        <w:spacing w:before="0" w:after="160" w:line="278" w:lineRule="auto"/>
      </w:pPr>
      <w:r w:rsidRPr="00A55982">
        <w:rPr>
          <w:i/>
          <w:iCs/>
        </w:rPr>
        <w:t>Events</w:t>
      </w:r>
      <w:r w:rsidRPr="00A55982">
        <w:t xml:space="preserve"> – perhaps separate from news if live events (like the PFAC meeting) become recurring; allow listing upcoming vs past events easily.</w:t>
      </w:r>
    </w:p>
    <w:p w14:paraId="7DAB738E" w14:textId="77777777" w:rsidR="00A55982" w:rsidRPr="00A55982" w:rsidRDefault="00A55982" w:rsidP="00A55982">
      <w:pPr>
        <w:numPr>
          <w:ilvl w:val="1"/>
          <w:numId w:val="24"/>
        </w:numPr>
        <w:spacing w:before="0" w:after="160" w:line="278" w:lineRule="auto"/>
      </w:pPr>
      <w:r w:rsidRPr="00A55982">
        <w:rPr>
          <w:i/>
          <w:iCs/>
        </w:rPr>
        <w:t>Directory Entries</w:t>
      </w:r>
      <w:r w:rsidRPr="00A55982">
        <w:t xml:space="preserve"> – for the clinic finder providers, to be stored in a database for easier search/sort upgrades.</w:t>
      </w:r>
    </w:p>
    <w:p w14:paraId="357D16BB" w14:textId="77777777" w:rsidR="00A55982" w:rsidRPr="00A55982" w:rsidRDefault="00A55982" w:rsidP="00A55982">
      <w:pPr>
        <w:numPr>
          <w:ilvl w:val="1"/>
          <w:numId w:val="24"/>
        </w:numPr>
        <w:spacing w:before="0" w:after="160" w:line="278" w:lineRule="auto"/>
      </w:pPr>
      <w:r w:rsidRPr="00A55982">
        <w:rPr>
          <w:i/>
          <w:iCs/>
        </w:rPr>
        <w:t>Testimonials or Stories</w:t>
      </w:r>
      <w:r w:rsidRPr="00A55982">
        <w:t xml:space="preserve"> – a new type could be introduced for patient/caregiver narratives, building on content like “One Woman’s Journey…” linked via YouTube now, so such stories can be hosted and searchable on the site directly. </w:t>
      </w:r>
      <w:hyperlink r:id="rId62" w:history="1">
        <w:r w:rsidRPr="00A55982">
          <w:rPr>
            <w:rStyle w:val="Hyperlink"/>
          </w:rPr>
          <w:t>[allthingspg.org]</w:t>
        </w:r>
      </w:hyperlink>
    </w:p>
    <w:p w14:paraId="1ADDDF6C" w14:textId="77777777" w:rsidR="00A55982" w:rsidRPr="00A55982" w:rsidRDefault="00A55982" w:rsidP="00A55982">
      <w:pPr>
        <w:numPr>
          <w:ilvl w:val="1"/>
          <w:numId w:val="24"/>
        </w:numPr>
        <w:spacing w:before="0" w:after="160" w:line="278" w:lineRule="auto"/>
      </w:pPr>
      <w:r w:rsidRPr="00A55982">
        <w:rPr>
          <w:i/>
          <w:iCs/>
        </w:rPr>
        <w:t>FAQs or Glossary</w:t>
      </w:r>
      <w:r w:rsidRPr="00A55982">
        <w:t xml:space="preserve"> – new content types that Phase 1 lacks but Phase 2 could easily support, to answer common queries and define terms (especially important in a rare disease context to reduce confusion).</w:t>
      </w:r>
    </w:p>
    <w:p w14:paraId="4CD103C2" w14:textId="77777777" w:rsidR="00A55982" w:rsidRPr="00A55982" w:rsidRDefault="00A55982" w:rsidP="00A55982">
      <w:pPr>
        <w:spacing w:after="160" w:line="278" w:lineRule="auto"/>
      </w:pPr>
      <w:r w:rsidRPr="00A55982">
        <w:t>By separating these types, the DCMS ensures each can be developed with custom fields and templates, and edited through appropriate workflows (e.g., news content might require review, whereas directory entries might be curated by staff).</w:t>
      </w:r>
    </w:p>
    <w:p w14:paraId="0989F4EF" w14:textId="77777777" w:rsidR="00A55982" w:rsidRPr="00A55982" w:rsidRDefault="00A55982" w:rsidP="00A55982">
      <w:pPr>
        <w:numPr>
          <w:ilvl w:val="0"/>
          <w:numId w:val="24"/>
        </w:numPr>
        <w:spacing w:before="0" w:after="160" w:line="278" w:lineRule="auto"/>
      </w:pPr>
      <w:r w:rsidRPr="00A55982">
        <w:rPr>
          <w:b/>
          <w:bCs/>
        </w:rPr>
        <w:t>Database-Driven Menus &amp; Navigation:</w:t>
      </w:r>
      <w:r w:rsidRPr="00A55982">
        <w:t xml:space="preserve"> In Phase 2, menus will derive from the content repository. We should plan to automatically populate submenus like “About PG” from the list of active pages in that section. The Phase 1 static approach meant any new page had to be manually added to every page’s nav or a shared nav include; with DCMS, adding a page in a section can trigger an immediate menu update globally. This capability will save time and prevent broken navigation. However, aligning with that means establishing a consistent taxonomy for the menu. Phase 1’s approach gives a hint (two main categories plus others). We’ll need to refine that in design to feed the CMS menu logic.</w:t>
      </w:r>
    </w:p>
    <w:p w14:paraId="0C8624EF" w14:textId="2D733275" w:rsidR="00A55982" w:rsidRPr="00A55982" w:rsidRDefault="00A55982" w:rsidP="00A55982">
      <w:pPr>
        <w:numPr>
          <w:ilvl w:val="0"/>
          <w:numId w:val="24"/>
        </w:numPr>
        <w:spacing w:before="0" w:after="160" w:line="278" w:lineRule="auto"/>
      </w:pPr>
      <w:r w:rsidRPr="00A55982">
        <w:rPr>
          <w:b/>
          <w:bCs/>
        </w:rPr>
        <w:t>Content Reuse, Tagging &amp; Relationships:</w:t>
      </w:r>
      <w:r w:rsidRPr="00A55982">
        <w:t xml:space="preserve"> Phase 2 opens opportunities for content reuse that Phase 1 couldn’t do. For example, a snippet like </w:t>
      </w:r>
      <w:r w:rsidRPr="00A55982">
        <w:rPr>
          <w:i/>
          <w:iCs/>
        </w:rPr>
        <w:t>“Stay informed about the latest information on PG”</w:t>
      </w:r>
      <w:r w:rsidRPr="00A55982">
        <w:t xml:space="preserve"> which currently is repeated across pages as a call-to-action could become a reusable CMS component, inserted dynamically where needed. Similarly, tagging can allow one piece of content to appear in multiple places; e.g., tagging a new article as “patient story” could automatically display it </w:t>
      </w:r>
      <w:r w:rsidRPr="00A55982">
        <w:lastRenderedPageBreak/>
        <w:t xml:space="preserve">under both a “Stories” page and maybe in a sidebar of the Support Groups page as related inspiration. The current site doesn’t exploit tagging at all – everything is siloed. Phase 2 should enable cross-tagging (like label certain articles as “For Caregivers” so they can be filtered or highlighted for that audience, addressing the earlier point on audience segmentation). </w:t>
      </w:r>
      <w:proofErr w:type="gramStart"/>
      <w:r w:rsidRPr="00A55982">
        <w:t>The DCMS</w:t>
      </w:r>
      <w:proofErr w:type="gramEnd"/>
      <w:r w:rsidRPr="00A55982">
        <w:t xml:space="preserve"> can also manage relationships, for instance linking a news post to a relevant clinic or linking a webinar event to a news release, etc. None of this is feasible now beyond hard-coded links. </w:t>
      </w:r>
    </w:p>
    <w:p w14:paraId="11438978" w14:textId="77777777" w:rsidR="00A55982" w:rsidRPr="00A55982" w:rsidRDefault="00A55982" w:rsidP="00A55982">
      <w:pPr>
        <w:spacing w:after="160" w:line="278" w:lineRule="auto"/>
      </w:pPr>
      <w:r w:rsidRPr="00A55982">
        <w:t xml:space="preserve">In essence, Phase 2 will transform the site from a static collection of pages into a </w:t>
      </w:r>
      <w:r w:rsidRPr="00A55982">
        <w:rPr>
          <w:b/>
          <w:bCs/>
        </w:rPr>
        <w:t>living content hub</w:t>
      </w:r>
      <w:r w:rsidRPr="00A55982">
        <w:t>. The present site provides a solid content foundation but requires significant structural change to align with dynamic content delivery. The organization should prepare by auditing all existing content and deciding how it maps to future content types, which will smooth the DCMS adoption.</w:t>
      </w:r>
    </w:p>
    <w:p w14:paraId="66FD6D40" w14:textId="77777777" w:rsidR="00A55982" w:rsidRPr="00A55982" w:rsidRDefault="00A55982" w:rsidP="006D77BA">
      <w:pPr>
        <w:pStyle w:val="Heading2"/>
      </w:pPr>
      <w:r w:rsidRPr="00A55982">
        <w:t>Phase 2 Gap Analysis</w:t>
      </w:r>
    </w:p>
    <w:p w14:paraId="235513FB" w14:textId="77777777" w:rsidR="00A55982" w:rsidRPr="00A55982" w:rsidRDefault="00A55982" w:rsidP="00A55982">
      <w:pPr>
        <w:spacing w:after="160" w:line="278" w:lineRule="auto"/>
      </w:pPr>
      <w:r w:rsidRPr="00A55982">
        <w:t>This section summarizes the gaps between Phase 1 (current state) and Phase 2 (intended state with DCMS), highlighting what needs to change or be added:</w:t>
      </w:r>
    </w:p>
    <w:p w14:paraId="11EC54F6" w14:textId="77777777" w:rsidR="00A55982" w:rsidRPr="00A55982" w:rsidRDefault="00A55982" w:rsidP="00A55982">
      <w:pPr>
        <w:numPr>
          <w:ilvl w:val="0"/>
          <w:numId w:val="25"/>
        </w:numPr>
        <w:spacing w:before="0" w:after="160" w:line="278" w:lineRule="auto"/>
      </w:pPr>
      <w:r w:rsidRPr="00A55982">
        <w:rPr>
          <w:b/>
          <w:bCs/>
        </w:rPr>
        <w:t>Content Management Gap:</w:t>
      </w:r>
      <w:r w:rsidRPr="00A55982">
        <w:t xml:space="preserve"> </w:t>
      </w:r>
      <w:r w:rsidRPr="00A55982">
        <w:rPr>
          <w:b/>
          <w:bCs/>
        </w:rPr>
        <w:t>No CMS in Phase 1 vs. full DCMS in Phase 2.</w:t>
      </w:r>
      <w:r w:rsidRPr="00A55982">
        <w:t xml:space="preserve"> Currently, content is edited via code; Phase 2 must introduce a user-friendly content editor and workflow so non-technical staff can create, edit, and publish content. This closes the gap in maintainability and agility.</w:t>
      </w:r>
    </w:p>
    <w:p w14:paraId="32840D80" w14:textId="77777777" w:rsidR="00A55982" w:rsidRPr="00A55982" w:rsidRDefault="00A55982" w:rsidP="00A55982">
      <w:pPr>
        <w:numPr>
          <w:ilvl w:val="0"/>
          <w:numId w:val="25"/>
        </w:numPr>
        <w:spacing w:before="0" w:after="160" w:line="278" w:lineRule="auto"/>
      </w:pPr>
      <w:r w:rsidRPr="00A55982">
        <w:rPr>
          <w:b/>
          <w:bCs/>
        </w:rPr>
        <w:t>Dynamic Content Gap:</w:t>
      </w:r>
      <w:r w:rsidRPr="00A55982">
        <w:t xml:space="preserve"> </w:t>
      </w:r>
      <w:r w:rsidRPr="00A55982">
        <w:rPr>
          <w:b/>
          <w:bCs/>
        </w:rPr>
        <w:t>Static pages vs. Dynamic content generation.</w:t>
      </w:r>
      <w:r w:rsidRPr="00A55982">
        <w:t xml:space="preserve"> Phase 1 serves the same static content to all users, with no real-time data. Phase 2 should allow dynamic content generation such as up-to-date lists (e.g., always show the latest events or recently added clinic entries automatically). Also, implementing site-wide search to dynamically retrieve relevant content addresses the findability gap from Phase 1.</w:t>
      </w:r>
    </w:p>
    <w:p w14:paraId="0F06C0D1" w14:textId="77777777" w:rsidR="00A55982" w:rsidRPr="00A55982" w:rsidRDefault="00A55982" w:rsidP="00A55982">
      <w:pPr>
        <w:numPr>
          <w:ilvl w:val="0"/>
          <w:numId w:val="25"/>
        </w:numPr>
        <w:spacing w:before="0" w:after="160" w:line="278" w:lineRule="auto"/>
      </w:pPr>
      <w:r w:rsidRPr="00A55982">
        <w:rPr>
          <w:b/>
          <w:bCs/>
        </w:rPr>
        <w:t>Audience Engagement Gap:</w:t>
      </w:r>
      <w:r w:rsidRPr="00A55982">
        <w:t xml:space="preserve"> </w:t>
      </w:r>
      <w:r w:rsidRPr="00A55982">
        <w:rPr>
          <w:b/>
          <w:bCs/>
        </w:rPr>
        <w:t>Limited engagement vs. interactive features.</w:t>
      </w:r>
      <w:r w:rsidRPr="00A55982">
        <w:t xml:space="preserve"> The current site lacks features like comment sections, user profiles, or discussion forums. Phase 2 could begin to bridge this by at least enabling richer engagement around content (for instance, allow users to submit their stories for publication via the CMS, or incorporate </w:t>
      </w:r>
      <w:proofErr w:type="gramStart"/>
      <w:r w:rsidRPr="00A55982">
        <w:t>moderated</w:t>
      </w:r>
      <w:proofErr w:type="gramEnd"/>
      <w:r w:rsidRPr="00A55982">
        <w:t xml:space="preserve"> comments on news posts). While not necessarily all in scope immediately, the architecture should be extensible to add these features later, which the static site could never do.</w:t>
      </w:r>
    </w:p>
    <w:p w14:paraId="111FD930" w14:textId="77777777" w:rsidR="00A55982" w:rsidRPr="00A55982" w:rsidRDefault="00A55982" w:rsidP="00A55982">
      <w:pPr>
        <w:numPr>
          <w:ilvl w:val="0"/>
          <w:numId w:val="25"/>
        </w:numPr>
        <w:spacing w:before="0" w:after="160" w:line="278" w:lineRule="auto"/>
      </w:pPr>
      <w:r w:rsidRPr="00A55982">
        <w:rPr>
          <w:b/>
          <w:bCs/>
        </w:rPr>
        <w:t>Structural/IA Gap:</w:t>
      </w:r>
      <w:r w:rsidRPr="00A55982">
        <w:t xml:space="preserve"> </w:t>
      </w:r>
      <w:r w:rsidRPr="00A55982">
        <w:rPr>
          <w:b/>
          <w:bCs/>
        </w:rPr>
        <w:t>Hard-coded navigation vs. flexible IA.</w:t>
      </w:r>
      <w:r w:rsidRPr="00A55982">
        <w:t xml:space="preserve"> In Phase 1, it’s tedious to restructure pages. Phase 2 will allow reordering or adding navigation items from an admin interface. To leverage that, the new IA design must be well-thought-out and integrated into the CMS configuration. Essentially, bridging this gap means implementing robust menu management features.</w:t>
      </w:r>
    </w:p>
    <w:p w14:paraId="0DDBAFF3" w14:textId="77777777" w:rsidR="00A55982" w:rsidRPr="00A55982" w:rsidRDefault="00A55982" w:rsidP="00A55982">
      <w:pPr>
        <w:numPr>
          <w:ilvl w:val="0"/>
          <w:numId w:val="25"/>
        </w:numPr>
        <w:spacing w:before="0" w:after="160" w:line="278" w:lineRule="auto"/>
      </w:pPr>
      <w:r w:rsidRPr="00A55982">
        <w:rPr>
          <w:b/>
          <w:bCs/>
        </w:rPr>
        <w:t>Content Depth and Diversity Gap:</w:t>
      </w:r>
      <w:r w:rsidRPr="00A55982">
        <w:t xml:space="preserve"> </w:t>
      </w:r>
      <w:r w:rsidRPr="00A55982">
        <w:rPr>
          <w:b/>
          <w:bCs/>
        </w:rPr>
        <w:t>Few content types vs. rich content ecosystem.</w:t>
      </w:r>
      <w:r w:rsidRPr="00A55982">
        <w:t xml:space="preserve"> As noted, the current content is limited in type (mostly static info pages with some news links). Phase 2 must introduce new content types (like blog posts, FAQs, potentially a knowledge base or a case study library) to fulfill user needs. This will fill current content gaps such as the lack of on-site patient stories, interactive Q&amp;A, or deeper medical content.</w:t>
      </w:r>
    </w:p>
    <w:p w14:paraId="3FF9C8E1" w14:textId="77777777" w:rsidR="00A55982" w:rsidRPr="00A55982" w:rsidRDefault="00A55982" w:rsidP="00A55982">
      <w:pPr>
        <w:numPr>
          <w:ilvl w:val="0"/>
          <w:numId w:val="25"/>
        </w:numPr>
        <w:spacing w:before="0" w:after="160" w:line="278" w:lineRule="auto"/>
      </w:pPr>
      <w:r w:rsidRPr="00A55982">
        <w:rPr>
          <w:b/>
          <w:bCs/>
        </w:rPr>
        <w:t>Personalization/Targeting Gap (Future):</w:t>
      </w:r>
      <w:r w:rsidRPr="00A55982">
        <w:t xml:space="preserve"> Phase 1 cannot target content by user role; Phase 2’s architecture should at least set the stage for personalization (even if not day-one, ensure that </w:t>
      </w:r>
      <w:r w:rsidRPr="00A55982">
        <w:lastRenderedPageBreak/>
        <w:t>content can be tagged or filtered by audience type, region, etc., so that future enhancements like a “Caregiver Corner” become possible without re-engineering).</w:t>
      </w:r>
    </w:p>
    <w:p w14:paraId="6C9C4424" w14:textId="77777777" w:rsidR="00A55982" w:rsidRPr="00A55982" w:rsidRDefault="00A55982" w:rsidP="00A55982">
      <w:pPr>
        <w:numPr>
          <w:ilvl w:val="0"/>
          <w:numId w:val="25"/>
        </w:numPr>
        <w:spacing w:before="0" w:after="160" w:line="278" w:lineRule="auto"/>
      </w:pPr>
      <w:r w:rsidRPr="00A55982">
        <w:rPr>
          <w:b/>
          <w:bCs/>
        </w:rPr>
        <w:t>Integration Gap:</w:t>
      </w:r>
      <w:r w:rsidRPr="00A55982">
        <w:t xml:space="preserve"> Many services (donations, emails, event sign-ups) are external in Phase 1. Phase 2 might integrate some of these more seamlessly (e.g. embed donation forms or at least style them uniformly, or track conversions in the CMS). While it's wise to continue using specialized external services, bridging the gap means ensuring the user experience is smoother and data flow (like capturing sign-up metrics) is considered.</w:t>
      </w:r>
    </w:p>
    <w:p w14:paraId="41EF0234" w14:textId="77777777" w:rsidR="00A55982" w:rsidRPr="00A55982" w:rsidRDefault="00A55982" w:rsidP="00A55982">
      <w:pPr>
        <w:spacing w:after="160" w:line="278" w:lineRule="auto"/>
      </w:pPr>
      <w:r w:rsidRPr="00A55982">
        <w:t xml:space="preserve">Each of these gaps represents a </w:t>
      </w:r>
      <w:r w:rsidRPr="00A55982">
        <w:rPr>
          <w:b/>
          <w:bCs/>
        </w:rPr>
        <w:t>Phase 2 requirement</w:t>
      </w:r>
      <w:r w:rsidRPr="00A55982">
        <w:t xml:space="preserve"> – essentially a to-do list for the new architecture. Closing them will substantially improve the site’s effectiveness and future-proof it for growth.</w:t>
      </w:r>
    </w:p>
    <w:p w14:paraId="093458BD" w14:textId="77777777" w:rsidR="00A55982" w:rsidRPr="00A55982" w:rsidRDefault="00A55982" w:rsidP="006D77BA">
      <w:pPr>
        <w:pStyle w:val="Heading2"/>
      </w:pPr>
      <w:r w:rsidRPr="00A55982">
        <w:t>Strategic Recommendations</w:t>
      </w:r>
    </w:p>
    <w:p w14:paraId="383D07F4" w14:textId="75BDA4E3" w:rsidR="00A55982" w:rsidRPr="00A55982" w:rsidRDefault="006D77BA" w:rsidP="00A55982">
      <w:pPr>
        <w:spacing w:after="160" w:line="278" w:lineRule="auto"/>
      </w:pPr>
      <w:r>
        <w:t xml:space="preserve">The </w:t>
      </w:r>
      <w:r w:rsidR="00A55982" w:rsidRPr="00A55982">
        <w:t>following recommendations</w:t>
      </w:r>
      <w:r>
        <w:t xml:space="preserve"> are </w:t>
      </w:r>
      <w:r w:rsidR="00A55982" w:rsidRPr="00A55982">
        <w:t>divided by implementation timeframe and focus:</w:t>
      </w:r>
    </w:p>
    <w:p w14:paraId="1866E573" w14:textId="77777777" w:rsidR="00A55982" w:rsidRPr="00A55982" w:rsidRDefault="00A55982" w:rsidP="00A55982">
      <w:pPr>
        <w:spacing w:after="160" w:line="278" w:lineRule="auto"/>
      </w:pPr>
      <w:r w:rsidRPr="00A55982">
        <w:rPr>
          <w:b/>
          <w:bCs/>
        </w:rPr>
        <w:t>1. Quick Wins (Phase 1 improvements before the DCMS rollout):</w:t>
      </w:r>
    </w:p>
    <w:p w14:paraId="3E7D1D08" w14:textId="77777777" w:rsidR="00A55982" w:rsidRPr="00A55982" w:rsidRDefault="00A55982" w:rsidP="00A55982">
      <w:pPr>
        <w:numPr>
          <w:ilvl w:val="0"/>
          <w:numId w:val="26"/>
        </w:numPr>
        <w:spacing w:before="0" w:after="160" w:line="278" w:lineRule="auto"/>
      </w:pPr>
      <w:r w:rsidRPr="00A55982">
        <w:rPr>
          <w:b/>
          <w:bCs/>
        </w:rPr>
        <w:t>Improve Navigation Labels &amp; Structure:</w:t>
      </w:r>
      <w:r w:rsidRPr="00A55982">
        <w:t xml:space="preserve"> Simplify and clarify the top menu in the current site if possible (e.g. ensure “Home” or site name is clearly </w:t>
      </w:r>
      <w:proofErr w:type="gramStart"/>
      <w:r w:rsidRPr="00A55982">
        <w:t>separate, and</w:t>
      </w:r>
      <w:proofErr w:type="gramEnd"/>
      <w:r w:rsidRPr="00A55982">
        <w:t xml:space="preserve"> add a “Support” or “Resources” menu item to house Support Groups and similar pages). This can often be achieved by minor HTML tweaks and will benefit users immediately.</w:t>
      </w:r>
    </w:p>
    <w:p w14:paraId="60CF94D8" w14:textId="77777777" w:rsidR="00A55982" w:rsidRPr="00A55982" w:rsidRDefault="00A55982" w:rsidP="00A55982">
      <w:pPr>
        <w:numPr>
          <w:ilvl w:val="0"/>
          <w:numId w:val="26"/>
        </w:numPr>
        <w:spacing w:before="0" w:after="160" w:line="278" w:lineRule="auto"/>
      </w:pPr>
      <w:r w:rsidRPr="00A55982">
        <w:rPr>
          <w:b/>
          <w:bCs/>
        </w:rPr>
        <w:t>Add a Basic Search Function:</w:t>
      </w:r>
      <w:r w:rsidRPr="00A55982">
        <w:t xml:space="preserve"> Even before the full CMS, implement a simple search solution (for example, a Google Custom Search bar or a </w:t>
      </w:r>
      <w:proofErr w:type="spellStart"/>
      <w:r w:rsidRPr="00A55982">
        <w:t>javascript</w:t>
      </w:r>
      <w:proofErr w:type="spellEnd"/>
      <w:r w:rsidRPr="00A55982">
        <w:t xml:space="preserve">-based search through static content). This will help current visitors locate information more easily </w:t>
      </w:r>
      <w:r w:rsidRPr="00A55982">
        <w:rPr>
          <w:b/>
          <w:bCs/>
        </w:rPr>
        <w:t>without</w:t>
      </w:r>
      <w:r w:rsidRPr="00A55982">
        <w:t xml:space="preserve"> waiting for Phase 2. It’s a low-effort addition that can be removed once the DCMS provides a better search.</w:t>
      </w:r>
    </w:p>
    <w:p w14:paraId="168E139D" w14:textId="77777777" w:rsidR="00A55982" w:rsidRPr="00A55982" w:rsidRDefault="00A55982" w:rsidP="00A55982">
      <w:pPr>
        <w:numPr>
          <w:ilvl w:val="0"/>
          <w:numId w:val="26"/>
        </w:numPr>
        <w:spacing w:before="0" w:after="160" w:line="278" w:lineRule="auto"/>
      </w:pPr>
      <w:r w:rsidRPr="00A55982">
        <w:rPr>
          <w:b/>
          <w:bCs/>
        </w:rPr>
        <w:t>Mobile &amp; Accessibility Testing:</w:t>
      </w:r>
      <w:r w:rsidRPr="00A55982">
        <w:t xml:space="preserve"> Conduct quick usability tests on mobile devices and with accessibility tools on the Phase 1 site. Fix any glaring issues (font sizes, contrast, tap target size for the clinic finder link list, etc.). These small fixes (like adding </w:t>
      </w:r>
      <w:proofErr w:type="gramStart"/>
      <w:r w:rsidRPr="00A55982">
        <w:t>alt</w:t>
      </w:r>
      <w:proofErr w:type="gramEnd"/>
      <w:r w:rsidRPr="00A55982">
        <w:t xml:space="preserve"> text to any decorative images or improving form labels on Contact Us) can often be done in the static site and will carry over benefits to the new site.</w:t>
      </w:r>
    </w:p>
    <w:p w14:paraId="63932C26" w14:textId="77777777" w:rsidR="00A55982" w:rsidRPr="00A55982" w:rsidRDefault="00A55982" w:rsidP="00A55982">
      <w:pPr>
        <w:numPr>
          <w:ilvl w:val="0"/>
          <w:numId w:val="26"/>
        </w:numPr>
        <w:spacing w:before="0" w:after="160" w:line="278" w:lineRule="auto"/>
      </w:pPr>
      <w:r w:rsidRPr="00A55982">
        <w:rPr>
          <w:b/>
          <w:bCs/>
        </w:rPr>
        <w:t>Content Cleanup and Prep:</w:t>
      </w:r>
      <w:r w:rsidRPr="00A55982">
        <w:t xml:space="preserve"> Start reviewing current content for accuracy and currency. For example, remove or update the outdated 2018 news link if it’s no longer relevant, and ensure consistency in tone across pages. Also, identify content that could be expanded (maybe create a draft for an FAQ) so it’s ready to populate into the new system. These editorial improvements require no new tech but position the content well for migration. </w:t>
      </w:r>
      <w:hyperlink r:id="rId63" w:history="1">
        <w:r w:rsidRPr="00A55982">
          <w:rPr>
            <w:rStyle w:val="Hyperlink"/>
          </w:rPr>
          <w:t>[allthingspg.org]</w:t>
        </w:r>
      </w:hyperlink>
    </w:p>
    <w:p w14:paraId="20119DE6" w14:textId="77777777" w:rsidR="00A55982" w:rsidRPr="00A55982" w:rsidRDefault="00A55982" w:rsidP="00A55982">
      <w:pPr>
        <w:numPr>
          <w:ilvl w:val="0"/>
          <w:numId w:val="26"/>
        </w:numPr>
        <w:spacing w:before="0" w:after="160" w:line="278" w:lineRule="auto"/>
      </w:pPr>
      <w:r w:rsidRPr="00A55982">
        <w:rPr>
          <w:b/>
          <w:bCs/>
        </w:rPr>
        <w:t>Consolidate Calls to Action:</w:t>
      </w:r>
      <w:r w:rsidRPr="00A55982">
        <w:t xml:space="preserve"> The repeated newsletter sign-up prompts could be refined. Perhaps highlight it clearly on the homepage and contact </w:t>
      </w:r>
      <w:proofErr w:type="gramStart"/>
      <w:r w:rsidRPr="00A55982">
        <w:t>page, but</w:t>
      </w:r>
      <w:proofErr w:type="gramEnd"/>
      <w:r w:rsidRPr="00A55982">
        <w:t xml:space="preserve"> remove extra instances from every subpage to streamline the user experience (if that repetition is deemed distracting). A cleaner Phase 1 will make for a cleaner Phase 2 import. </w:t>
      </w:r>
      <w:hyperlink r:id="rId64" w:history="1">
        <w:r w:rsidRPr="00A55982">
          <w:rPr>
            <w:rStyle w:val="Hyperlink"/>
          </w:rPr>
          <w:t>[allthingspg.org]</w:t>
        </w:r>
      </w:hyperlink>
      <w:r w:rsidRPr="00A55982">
        <w:t xml:space="preserve">, </w:t>
      </w:r>
      <w:hyperlink r:id="rId65" w:history="1">
        <w:r w:rsidRPr="00A55982">
          <w:rPr>
            <w:rStyle w:val="Hyperlink"/>
          </w:rPr>
          <w:t>[allthingspg.org]</w:t>
        </w:r>
      </w:hyperlink>
    </w:p>
    <w:p w14:paraId="5EE35034" w14:textId="77777777" w:rsidR="00A55982" w:rsidRPr="00A55982" w:rsidRDefault="00A55982" w:rsidP="00A55982">
      <w:pPr>
        <w:spacing w:after="160" w:line="278" w:lineRule="auto"/>
      </w:pPr>
      <w:r w:rsidRPr="00A55982">
        <w:rPr>
          <w:b/>
          <w:bCs/>
        </w:rPr>
        <w:t>2. Phase 2 Critical Changes (must-have in the DCMS implementation):</w:t>
      </w:r>
    </w:p>
    <w:p w14:paraId="5188B7F3" w14:textId="77777777" w:rsidR="00A55982" w:rsidRPr="00A55982" w:rsidRDefault="00A55982" w:rsidP="00A55982">
      <w:pPr>
        <w:numPr>
          <w:ilvl w:val="0"/>
          <w:numId w:val="27"/>
        </w:numPr>
        <w:spacing w:before="0" w:after="160" w:line="278" w:lineRule="auto"/>
      </w:pPr>
      <w:r w:rsidRPr="00A55982">
        <w:rPr>
          <w:b/>
          <w:bCs/>
        </w:rPr>
        <w:t>Implement a Full CMS with Editorial Workflow:</w:t>
      </w:r>
      <w:r w:rsidRPr="00A55982">
        <w:t xml:space="preserve"> The DCMS must allow authorized staff or volunteers to easily add/edit content through a friendly interface. Include workflow features like </w:t>
      </w:r>
      <w:r w:rsidRPr="00A55982">
        <w:lastRenderedPageBreak/>
        <w:t>drafts, approvals, and scheduled publishing for governance. This directly addresses current maintainability issues.</w:t>
      </w:r>
    </w:p>
    <w:p w14:paraId="0505D60C" w14:textId="77777777" w:rsidR="00A55982" w:rsidRPr="00A55982" w:rsidRDefault="00A55982" w:rsidP="00A55982">
      <w:pPr>
        <w:numPr>
          <w:ilvl w:val="0"/>
          <w:numId w:val="27"/>
        </w:numPr>
        <w:spacing w:before="0" w:after="160" w:line="278" w:lineRule="auto"/>
      </w:pPr>
      <w:r w:rsidRPr="00A55982">
        <w:rPr>
          <w:b/>
          <w:bCs/>
        </w:rPr>
        <w:t>Dynamic, Database-Backed Content Types:</w:t>
      </w:r>
      <w:r w:rsidRPr="00A55982">
        <w:t xml:space="preserve"> Develop the content types enumerated in the “Readiness” section – ensure the database design covers all key fields (e.g., for </w:t>
      </w:r>
      <w:r w:rsidRPr="00A55982">
        <w:rPr>
          <w:b/>
          <w:bCs/>
        </w:rPr>
        <w:t>articles</w:t>
      </w:r>
      <w:r w:rsidRPr="00A55982">
        <w:t xml:space="preserve">: title, body, category; for </w:t>
      </w:r>
      <w:r w:rsidRPr="00A55982">
        <w:rPr>
          <w:b/>
          <w:bCs/>
        </w:rPr>
        <w:t>news</w:t>
      </w:r>
      <w:r w:rsidRPr="00A55982">
        <w:t xml:space="preserve">: headline, date, author, body; for </w:t>
      </w:r>
      <w:r w:rsidRPr="00A55982">
        <w:rPr>
          <w:b/>
          <w:bCs/>
        </w:rPr>
        <w:t>directory</w:t>
      </w:r>
      <w:r w:rsidRPr="00A55982">
        <w:t>: clinic name, doctor, location, etc.). This is fundamental for dynamic content delivery. Additionally, implement support for tags/filters on relevant types (news by category or date, directory by geography or name) to enhance user findability.</w:t>
      </w:r>
    </w:p>
    <w:p w14:paraId="4BF14BFF" w14:textId="77777777" w:rsidR="00A55982" w:rsidRPr="00A55982" w:rsidRDefault="00A55982" w:rsidP="00A55982">
      <w:pPr>
        <w:numPr>
          <w:ilvl w:val="0"/>
          <w:numId w:val="27"/>
        </w:numPr>
        <w:spacing w:before="0" w:after="160" w:line="278" w:lineRule="auto"/>
      </w:pPr>
      <w:r w:rsidRPr="00A55982">
        <w:rPr>
          <w:b/>
          <w:bCs/>
        </w:rPr>
        <w:t>Rearchitect Navigation &amp; URL Structure:</w:t>
      </w:r>
      <w:r w:rsidRPr="00A55982">
        <w:t xml:space="preserve"> Use the CMS’s menu management to build a clearer IA. For example, if “Support &amp; Community” is a new section, ensure that section page automatically lists or links to support-related content (groups, survey, events, etc.). All new pages should seamlessly integrate into navigation via configuration rather than code. Maintain human-readable URLs for SEO continuity.</w:t>
      </w:r>
    </w:p>
    <w:p w14:paraId="02FD53FA" w14:textId="77777777" w:rsidR="00A55982" w:rsidRPr="00A55982" w:rsidRDefault="00A55982" w:rsidP="00A55982">
      <w:pPr>
        <w:numPr>
          <w:ilvl w:val="0"/>
          <w:numId w:val="27"/>
        </w:numPr>
        <w:spacing w:before="0" w:after="160" w:line="278" w:lineRule="auto"/>
      </w:pPr>
      <w:r w:rsidRPr="00A55982">
        <w:rPr>
          <w:b/>
          <w:bCs/>
        </w:rPr>
        <w:t>Site-wide Search and Filtering:</w:t>
      </w:r>
      <w:r w:rsidRPr="00A55982">
        <w:t xml:space="preserve"> Integrate a robust search function in Phase 2 so users can </w:t>
      </w:r>
      <w:proofErr w:type="gramStart"/>
      <w:r w:rsidRPr="00A55982">
        <w:t>search</w:t>
      </w:r>
      <w:proofErr w:type="gramEnd"/>
      <w:r w:rsidRPr="00A55982">
        <w:t xml:space="preserve"> any keyword and get results from across all site content (articles, news posts, support resources, etc.). Also, enhance specific search tools like the clinic finder: since the data will now be in a database, add filters or free-text search for clinics (so users can search by city or doctor name, complementing the state filter).</w:t>
      </w:r>
    </w:p>
    <w:p w14:paraId="4B8B453B" w14:textId="77777777" w:rsidR="00A55982" w:rsidRPr="00A55982" w:rsidRDefault="00A55982" w:rsidP="00A55982">
      <w:pPr>
        <w:numPr>
          <w:ilvl w:val="0"/>
          <w:numId w:val="27"/>
        </w:numPr>
        <w:spacing w:before="0" w:after="160" w:line="278" w:lineRule="auto"/>
      </w:pPr>
      <w:r w:rsidRPr="00A55982">
        <w:rPr>
          <w:b/>
          <w:bCs/>
        </w:rPr>
        <w:t>Content Curation &amp; Automation:</w:t>
      </w:r>
      <w:r w:rsidRPr="00A55982">
        <w:t xml:space="preserve"> Leverage the DCMS features to dynamically surface content. For example, the homepage could show a “Latest News” teaser from the News content type automatically, instead of being hard-coded. Similarly, sidebars or footers can pull in things like “Upcoming Events” or “Featured Story” based on tags or dates. This makes the site look fresh without manual updates.</w:t>
      </w:r>
    </w:p>
    <w:p w14:paraId="38EBD71B" w14:textId="77777777" w:rsidR="00A55982" w:rsidRPr="00A55982" w:rsidRDefault="00A55982" w:rsidP="00A55982">
      <w:pPr>
        <w:numPr>
          <w:ilvl w:val="0"/>
          <w:numId w:val="27"/>
        </w:numPr>
        <w:spacing w:before="0" w:after="160" w:line="278" w:lineRule="auto"/>
      </w:pPr>
      <w:r w:rsidRPr="00A55982">
        <w:rPr>
          <w:b/>
          <w:bCs/>
        </w:rPr>
        <w:t>Ensure Performance &amp; Security:</w:t>
      </w:r>
      <w:r w:rsidRPr="00A55982">
        <w:t xml:space="preserve"> As a critical technical recommendation, configure caching, query optimization, and possibly a content delivery network (CDN) for static assets in the new system. Ensure the DCMS is secure (authentication, roles, and safe from common vulnerabilities) since it will handle potentially sensitive content (like user-submitted data for forms). Performance tuning will ensure Phase 2 doesn’t degrade user experience relative to the fast Phase 1 static site.</w:t>
      </w:r>
    </w:p>
    <w:p w14:paraId="4AA7FC27" w14:textId="77777777" w:rsidR="00A55982" w:rsidRPr="00A55982" w:rsidRDefault="00A55982" w:rsidP="00A55982">
      <w:pPr>
        <w:numPr>
          <w:ilvl w:val="0"/>
          <w:numId w:val="27"/>
        </w:numPr>
        <w:spacing w:before="0" w:after="160" w:line="278" w:lineRule="auto"/>
      </w:pPr>
      <w:r w:rsidRPr="00A55982">
        <w:rPr>
          <w:b/>
          <w:bCs/>
        </w:rPr>
        <w:t>Maintain SEO and Redirects:</w:t>
      </w:r>
      <w:r w:rsidRPr="00A55982">
        <w:t xml:space="preserve"> When transitioning, set up 301 redirects for any URL changes so external links and search indexing remain intact. For example, if “/news-and-events” changes to “/news”, have a redirect. Keep metadata (titles, descriptions) at least as optimized as currently. The DCMS should allow customizing these easily for each page.</w:t>
      </w:r>
    </w:p>
    <w:p w14:paraId="298139BD" w14:textId="77777777" w:rsidR="00A55982" w:rsidRPr="00A55982" w:rsidRDefault="00A55982" w:rsidP="00A55982">
      <w:pPr>
        <w:spacing w:after="160" w:line="278" w:lineRule="auto"/>
      </w:pPr>
      <w:r w:rsidRPr="00A55982">
        <w:rPr>
          <w:b/>
          <w:bCs/>
        </w:rPr>
        <w:t>3. Strategic Opportunities (future growth beyond Phase 2):</w:t>
      </w:r>
    </w:p>
    <w:p w14:paraId="5D90CBC5" w14:textId="77777777" w:rsidR="00A55982" w:rsidRPr="00A55982" w:rsidRDefault="00A55982" w:rsidP="00A55982">
      <w:pPr>
        <w:numPr>
          <w:ilvl w:val="0"/>
          <w:numId w:val="28"/>
        </w:numPr>
        <w:spacing w:before="0" w:after="160" w:line="278" w:lineRule="auto"/>
      </w:pPr>
      <w:r w:rsidRPr="00A55982">
        <w:rPr>
          <w:b/>
          <w:bCs/>
        </w:rPr>
        <w:t>Personalized User Experience:</w:t>
      </w:r>
      <w:r w:rsidRPr="00A55982">
        <w:t xml:space="preserve"> With content in a database, consider in the future enabling user accounts or preference-based content. This could mean users log in to save favorite articles or subscribe to specific content categories. It could also entail showing different homepage highlights to first-time visitors vs. returning members (for example, new visitors get a “What is PG?” highlight, while returnees see “Latest News”).</w:t>
      </w:r>
    </w:p>
    <w:p w14:paraId="16E622AE" w14:textId="77777777" w:rsidR="00A55982" w:rsidRPr="00A55982" w:rsidRDefault="00A55982" w:rsidP="00A55982">
      <w:pPr>
        <w:numPr>
          <w:ilvl w:val="0"/>
          <w:numId w:val="28"/>
        </w:numPr>
        <w:spacing w:before="0" w:after="160" w:line="278" w:lineRule="auto"/>
      </w:pPr>
      <w:r w:rsidRPr="00A55982">
        <w:rPr>
          <w:b/>
          <w:bCs/>
        </w:rPr>
        <w:t>Community Interaction Features:</w:t>
      </w:r>
      <w:r w:rsidRPr="00A55982">
        <w:t xml:space="preserve"> Explore adding community forums or comment systems once the site is on a robust platform. A moderated discussion board for patients and caregivers could </w:t>
      </w:r>
      <w:r w:rsidRPr="00A55982">
        <w:lastRenderedPageBreak/>
        <w:t xml:space="preserve">greatly increase engagement and fulfill the community </w:t>
      </w:r>
      <w:proofErr w:type="gramStart"/>
      <w:r w:rsidRPr="00A55982">
        <w:t>mission, but</w:t>
      </w:r>
      <w:proofErr w:type="gramEnd"/>
      <w:r w:rsidRPr="00A55982">
        <w:t xml:space="preserve"> would have been impossible on the static site. The DCMS could integrate with forum software or provide a commenting feature on blog posts so that users start interacting on the site itself (complementing external social media groups).</w:t>
      </w:r>
    </w:p>
    <w:p w14:paraId="15CD2616" w14:textId="77777777" w:rsidR="00A55982" w:rsidRPr="00A55982" w:rsidRDefault="00A55982" w:rsidP="00A55982">
      <w:pPr>
        <w:numPr>
          <w:ilvl w:val="0"/>
          <w:numId w:val="28"/>
        </w:numPr>
        <w:spacing w:before="0" w:after="160" w:line="278" w:lineRule="auto"/>
      </w:pPr>
      <w:r w:rsidRPr="00A55982">
        <w:rPr>
          <w:b/>
          <w:bCs/>
        </w:rPr>
        <w:t>Multi-language Support:</w:t>
      </w:r>
      <w:r w:rsidRPr="00A55982">
        <w:t xml:space="preserve"> Given the presence of a translation widget in Phase 1, there’s likely interest in reaching non-English speakers. In the future, the CMS could support multilingual content – allowing curators to provide professionally translated pages rather than relying solely on machine translation. This would increase global reach and accessibility of information. </w:t>
      </w:r>
      <w:hyperlink r:id="rId66" w:history="1">
        <w:r w:rsidRPr="00A55982">
          <w:rPr>
            <w:rStyle w:val="Hyperlink"/>
          </w:rPr>
          <w:t>[allthingspg.org]</w:t>
        </w:r>
      </w:hyperlink>
    </w:p>
    <w:p w14:paraId="7A3AC84B" w14:textId="77777777" w:rsidR="00A55982" w:rsidRPr="00A55982" w:rsidRDefault="00A55982" w:rsidP="00A55982">
      <w:pPr>
        <w:numPr>
          <w:ilvl w:val="0"/>
          <w:numId w:val="28"/>
        </w:numPr>
        <w:spacing w:before="0" w:after="160" w:line="278" w:lineRule="auto"/>
      </w:pPr>
      <w:r w:rsidRPr="00A55982">
        <w:rPr>
          <w:b/>
          <w:bCs/>
        </w:rPr>
        <w:t>Rich Media and E-Learning Content:</w:t>
      </w:r>
      <w:r w:rsidRPr="00A55982">
        <w:t xml:space="preserve"> The new platform can support more video content, webinars, or interactive learning tools (e.g., quizzes about PG management, interactive care guides) to deepen user engagement. Over time, building a library of multimedia resources will bolster All Things PG’s position as the go-to hub for PG information. The architecture should be flexible enough to embed videos, podcasts, or even interactive maps (like an improved clinic finder with geographical maps).</w:t>
      </w:r>
    </w:p>
    <w:p w14:paraId="3C22EF31" w14:textId="77777777" w:rsidR="00A55982" w:rsidRPr="00A55982" w:rsidRDefault="00A55982" w:rsidP="00A55982">
      <w:pPr>
        <w:numPr>
          <w:ilvl w:val="0"/>
          <w:numId w:val="28"/>
        </w:numPr>
        <w:spacing w:before="0" w:after="160" w:line="278" w:lineRule="auto"/>
      </w:pPr>
      <w:r w:rsidRPr="00A55982">
        <w:rPr>
          <w:b/>
          <w:bCs/>
        </w:rPr>
        <w:t>Data Analytics and Personalization:</w:t>
      </w:r>
      <w:r w:rsidRPr="00A55982">
        <w:t xml:space="preserve"> With </w:t>
      </w:r>
      <w:proofErr w:type="gramStart"/>
      <w:r w:rsidRPr="00A55982">
        <w:t>the DCMS</w:t>
      </w:r>
      <w:proofErr w:type="gramEnd"/>
      <w:r w:rsidRPr="00A55982">
        <w:t xml:space="preserve"> in place, gather analytics on what content is most viewed or where users drop off. This can inform continuous improvement. Down the road, integrating patient registry data (if applicable) or tailoring content suggestions based on user behavior could further enhance the site’s value. For example, if a user reads multiple articles on treatments, the site could suggest a news update on a new therapy trial.</w:t>
      </w:r>
    </w:p>
    <w:p w14:paraId="233EEDB7" w14:textId="77777777" w:rsidR="00A55982" w:rsidRPr="00A55982" w:rsidRDefault="00A55982" w:rsidP="00A55982">
      <w:pPr>
        <w:spacing w:after="160" w:line="278" w:lineRule="auto"/>
      </w:pPr>
      <w:r w:rsidRPr="00A55982">
        <w:pict w14:anchorId="06425363">
          <v:rect id="_x0000_i1031" style="width:0;height:1.5pt" o:hralign="center" o:hrstd="t" o:hr="t" fillcolor="#a0a0a0" stroked="f"/>
        </w:pict>
      </w:r>
    </w:p>
    <w:p w14:paraId="403240D3" w14:textId="77777777" w:rsidR="00A55982" w:rsidRPr="00A55982" w:rsidRDefault="00A55982" w:rsidP="00A55982">
      <w:pPr>
        <w:spacing w:after="160" w:line="278" w:lineRule="auto"/>
      </w:pPr>
      <w:r w:rsidRPr="00A55982">
        <w:rPr>
          <w:b/>
          <w:bCs/>
        </w:rPr>
        <w:t>Conclusion:</w:t>
      </w:r>
      <w:r w:rsidRPr="00A55982">
        <w:t xml:space="preserve"> All Things PG’s Phase 1 website successfully established an online community hub for PG, but it now faces clear challenges that limit its efficacy and growth. By embracing a Phase 2 rebuild with a robust DCMS, the organization will unlock significant improvements in UX, content management, and scalability. This audit highlights both the </w:t>
      </w:r>
      <w:r w:rsidRPr="00A55982">
        <w:rPr>
          <w:b/>
          <w:bCs/>
        </w:rPr>
        <w:t>urgent fixes</w:t>
      </w:r>
      <w:r w:rsidRPr="00A55982">
        <w:t xml:space="preserve"> and the </w:t>
      </w:r>
      <w:r w:rsidRPr="00A55982">
        <w:rPr>
          <w:b/>
          <w:bCs/>
        </w:rPr>
        <w:t>strategic enhancements</w:t>
      </w:r>
      <w:r w:rsidRPr="00A55982">
        <w:t xml:space="preserve"> needed to ensure the new platform not only addresses current weaknesses but also positions All Things PG for future success as a dynamic, user-friendly resource at the forefront of patient support in the PG community.</w:t>
      </w:r>
    </w:p>
    <w:p w14:paraId="436A9A0A" w14:textId="2B2A0659" w:rsidR="00A62608" w:rsidRPr="00A55982" w:rsidRDefault="00A62608" w:rsidP="00A55982"/>
    <w:sectPr w:rsidR="00A62608" w:rsidRPr="00A559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0E673166"/>
    <w:multiLevelType w:val="multilevel"/>
    <w:tmpl w:val="985CAE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875323"/>
    <w:multiLevelType w:val="multilevel"/>
    <w:tmpl w:val="60EA6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8E4229"/>
    <w:multiLevelType w:val="multilevel"/>
    <w:tmpl w:val="C97AF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9F63B7"/>
    <w:multiLevelType w:val="multilevel"/>
    <w:tmpl w:val="74EC0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081457"/>
    <w:multiLevelType w:val="multilevel"/>
    <w:tmpl w:val="0DA84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7" w15:restartNumberingAfterBreak="0">
    <w:nsid w:val="422E2A97"/>
    <w:multiLevelType w:val="multilevel"/>
    <w:tmpl w:val="32CAD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932005"/>
    <w:multiLevelType w:val="multilevel"/>
    <w:tmpl w:val="47E24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143B0E"/>
    <w:multiLevelType w:val="multilevel"/>
    <w:tmpl w:val="80A00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864A4D"/>
    <w:multiLevelType w:val="multilevel"/>
    <w:tmpl w:val="5B4CC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1B1F2D"/>
    <w:multiLevelType w:val="singleLevel"/>
    <w:tmpl w:val="0409000F"/>
    <w:lvl w:ilvl="0">
      <w:start w:val="1"/>
      <w:numFmt w:val="decimal"/>
      <w:lvlText w:val="%1."/>
      <w:lvlJc w:val="left"/>
      <w:pPr>
        <w:ind w:left="720" w:hanging="360"/>
      </w:pPr>
    </w:lvl>
  </w:abstractNum>
  <w:abstractNum w:abstractNumId="22" w15:restartNumberingAfterBreak="0">
    <w:nsid w:val="67742D5A"/>
    <w:multiLevelType w:val="multilevel"/>
    <w:tmpl w:val="27B46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A53894"/>
    <w:multiLevelType w:val="singleLevel"/>
    <w:tmpl w:val="0409000F"/>
    <w:lvl w:ilvl="0">
      <w:start w:val="1"/>
      <w:numFmt w:val="decimal"/>
      <w:lvlText w:val="%1."/>
      <w:lvlJc w:val="left"/>
      <w:pPr>
        <w:ind w:left="720" w:hanging="360"/>
      </w:pPr>
    </w:lvl>
  </w:abstractNum>
  <w:abstractNum w:abstractNumId="2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25" w15:restartNumberingAfterBreak="0">
    <w:nsid w:val="750936E6"/>
    <w:multiLevelType w:val="multilevel"/>
    <w:tmpl w:val="B650BF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217C94"/>
    <w:multiLevelType w:val="multilevel"/>
    <w:tmpl w:val="2D684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24"/>
  </w:num>
  <w:num w:numId="13" w16cid:durableId="2110588750">
    <w:abstractNumId w:val="23"/>
  </w:num>
  <w:num w:numId="14" w16cid:durableId="1730575300">
    <w:abstractNumId w:val="21"/>
  </w:num>
  <w:num w:numId="15" w16cid:durableId="2063938215">
    <w:abstractNumId w:val="27"/>
  </w:num>
  <w:num w:numId="16" w16cid:durableId="1416627709">
    <w:abstractNumId w:val="16"/>
  </w:num>
  <w:num w:numId="17" w16cid:durableId="1976638667">
    <w:abstractNumId w:val="14"/>
  </w:num>
  <w:num w:numId="18" w16cid:durableId="1166436833">
    <w:abstractNumId w:val="18"/>
  </w:num>
  <w:num w:numId="19" w16cid:durableId="445271644">
    <w:abstractNumId w:val="15"/>
  </w:num>
  <w:num w:numId="20" w16cid:durableId="1671323716">
    <w:abstractNumId w:val="22"/>
  </w:num>
  <w:num w:numId="21" w16cid:durableId="560793076">
    <w:abstractNumId w:val="20"/>
  </w:num>
  <w:num w:numId="22" w16cid:durableId="991450234">
    <w:abstractNumId w:val="12"/>
  </w:num>
  <w:num w:numId="23" w16cid:durableId="1783527491">
    <w:abstractNumId w:val="11"/>
  </w:num>
  <w:num w:numId="24" w16cid:durableId="236332635">
    <w:abstractNumId w:val="25"/>
  </w:num>
  <w:num w:numId="25" w16cid:durableId="93214608">
    <w:abstractNumId w:val="13"/>
  </w:num>
  <w:num w:numId="26" w16cid:durableId="1342581067">
    <w:abstractNumId w:val="26"/>
  </w:num>
  <w:num w:numId="27" w16cid:durableId="981618367">
    <w:abstractNumId w:val="19"/>
  </w:num>
  <w:num w:numId="28" w16cid:durableId="182400135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F40EA"/>
    <w:rsid w:val="002E51AB"/>
    <w:rsid w:val="00324B44"/>
    <w:rsid w:val="0036562D"/>
    <w:rsid w:val="004976E0"/>
    <w:rsid w:val="005A534A"/>
    <w:rsid w:val="006D77BA"/>
    <w:rsid w:val="006E44C2"/>
    <w:rsid w:val="00827C87"/>
    <w:rsid w:val="00A20880"/>
    <w:rsid w:val="00A352C8"/>
    <w:rsid w:val="00A55982"/>
    <w:rsid w:val="00A62608"/>
    <w:rsid w:val="00B41C2B"/>
    <w:rsid w:val="00C26D93"/>
    <w:rsid w:val="00C27141"/>
    <w:rsid w:val="00CA050C"/>
    <w:rsid w:val="00D32292"/>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1CC1E"/>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5982"/>
  </w:style>
  <w:style w:type="paragraph" w:styleId="Heading1">
    <w:name w:val="heading 1"/>
    <w:basedOn w:val="Normal"/>
    <w:next w:val="Normal"/>
    <w:link w:val="Heading1Char"/>
    <w:uiPriority w:val="9"/>
    <w:qFormat/>
    <w:rsid w:val="00A55982"/>
    <w:pPr>
      <w:pBdr>
        <w:top w:val="single" w:sz="24" w:space="0" w:color="E48312" w:themeColor="accent1"/>
        <w:left w:val="single" w:sz="24" w:space="0" w:color="E48312" w:themeColor="accent1"/>
        <w:bottom w:val="single" w:sz="24" w:space="0" w:color="E48312" w:themeColor="accent1"/>
        <w:right w:val="single" w:sz="24" w:space="0" w:color="E48312" w:themeColor="accent1"/>
      </w:pBdr>
      <w:shd w:val="clear" w:color="auto" w:fill="E4831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A55982"/>
    <w:pPr>
      <w:pBdr>
        <w:top w:val="single" w:sz="24" w:space="0" w:color="FBE6CD" w:themeColor="accent1" w:themeTint="33"/>
        <w:left w:val="single" w:sz="24" w:space="0" w:color="FBE6CD" w:themeColor="accent1" w:themeTint="33"/>
        <w:bottom w:val="single" w:sz="24" w:space="0" w:color="FBE6CD" w:themeColor="accent1" w:themeTint="33"/>
        <w:right w:val="single" w:sz="24" w:space="0" w:color="FBE6CD" w:themeColor="accent1" w:themeTint="33"/>
      </w:pBdr>
      <w:shd w:val="clear" w:color="auto" w:fill="FBE6CD"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A55982"/>
    <w:pPr>
      <w:pBdr>
        <w:top w:val="single" w:sz="6" w:space="2" w:color="E48312" w:themeColor="accent1"/>
      </w:pBdr>
      <w:spacing w:before="300" w:after="0"/>
      <w:outlineLvl w:val="2"/>
    </w:pPr>
    <w:rPr>
      <w:caps/>
      <w:color w:val="714109" w:themeColor="accent1" w:themeShade="7F"/>
      <w:spacing w:val="15"/>
    </w:rPr>
  </w:style>
  <w:style w:type="paragraph" w:styleId="Heading4">
    <w:name w:val="heading 4"/>
    <w:basedOn w:val="Normal"/>
    <w:next w:val="Normal"/>
    <w:link w:val="Heading4Char"/>
    <w:uiPriority w:val="9"/>
    <w:unhideWhenUsed/>
    <w:qFormat/>
    <w:rsid w:val="00A55982"/>
    <w:pPr>
      <w:pBdr>
        <w:top w:val="dotted" w:sz="6" w:space="2" w:color="E48312" w:themeColor="accent1"/>
      </w:pBdr>
      <w:spacing w:before="200" w:after="0"/>
      <w:outlineLvl w:val="3"/>
    </w:pPr>
    <w:rPr>
      <w:caps/>
      <w:color w:val="AA610D" w:themeColor="accent1" w:themeShade="BF"/>
      <w:spacing w:val="10"/>
    </w:rPr>
  </w:style>
  <w:style w:type="paragraph" w:styleId="Heading5">
    <w:name w:val="heading 5"/>
    <w:basedOn w:val="Normal"/>
    <w:next w:val="Normal"/>
    <w:link w:val="Heading5Char"/>
    <w:uiPriority w:val="9"/>
    <w:unhideWhenUsed/>
    <w:qFormat/>
    <w:rsid w:val="00A55982"/>
    <w:pPr>
      <w:pBdr>
        <w:bottom w:val="single" w:sz="6" w:space="1" w:color="E48312" w:themeColor="accent1"/>
      </w:pBdr>
      <w:spacing w:before="200" w:after="0"/>
      <w:outlineLvl w:val="4"/>
    </w:pPr>
    <w:rPr>
      <w:caps/>
      <w:color w:val="AA610D" w:themeColor="accent1" w:themeShade="BF"/>
      <w:spacing w:val="10"/>
    </w:rPr>
  </w:style>
  <w:style w:type="paragraph" w:styleId="Heading6">
    <w:name w:val="heading 6"/>
    <w:basedOn w:val="Normal"/>
    <w:next w:val="Normal"/>
    <w:link w:val="Heading6Char"/>
    <w:uiPriority w:val="9"/>
    <w:unhideWhenUsed/>
    <w:qFormat/>
    <w:rsid w:val="00A55982"/>
    <w:pPr>
      <w:pBdr>
        <w:bottom w:val="dotted" w:sz="6" w:space="1" w:color="E48312" w:themeColor="accent1"/>
      </w:pBdr>
      <w:spacing w:before="200" w:after="0"/>
      <w:outlineLvl w:val="5"/>
    </w:pPr>
    <w:rPr>
      <w:caps/>
      <w:color w:val="AA610D" w:themeColor="accent1" w:themeShade="BF"/>
      <w:spacing w:val="10"/>
    </w:rPr>
  </w:style>
  <w:style w:type="paragraph" w:styleId="Heading7">
    <w:name w:val="heading 7"/>
    <w:basedOn w:val="Normal"/>
    <w:next w:val="Normal"/>
    <w:link w:val="Heading7Char"/>
    <w:uiPriority w:val="9"/>
    <w:unhideWhenUsed/>
    <w:qFormat/>
    <w:rsid w:val="00A55982"/>
    <w:pPr>
      <w:spacing w:before="200" w:after="0"/>
      <w:outlineLvl w:val="6"/>
    </w:pPr>
    <w:rPr>
      <w:caps/>
      <w:color w:val="AA610D" w:themeColor="accent1" w:themeShade="BF"/>
      <w:spacing w:val="10"/>
    </w:rPr>
  </w:style>
  <w:style w:type="paragraph" w:styleId="Heading8">
    <w:name w:val="heading 8"/>
    <w:basedOn w:val="Normal"/>
    <w:next w:val="Normal"/>
    <w:link w:val="Heading8Char"/>
    <w:uiPriority w:val="9"/>
    <w:unhideWhenUsed/>
    <w:qFormat/>
    <w:rsid w:val="00A55982"/>
    <w:pPr>
      <w:spacing w:before="200" w:after="0"/>
      <w:outlineLvl w:val="7"/>
    </w:pPr>
    <w:rPr>
      <w:caps/>
      <w:spacing w:val="10"/>
      <w:sz w:val="18"/>
      <w:szCs w:val="18"/>
    </w:rPr>
  </w:style>
  <w:style w:type="paragraph" w:styleId="Heading9">
    <w:name w:val="heading 9"/>
    <w:basedOn w:val="Normal"/>
    <w:next w:val="Normal"/>
    <w:link w:val="Heading9Char"/>
    <w:uiPriority w:val="9"/>
    <w:unhideWhenUsed/>
    <w:qFormat/>
    <w:rsid w:val="00A55982"/>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5982"/>
    <w:rPr>
      <w:caps/>
      <w:color w:val="FFFFFF" w:themeColor="background1"/>
      <w:spacing w:val="15"/>
      <w:sz w:val="22"/>
      <w:szCs w:val="22"/>
      <w:shd w:val="clear" w:color="auto" w:fill="E48312" w:themeFill="accent1"/>
    </w:rPr>
  </w:style>
  <w:style w:type="character" w:customStyle="1" w:styleId="Heading2Char">
    <w:name w:val="Heading 2 Char"/>
    <w:basedOn w:val="DefaultParagraphFont"/>
    <w:link w:val="Heading2"/>
    <w:uiPriority w:val="9"/>
    <w:rsid w:val="00A55982"/>
    <w:rPr>
      <w:caps/>
      <w:spacing w:val="15"/>
      <w:shd w:val="clear" w:color="auto" w:fill="FBE6CD" w:themeFill="accent1" w:themeFillTint="33"/>
    </w:rPr>
  </w:style>
  <w:style w:type="character" w:customStyle="1" w:styleId="Heading3Char">
    <w:name w:val="Heading 3 Char"/>
    <w:basedOn w:val="DefaultParagraphFont"/>
    <w:link w:val="Heading3"/>
    <w:uiPriority w:val="9"/>
    <w:rsid w:val="00A55982"/>
    <w:rPr>
      <w:caps/>
      <w:color w:val="714109" w:themeColor="accent1" w:themeShade="7F"/>
      <w:spacing w:val="15"/>
    </w:rPr>
  </w:style>
  <w:style w:type="character" w:customStyle="1" w:styleId="Heading4Char">
    <w:name w:val="Heading 4 Char"/>
    <w:basedOn w:val="DefaultParagraphFont"/>
    <w:link w:val="Heading4"/>
    <w:uiPriority w:val="9"/>
    <w:rsid w:val="00A55982"/>
    <w:rPr>
      <w:caps/>
      <w:color w:val="AA610D" w:themeColor="accent1" w:themeShade="BF"/>
      <w:spacing w:val="10"/>
    </w:rPr>
  </w:style>
  <w:style w:type="character" w:customStyle="1" w:styleId="Heading5Char">
    <w:name w:val="Heading 5 Char"/>
    <w:basedOn w:val="DefaultParagraphFont"/>
    <w:link w:val="Heading5"/>
    <w:uiPriority w:val="9"/>
    <w:rsid w:val="00A55982"/>
    <w:rPr>
      <w:caps/>
      <w:color w:val="AA610D" w:themeColor="accent1" w:themeShade="BF"/>
      <w:spacing w:val="10"/>
    </w:rPr>
  </w:style>
  <w:style w:type="character" w:customStyle="1" w:styleId="Heading6Char">
    <w:name w:val="Heading 6 Char"/>
    <w:basedOn w:val="DefaultParagraphFont"/>
    <w:link w:val="Heading6"/>
    <w:uiPriority w:val="9"/>
    <w:rsid w:val="00A55982"/>
    <w:rPr>
      <w:caps/>
      <w:color w:val="AA610D" w:themeColor="accent1" w:themeShade="BF"/>
      <w:spacing w:val="10"/>
    </w:rPr>
  </w:style>
  <w:style w:type="character" w:customStyle="1" w:styleId="Heading7Char">
    <w:name w:val="Heading 7 Char"/>
    <w:basedOn w:val="DefaultParagraphFont"/>
    <w:link w:val="Heading7"/>
    <w:uiPriority w:val="9"/>
    <w:rsid w:val="00A55982"/>
    <w:rPr>
      <w:caps/>
      <w:color w:val="AA610D" w:themeColor="accent1" w:themeShade="BF"/>
      <w:spacing w:val="10"/>
    </w:rPr>
  </w:style>
  <w:style w:type="character" w:customStyle="1" w:styleId="Heading8Char">
    <w:name w:val="Heading 8 Char"/>
    <w:basedOn w:val="DefaultParagraphFont"/>
    <w:link w:val="Heading8"/>
    <w:uiPriority w:val="9"/>
    <w:rsid w:val="00A55982"/>
    <w:rPr>
      <w:caps/>
      <w:spacing w:val="10"/>
      <w:sz w:val="18"/>
      <w:szCs w:val="18"/>
    </w:rPr>
  </w:style>
  <w:style w:type="character" w:customStyle="1" w:styleId="Heading9Char">
    <w:name w:val="Heading 9 Char"/>
    <w:basedOn w:val="DefaultParagraphFont"/>
    <w:link w:val="Heading9"/>
    <w:uiPriority w:val="9"/>
    <w:rsid w:val="00A55982"/>
    <w:rPr>
      <w:i/>
      <w:iCs/>
      <w:caps/>
      <w:spacing w:val="10"/>
      <w:sz w:val="18"/>
      <w:szCs w:val="18"/>
    </w:rPr>
  </w:style>
  <w:style w:type="paragraph" w:styleId="Title">
    <w:name w:val="Title"/>
    <w:basedOn w:val="Normal"/>
    <w:next w:val="Normal"/>
    <w:link w:val="TitleChar"/>
    <w:uiPriority w:val="10"/>
    <w:qFormat/>
    <w:rsid w:val="00A55982"/>
    <w:pPr>
      <w:spacing w:before="0" w:after="0"/>
    </w:pPr>
    <w:rPr>
      <w:rFonts w:asciiTheme="majorHAnsi" w:eastAsiaTheme="majorEastAsia" w:hAnsiTheme="majorHAnsi" w:cstheme="majorBidi"/>
      <w:caps/>
      <w:color w:val="E48312" w:themeColor="accent1"/>
      <w:spacing w:val="10"/>
      <w:sz w:val="52"/>
      <w:szCs w:val="52"/>
    </w:rPr>
  </w:style>
  <w:style w:type="character" w:customStyle="1" w:styleId="TitleChar">
    <w:name w:val="Title Char"/>
    <w:basedOn w:val="DefaultParagraphFont"/>
    <w:link w:val="Title"/>
    <w:uiPriority w:val="10"/>
    <w:rsid w:val="00A55982"/>
    <w:rPr>
      <w:rFonts w:asciiTheme="majorHAnsi" w:eastAsiaTheme="majorEastAsia" w:hAnsiTheme="majorHAnsi" w:cstheme="majorBidi"/>
      <w:caps/>
      <w:color w:val="E48312" w:themeColor="accent1"/>
      <w:spacing w:val="10"/>
      <w:sz w:val="52"/>
      <w:szCs w:val="52"/>
    </w:rPr>
  </w:style>
  <w:style w:type="paragraph" w:styleId="Subtitle">
    <w:name w:val="Subtitle"/>
    <w:basedOn w:val="Normal"/>
    <w:next w:val="Normal"/>
    <w:link w:val="SubtitleChar"/>
    <w:uiPriority w:val="11"/>
    <w:qFormat/>
    <w:rsid w:val="00A55982"/>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A55982"/>
    <w:rPr>
      <w:caps/>
      <w:color w:val="595959" w:themeColor="text1" w:themeTint="A6"/>
      <w:spacing w:val="10"/>
      <w:sz w:val="21"/>
      <w:szCs w:val="21"/>
    </w:rPr>
  </w:style>
  <w:style w:type="paragraph" w:styleId="Quote">
    <w:name w:val="Quote"/>
    <w:basedOn w:val="Normal"/>
    <w:next w:val="Normal"/>
    <w:link w:val="QuoteChar"/>
    <w:uiPriority w:val="29"/>
    <w:qFormat/>
    <w:rsid w:val="00A55982"/>
    <w:rPr>
      <w:i/>
      <w:iCs/>
      <w:sz w:val="24"/>
      <w:szCs w:val="24"/>
    </w:rPr>
  </w:style>
  <w:style w:type="character" w:customStyle="1" w:styleId="QuoteChar">
    <w:name w:val="Quote Char"/>
    <w:basedOn w:val="DefaultParagraphFont"/>
    <w:link w:val="Quote"/>
    <w:uiPriority w:val="29"/>
    <w:rsid w:val="00A55982"/>
    <w:rPr>
      <w:i/>
      <w:iCs/>
      <w:sz w:val="24"/>
      <w:szCs w:val="24"/>
    </w:rPr>
  </w:style>
  <w:style w:type="paragraph" w:styleId="ListParagraph">
    <w:name w:val="List Paragraph"/>
    <w:basedOn w:val="Normal"/>
    <w:uiPriority w:val="34"/>
    <w:qFormat/>
    <w:rsid w:val="00827C87"/>
    <w:pPr>
      <w:ind w:left="720"/>
      <w:contextualSpacing/>
    </w:pPr>
  </w:style>
  <w:style w:type="character" w:styleId="IntenseEmphasis">
    <w:name w:val="Intense Emphasis"/>
    <w:uiPriority w:val="21"/>
    <w:qFormat/>
    <w:rsid w:val="00A55982"/>
    <w:rPr>
      <w:b/>
      <w:bCs/>
      <w:caps/>
      <w:color w:val="714109" w:themeColor="accent1" w:themeShade="7F"/>
      <w:spacing w:val="10"/>
    </w:rPr>
  </w:style>
  <w:style w:type="paragraph" w:styleId="IntenseQuote">
    <w:name w:val="Intense Quote"/>
    <w:basedOn w:val="Normal"/>
    <w:next w:val="Normal"/>
    <w:link w:val="IntenseQuoteChar"/>
    <w:uiPriority w:val="30"/>
    <w:qFormat/>
    <w:rsid w:val="00A55982"/>
    <w:pPr>
      <w:spacing w:before="240" w:after="240" w:line="240" w:lineRule="auto"/>
      <w:ind w:left="1080" w:right="1080"/>
      <w:jc w:val="center"/>
    </w:pPr>
    <w:rPr>
      <w:color w:val="E48312" w:themeColor="accent1"/>
      <w:sz w:val="24"/>
      <w:szCs w:val="24"/>
    </w:rPr>
  </w:style>
  <w:style w:type="character" w:customStyle="1" w:styleId="IntenseQuoteChar">
    <w:name w:val="Intense Quote Char"/>
    <w:basedOn w:val="DefaultParagraphFont"/>
    <w:link w:val="IntenseQuote"/>
    <w:uiPriority w:val="30"/>
    <w:rsid w:val="00A55982"/>
    <w:rPr>
      <w:color w:val="E48312" w:themeColor="accent1"/>
      <w:sz w:val="24"/>
      <w:szCs w:val="24"/>
    </w:rPr>
  </w:style>
  <w:style w:type="character" w:styleId="IntenseReference">
    <w:name w:val="Intense Reference"/>
    <w:uiPriority w:val="32"/>
    <w:qFormat/>
    <w:rsid w:val="00A55982"/>
    <w:rPr>
      <w:b/>
      <w:bCs/>
      <w:i/>
      <w:iCs/>
      <w:caps/>
      <w:color w:val="E48312" w:themeColor="accent1"/>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E48312" w:themeColor="accent1"/>
        <w:left w:val="single" w:sz="2" w:space="10" w:color="E48312" w:themeColor="accent1"/>
        <w:bottom w:val="single" w:sz="2" w:space="10" w:color="E48312" w:themeColor="accent1"/>
        <w:right w:val="single" w:sz="2" w:space="10" w:color="E48312" w:themeColor="accent1"/>
      </w:pBdr>
      <w:ind w:left="1152" w:right="1152"/>
    </w:pPr>
    <w:rPr>
      <w:i/>
      <w:iCs/>
      <w:color w:val="E4831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A55982"/>
    <w:rPr>
      <w:b/>
      <w:bCs/>
      <w:color w:val="AA610D" w:themeColor="accent1" w:themeShade="BF"/>
      <w:sz w:val="16"/>
      <w:szCs w:val="16"/>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A55982"/>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A55982"/>
    <w:pPr>
      <w:outlineLvl w:val="9"/>
    </w:p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6CD" w:themeFill="accent1" w:themeFillTint="33"/>
    </w:tcPr>
    <w:tblStylePr w:type="firstRow">
      <w:rPr>
        <w:b/>
        <w:bCs/>
      </w:rPr>
      <w:tblPr/>
      <w:tcPr>
        <w:shd w:val="clear" w:color="auto" w:fill="F7CD9D" w:themeFill="accent1" w:themeFillTint="66"/>
      </w:tcPr>
    </w:tblStylePr>
    <w:tblStylePr w:type="lastRow">
      <w:rPr>
        <w:b/>
        <w:bCs/>
        <w:color w:val="000000" w:themeColor="text1"/>
      </w:rPr>
      <w:tblPr/>
      <w:tcPr>
        <w:shd w:val="clear" w:color="auto" w:fill="F7CD9D" w:themeFill="accent1" w:themeFillTint="66"/>
      </w:tcPr>
    </w:tblStylePr>
    <w:tblStylePr w:type="firstCol">
      <w:rPr>
        <w:color w:val="FFFFFF" w:themeColor="background1"/>
      </w:rPr>
      <w:tblPr/>
      <w:tcPr>
        <w:shd w:val="clear" w:color="auto" w:fill="AA610D" w:themeFill="accent1" w:themeFillShade="BF"/>
      </w:tcPr>
    </w:tblStylePr>
    <w:tblStylePr w:type="lastCol">
      <w:rPr>
        <w:color w:val="FFFFFF" w:themeColor="background1"/>
      </w:rPr>
      <w:tblPr/>
      <w:tcPr>
        <w:shd w:val="clear" w:color="auto" w:fill="AA610D" w:themeFill="accent1" w:themeFillShade="BF"/>
      </w:tcPr>
    </w:tblStylePr>
    <w:tblStylePr w:type="band1Vert">
      <w:tblPr/>
      <w:tcPr>
        <w:shd w:val="clear" w:color="auto" w:fill="F5C184" w:themeFill="accent1" w:themeFillTint="7F"/>
      </w:tcPr>
    </w:tblStylePr>
    <w:tblStylePr w:type="band1Horz">
      <w:tblPr/>
      <w:tcPr>
        <w:shd w:val="clear" w:color="auto" w:fill="F5C184"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4DCD1" w:themeFill="accent2" w:themeFillTint="33"/>
    </w:tcPr>
    <w:tblStylePr w:type="firstRow">
      <w:rPr>
        <w:b/>
        <w:bCs/>
      </w:rPr>
      <w:tblPr/>
      <w:tcPr>
        <w:shd w:val="clear" w:color="auto" w:fill="EAB9A4" w:themeFill="accent2" w:themeFillTint="66"/>
      </w:tcPr>
    </w:tblStylePr>
    <w:tblStylePr w:type="lastRow">
      <w:rPr>
        <w:b/>
        <w:bCs/>
        <w:color w:val="000000" w:themeColor="text1"/>
      </w:rPr>
      <w:tblPr/>
      <w:tcPr>
        <w:shd w:val="clear" w:color="auto" w:fill="EAB9A4" w:themeFill="accent2" w:themeFillTint="66"/>
      </w:tcPr>
    </w:tblStylePr>
    <w:tblStylePr w:type="firstCol">
      <w:rPr>
        <w:color w:val="FFFFFF" w:themeColor="background1"/>
      </w:rPr>
      <w:tblPr/>
      <w:tcPr>
        <w:shd w:val="clear" w:color="auto" w:fill="8D4121" w:themeFill="accent2" w:themeFillShade="BF"/>
      </w:tcPr>
    </w:tblStylePr>
    <w:tblStylePr w:type="lastCol">
      <w:rPr>
        <w:color w:val="FFFFFF" w:themeColor="background1"/>
      </w:rPr>
      <w:tblPr/>
      <w:tcPr>
        <w:shd w:val="clear" w:color="auto" w:fill="8D4121" w:themeFill="accent2" w:themeFillShade="BF"/>
      </w:tcPr>
    </w:tblStylePr>
    <w:tblStylePr w:type="band1Vert">
      <w:tblPr/>
      <w:tcPr>
        <w:shd w:val="clear" w:color="auto" w:fill="E5A88F" w:themeFill="accent2" w:themeFillTint="7F"/>
      </w:tcPr>
    </w:tblStylePr>
    <w:tblStylePr w:type="band1Horz">
      <w:tblPr/>
      <w:tcPr>
        <w:shd w:val="clear" w:color="auto" w:fill="E5A88F"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DBD4" w:themeFill="accent3" w:themeFillTint="33"/>
    </w:tcPr>
    <w:tblStylePr w:type="firstRow">
      <w:rPr>
        <w:b/>
        <w:bCs/>
      </w:rPr>
      <w:tblPr/>
      <w:tcPr>
        <w:shd w:val="clear" w:color="auto" w:fill="D6B8AA" w:themeFill="accent3" w:themeFillTint="66"/>
      </w:tcPr>
    </w:tblStylePr>
    <w:tblStylePr w:type="lastRow">
      <w:rPr>
        <w:b/>
        <w:bCs/>
        <w:color w:val="000000" w:themeColor="text1"/>
      </w:rPr>
      <w:tblPr/>
      <w:tcPr>
        <w:shd w:val="clear" w:color="auto" w:fill="D6B8AA" w:themeFill="accent3" w:themeFillTint="66"/>
      </w:tcPr>
    </w:tblStylePr>
    <w:tblStylePr w:type="firstCol">
      <w:rPr>
        <w:color w:val="FFFFFF" w:themeColor="background1"/>
      </w:rPr>
      <w:tblPr/>
      <w:tcPr>
        <w:shd w:val="clear" w:color="auto" w:fill="644030" w:themeFill="accent3" w:themeFillShade="BF"/>
      </w:tcPr>
    </w:tblStylePr>
    <w:tblStylePr w:type="lastCol">
      <w:rPr>
        <w:color w:val="FFFFFF" w:themeColor="background1"/>
      </w:rPr>
      <w:tblPr/>
      <w:tcPr>
        <w:shd w:val="clear" w:color="auto" w:fill="644030" w:themeFill="accent3" w:themeFillShade="BF"/>
      </w:tcPr>
    </w:tblStylePr>
    <w:tblStylePr w:type="band1Vert">
      <w:tblPr/>
      <w:tcPr>
        <w:shd w:val="clear" w:color="auto" w:fill="CCA695" w:themeFill="accent3" w:themeFillTint="7F"/>
      </w:tcPr>
    </w:tblStylePr>
    <w:tblStylePr w:type="band1Horz">
      <w:tblPr/>
      <w:tcPr>
        <w:shd w:val="clear" w:color="auto" w:fill="CCA69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BE6DC" w:themeFill="accent4" w:themeFillTint="33"/>
    </w:tcPr>
    <w:tblStylePr w:type="firstRow">
      <w:rPr>
        <w:b/>
        <w:bCs/>
      </w:rPr>
      <w:tblPr/>
      <w:tcPr>
        <w:shd w:val="clear" w:color="auto" w:fill="D8CDBA" w:themeFill="accent4" w:themeFillTint="66"/>
      </w:tcPr>
    </w:tblStylePr>
    <w:tblStylePr w:type="lastRow">
      <w:rPr>
        <w:b/>
        <w:bCs/>
        <w:color w:val="000000" w:themeColor="text1"/>
      </w:rPr>
      <w:tblPr/>
      <w:tcPr>
        <w:shd w:val="clear" w:color="auto" w:fill="D8CDBA" w:themeFill="accent4" w:themeFillTint="66"/>
      </w:tcPr>
    </w:tblStylePr>
    <w:tblStylePr w:type="firstCol">
      <w:rPr>
        <w:color w:val="FFFFFF" w:themeColor="background1"/>
      </w:rPr>
      <w:tblPr/>
      <w:tcPr>
        <w:shd w:val="clear" w:color="auto" w:fill="736141" w:themeFill="accent4" w:themeFillShade="BF"/>
      </w:tcPr>
    </w:tblStylePr>
    <w:tblStylePr w:type="lastCol">
      <w:rPr>
        <w:color w:val="FFFFFF" w:themeColor="background1"/>
      </w:rPr>
      <w:tblPr/>
      <w:tcPr>
        <w:shd w:val="clear" w:color="auto" w:fill="736141" w:themeFill="accent4" w:themeFillShade="BF"/>
      </w:tcPr>
    </w:tblStylePr>
    <w:tblStylePr w:type="band1Vert">
      <w:tblPr/>
      <w:tcPr>
        <w:shd w:val="clear" w:color="auto" w:fill="CFC1A9" w:themeFill="accent4" w:themeFillTint="7F"/>
      </w:tcPr>
    </w:tblStylePr>
    <w:tblStylePr w:type="band1Horz">
      <w:tblPr/>
      <w:tcPr>
        <w:shd w:val="clear" w:color="auto" w:fill="CFC1A9"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F1E5" w:themeFill="accent5" w:themeFillTint="33"/>
    </w:tcPr>
    <w:tblStylePr w:type="firstRow">
      <w:rPr>
        <w:b/>
        <w:bCs/>
      </w:rPr>
      <w:tblPr/>
      <w:tcPr>
        <w:shd w:val="clear" w:color="auto" w:fill="E6E4CC" w:themeFill="accent5" w:themeFillTint="66"/>
      </w:tcPr>
    </w:tblStylePr>
    <w:tblStylePr w:type="lastRow">
      <w:rPr>
        <w:b/>
        <w:bCs/>
        <w:color w:val="000000" w:themeColor="text1"/>
      </w:rPr>
      <w:tblPr/>
      <w:tcPr>
        <w:shd w:val="clear" w:color="auto" w:fill="E6E4CC" w:themeFill="accent5" w:themeFillTint="66"/>
      </w:tcPr>
    </w:tblStylePr>
    <w:tblStylePr w:type="firstCol">
      <w:rPr>
        <w:color w:val="FFFFFF" w:themeColor="background1"/>
      </w:rPr>
      <w:tblPr/>
      <w:tcPr>
        <w:shd w:val="clear" w:color="auto" w:fill="A29A4E" w:themeFill="accent5" w:themeFillShade="BF"/>
      </w:tcPr>
    </w:tblStylePr>
    <w:tblStylePr w:type="lastCol">
      <w:rPr>
        <w:color w:val="FFFFFF" w:themeColor="background1"/>
      </w:rPr>
      <w:tblPr/>
      <w:tcPr>
        <w:shd w:val="clear" w:color="auto" w:fill="A29A4E" w:themeFill="accent5" w:themeFillShade="BF"/>
      </w:tcPr>
    </w:tblStylePr>
    <w:tblStylePr w:type="band1Vert">
      <w:tblPr/>
      <w:tcPr>
        <w:shd w:val="clear" w:color="auto" w:fill="E0DDBF" w:themeFill="accent5" w:themeFillTint="7F"/>
      </w:tcPr>
    </w:tblStylePr>
    <w:tblStylePr w:type="band1Horz">
      <w:tblPr/>
      <w:tcPr>
        <w:shd w:val="clear" w:color="auto" w:fill="E0DDBF"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9ECE7" w:themeFill="accent6" w:themeFillTint="33"/>
    </w:tcPr>
    <w:tblStylePr w:type="firstRow">
      <w:rPr>
        <w:b/>
        <w:bCs/>
      </w:rPr>
      <w:tblPr/>
      <w:tcPr>
        <w:shd w:val="clear" w:color="auto" w:fill="D4D9CF" w:themeFill="accent6" w:themeFillTint="66"/>
      </w:tcPr>
    </w:tblStylePr>
    <w:tblStylePr w:type="lastRow">
      <w:rPr>
        <w:b/>
        <w:bCs/>
        <w:color w:val="000000" w:themeColor="text1"/>
      </w:rPr>
      <w:tblPr/>
      <w:tcPr>
        <w:shd w:val="clear" w:color="auto" w:fill="D4D9CF" w:themeFill="accent6" w:themeFillTint="66"/>
      </w:tcPr>
    </w:tblStylePr>
    <w:tblStylePr w:type="firstCol">
      <w:rPr>
        <w:color w:val="FFFFFF" w:themeColor="background1"/>
      </w:rPr>
      <w:tblPr/>
      <w:tcPr>
        <w:shd w:val="clear" w:color="auto" w:fill="6E7B62" w:themeFill="accent6" w:themeFillShade="BF"/>
      </w:tcPr>
    </w:tblStylePr>
    <w:tblStylePr w:type="lastCol">
      <w:rPr>
        <w:color w:val="FFFFFF" w:themeColor="background1"/>
      </w:rPr>
      <w:tblPr/>
      <w:tcPr>
        <w:shd w:val="clear" w:color="auto" w:fill="6E7B62" w:themeFill="accent6" w:themeFillShade="BF"/>
      </w:tcPr>
    </w:tblStylePr>
    <w:tblStylePr w:type="band1Vert">
      <w:tblPr/>
      <w:tcPr>
        <w:shd w:val="clear" w:color="auto" w:fill="C9CFC3" w:themeFill="accent6" w:themeFillTint="7F"/>
      </w:tcPr>
    </w:tblStylePr>
    <w:tblStylePr w:type="band1Horz">
      <w:tblPr/>
      <w:tcPr>
        <w:shd w:val="clear" w:color="auto" w:fill="C9CFC3"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74623" w:themeFill="accent2" w:themeFillShade="CC"/>
      </w:tcPr>
    </w:tblStylePr>
    <w:tblStylePr w:type="lastRow">
      <w:rPr>
        <w:b/>
        <w:bCs/>
        <w:color w:val="97462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DF2E6" w:themeFill="accent1" w:themeFillTint="19"/>
    </w:tcPr>
    <w:tblStylePr w:type="firstRow">
      <w:rPr>
        <w:b/>
        <w:bCs/>
        <w:color w:val="FFFFFF" w:themeColor="background1"/>
      </w:rPr>
      <w:tblPr/>
      <w:tcPr>
        <w:tcBorders>
          <w:bottom w:val="single" w:sz="12" w:space="0" w:color="FFFFFF" w:themeColor="background1"/>
        </w:tcBorders>
        <w:shd w:val="clear" w:color="auto" w:fill="974623" w:themeFill="accent2" w:themeFillShade="CC"/>
      </w:tcPr>
    </w:tblStylePr>
    <w:tblStylePr w:type="lastRow">
      <w:rPr>
        <w:b/>
        <w:bCs/>
        <w:color w:val="97462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E0C2" w:themeFill="accent1" w:themeFillTint="3F"/>
      </w:tcPr>
    </w:tblStylePr>
    <w:tblStylePr w:type="band1Horz">
      <w:tblPr/>
      <w:tcPr>
        <w:shd w:val="clear" w:color="auto" w:fill="FBE6CD"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AEDE8" w:themeFill="accent2" w:themeFillTint="19"/>
    </w:tcPr>
    <w:tblStylePr w:type="firstRow">
      <w:rPr>
        <w:b/>
        <w:bCs/>
        <w:color w:val="FFFFFF" w:themeColor="background1"/>
      </w:rPr>
      <w:tblPr/>
      <w:tcPr>
        <w:tcBorders>
          <w:bottom w:val="single" w:sz="12" w:space="0" w:color="FFFFFF" w:themeColor="background1"/>
        </w:tcBorders>
        <w:shd w:val="clear" w:color="auto" w:fill="974623" w:themeFill="accent2" w:themeFillShade="CC"/>
      </w:tcPr>
    </w:tblStylePr>
    <w:tblStylePr w:type="lastRow">
      <w:rPr>
        <w:b/>
        <w:bCs/>
        <w:color w:val="97462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D4C7" w:themeFill="accent2" w:themeFillTint="3F"/>
      </w:tcPr>
    </w:tblStylePr>
    <w:tblStylePr w:type="band1Horz">
      <w:tblPr/>
      <w:tcPr>
        <w:shd w:val="clear" w:color="auto" w:fill="F4DCD1"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5EDEA" w:themeFill="accent3" w:themeFillTint="19"/>
    </w:tcPr>
    <w:tblStylePr w:type="firstRow">
      <w:rPr>
        <w:b/>
        <w:bCs/>
        <w:color w:val="FFFFFF" w:themeColor="background1"/>
      </w:rPr>
      <w:tblPr/>
      <w:tcPr>
        <w:tcBorders>
          <w:bottom w:val="single" w:sz="12" w:space="0" w:color="FFFFFF" w:themeColor="background1"/>
        </w:tcBorders>
        <w:shd w:val="clear" w:color="auto" w:fill="7B6845" w:themeFill="accent4" w:themeFillShade="CC"/>
      </w:tcPr>
    </w:tblStylePr>
    <w:tblStylePr w:type="lastRow">
      <w:rPr>
        <w:b/>
        <w:bCs/>
        <w:color w:val="7B6845"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D3CA" w:themeFill="accent3" w:themeFillTint="3F"/>
      </w:tcPr>
    </w:tblStylePr>
    <w:tblStylePr w:type="band1Horz">
      <w:tblPr/>
      <w:tcPr>
        <w:shd w:val="clear" w:color="auto" w:fill="EADBD4"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5F2EE" w:themeFill="accent4" w:themeFillTint="19"/>
    </w:tcPr>
    <w:tblStylePr w:type="firstRow">
      <w:rPr>
        <w:b/>
        <w:bCs/>
        <w:color w:val="FFFFFF" w:themeColor="background1"/>
      </w:rPr>
      <w:tblPr/>
      <w:tcPr>
        <w:tcBorders>
          <w:bottom w:val="single" w:sz="12" w:space="0" w:color="FFFFFF" w:themeColor="background1"/>
        </w:tcBorders>
        <w:shd w:val="clear" w:color="auto" w:fill="6B4433" w:themeFill="accent3" w:themeFillShade="CC"/>
      </w:tcPr>
    </w:tblStylePr>
    <w:tblStylePr w:type="lastRow">
      <w:rPr>
        <w:b/>
        <w:bCs/>
        <w:color w:val="6B4433"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E0D4" w:themeFill="accent4" w:themeFillTint="3F"/>
      </w:tcPr>
    </w:tblStylePr>
    <w:tblStylePr w:type="band1Horz">
      <w:tblPr/>
      <w:tcPr>
        <w:shd w:val="clear" w:color="auto" w:fill="EBE6DC"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9F8F2" w:themeFill="accent5" w:themeFillTint="19"/>
    </w:tcPr>
    <w:tblStylePr w:type="firstRow">
      <w:rPr>
        <w:b/>
        <w:bCs/>
        <w:color w:val="FFFFFF" w:themeColor="background1"/>
      </w:rPr>
      <w:tblPr/>
      <w:tcPr>
        <w:tcBorders>
          <w:bottom w:val="single" w:sz="12" w:space="0" w:color="FFFFFF" w:themeColor="background1"/>
        </w:tcBorders>
        <w:shd w:val="clear" w:color="auto" w:fill="768369" w:themeFill="accent6" w:themeFillShade="CC"/>
      </w:tcPr>
    </w:tblStylePr>
    <w:tblStylePr w:type="lastRow">
      <w:rPr>
        <w:b/>
        <w:bCs/>
        <w:color w:val="76836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0EEDF" w:themeFill="accent5" w:themeFillTint="3F"/>
      </w:tcPr>
    </w:tblStylePr>
    <w:tblStylePr w:type="band1Horz">
      <w:tblPr/>
      <w:tcPr>
        <w:shd w:val="clear" w:color="auto" w:fill="F2F1E5"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4F5F3" w:themeFill="accent6" w:themeFillTint="19"/>
    </w:tcPr>
    <w:tblStylePr w:type="firstRow">
      <w:rPr>
        <w:b/>
        <w:bCs/>
        <w:color w:val="FFFFFF" w:themeColor="background1"/>
      </w:rPr>
      <w:tblPr/>
      <w:tcPr>
        <w:tcBorders>
          <w:bottom w:val="single" w:sz="12" w:space="0" w:color="FFFFFF" w:themeColor="background1"/>
        </w:tcBorders>
        <w:shd w:val="clear" w:color="auto" w:fill="ADA454" w:themeFill="accent5" w:themeFillShade="CC"/>
      </w:tcPr>
    </w:tblStylePr>
    <w:tblStylePr w:type="lastRow">
      <w:rPr>
        <w:b/>
        <w:bCs/>
        <w:color w:val="ADA454"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4E7E1" w:themeFill="accent6" w:themeFillTint="3F"/>
      </w:tcPr>
    </w:tblStylePr>
    <w:tblStylePr w:type="band1Horz">
      <w:tblPr/>
      <w:tcPr>
        <w:shd w:val="clear" w:color="auto" w:fill="E9ECE7"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BD582C"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D582C"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BD582C" w:themeColor="accent2"/>
        <w:left w:val="single" w:sz="4" w:space="0" w:color="E48312" w:themeColor="accent1"/>
        <w:bottom w:val="single" w:sz="4" w:space="0" w:color="E48312" w:themeColor="accent1"/>
        <w:right w:val="single" w:sz="4" w:space="0" w:color="E48312" w:themeColor="accent1"/>
        <w:insideH w:val="single" w:sz="4" w:space="0" w:color="FFFFFF" w:themeColor="background1"/>
        <w:insideV w:val="single" w:sz="4" w:space="0" w:color="FFFFFF" w:themeColor="background1"/>
      </w:tblBorders>
    </w:tblPr>
    <w:tcPr>
      <w:shd w:val="clear" w:color="auto" w:fill="FDF2E6" w:themeFill="accent1" w:themeFillTint="19"/>
    </w:tcPr>
    <w:tblStylePr w:type="firstRow">
      <w:rPr>
        <w:b/>
        <w:bCs/>
      </w:rPr>
      <w:tblPr/>
      <w:tcPr>
        <w:tcBorders>
          <w:top w:val="nil"/>
          <w:left w:val="nil"/>
          <w:bottom w:val="single" w:sz="24" w:space="0" w:color="BD582C"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84E0A" w:themeFill="accent1" w:themeFillShade="99"/>
      </w:tcPr>
    </w:tblStylePr>
    <w:tblStylePr w:type="firstCol">
      <w:rPr>
        <w:color w:val="FFFFFF" w:themeColor="background1"/>
      </w:rPr>
      <w:tblPr/>
      <w:tcPr>
        <w:tcBorders>
          <w:top w:val="nil"/>
          <w:left w:val="nil"/>
          <w:bottom w:val="nil"/>
          <w:right w:val="nil"/>
          <w:insideH w:val="single" w:sz="4" w:space="0" w:color="884E0A" w:themeColor="accent1" w:themeShade="99"/>
          <w:insideV w:val="nil"/>
        </w:tcBorders>
        <w:shd w:val="clear" w:color="auto" w:fill="884E0A"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84E0A" w:themeFill="accent1" w:themeFillShade="99"/>
      </w:tcPr>
    </w:tblStylePr>
    <w:tblStylePr w:type="band1Vert">
      <w:tblPr/>
      <w:tcPr>
        <w:shd w:val="clear" w:color="auto" w:fill="F7CD9D" w:themeFill="accent1" w:themeFillTint="66"/>
      </w:tcPr>
    </w:tblStylePr>
    <w:tblStylePr w:type="band1Horz">
      <w:tblPr/>
      <w:tcPr>
        <w:shd w:val="clear" w:color="auto" w:fill="F5C184"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BD582C" w:themeColor="accent2"/>
        <w:left w:val="single" w:sz="4" w:space="0" w:color="BD582C" w:themeColor="accent2"/>
        <w:bottom w:val="single" w:sz="4" w:space="0" w:color="BD582C" w:themeColor="accent2"/>
        <w:right w:val="single" w:sz="4" w:space="0" w:color="BD582C" w:themeColor="accent2"/>
        <w:insideH w:val="single" w:sz="4" w:space="0" w:color="FFFFFF" w:themeColor="background1"/>
        <w:insideV w:val="single" w:sz="4" w:space="0" w:color="FFFFFF" w:themeColor="background1"/>
      </w:tblBorders>
    </w:tblPr>
    <w:tcPr>
      <w:shd w:val="clear" w:color="auto" w:fill="FAEDE8" w:themeFill="accent2" w:themeFillTint="19"/>
    </w:tcPr>
    <w:tblStylePr w:type="firstRow">
      <w:rPr>
        <w:b/>
        <w:bCs/>
      </w:rPr>
      <w:tblPr/>
      <w:tcPr>
        <w:tcBorders>
          <w:top w:val="nil"/>
          <w:left w:val="nil"/>
          <w:bottom w:val="single" w:sz="24" w:space="0" w:color="BD582C"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1341A" w:themeFill="accent2" w:themeFillShade="99"/>
      </w:tcPr>
    </w:tblStylePr>
    <w:tblStylePr w:type="firstCol">
      <w:rPr>
        <w:color w:val="FFFFFF" w:themeColor="background1"/>
      </w:rPr>
      <w:tblPr/>
      <w:tcPr>
        <w:tcBorders>
          <w:top w:val="nil"/>
          <w:left w:val="nil"/>
          <w:bottom w:val="nil"/>
          <w:right w:val="nil"/>
          <w:insideH w:val="single" w:sz="4" w:space="0" w:color="71341A" w:themeColor="accent2" w:themeShade="99"/>
          <w:insideV w:val="nil"/>
        </w:tcBorders>
        <w:shd w:val="clear" w:color="auto" w:fill="71341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1341A" w:themeFill="accent2" w:themeFillShade="99"/>
      </w:tcPr>
    </w:tblStylePr>
    <w:tblStylePr w:type="band1Vert">
      <w:tblPr/>
      <w:tcPr>
        <w:shd w:val="clear" w:color="auto" w:fill="EAB9A4" w:themeFill="accent2" w:themeFillTint="66"/>
      </w:tcPr>
    </w:tblStylePr>
    <w:tblStylePr w:type="band1Horz">
      <w:tblPr/>
      <w:tcPr>
        <w:shd w:val="clear" w:color="auto" w:fill="E5A88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9B8357" w:themeColor="accent4"/>
        <w:left w:val="single" w:sz="4" w:space="0" w:color="865640" w:themeColor="accent3"/>
        <w:bottom w:val="single" w:sz="4" w:space="0" w:color="865640" w:themeColor="accent3"/>
        <w:right w:val="single" w:sz="4" w:space="0" w:color="865640" w:themeColor="accent3"/>
        <w:insideH w:val="single" w:sz="4" w:space="0" w:color="FFFFFF" w:themeColor="background1"/>
        <w:insideV w:val="single" w:sz="4" w:space="0" w:color="FFFFFF" w:themeColor="background1"/>
      </w:tblBorders>
    </w:tblPr>
    <w:tcPr>
      <w:shd w:val="clear" w:color="auto" w:fill="F5EDEA" w:themeFill="accent3" w:themeFillTint="19"/>
    </w:tcPr>
    <w:tblStylePr w:type="firstRow">
      <w:rPr>
        <w:b/>
        <w:bCs/>
      </w:rPr>
      <w:tblPr/>
      <w:tcPr>
        <w:tcBorders>
          <w:top w:val="nil"/>
          <w:left w:val="nil"/>
          <w:bottom w:val="single" w:sz="24" w:space="0" w:color="9B8357"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03326" w:themeFill="accent3" w:themeFillShade="99"/>
      </w:tcPr>
    </w:tblStylePr>
    <w:tblStylePr w:type="firstCol">
      <w:rPr>
        <w:color w:val="FFFFFF" w:themeColor="background1"/>
      </w:rPr>
      <w:tblPr/>
      <w:tcPr>
        <w:tcBorders>
          <w:top w:val="nil"/>
          <w:left w:val="nil"/>
          <w:bottom w:val="nil"/>
          <w:right w:val="nil"/>
          <w:insideH w:val="single" w:sz="4" w:space="0" w:color="503326" w:themeColor="accent3" w:themeShade="99"/>
          <w:insideV w:val="nil"/>
        </w:tcBorders>
        <w:shd w:val="clear" w:color="auto" w:fill="503326"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03326" w:themeFill="accent3" w:themeFillShade="99"/>
      </w:tcPr>
    </w:tblStylePr>
    <w:tblStylePr w:type="band1Vert">
      <w:tblPr/>
      <w:tcPr>
        <w:shd w:val="clear" w:color="auto" w:fill="D6B8AA" w:themeFill="accent3" w:themeFillTint="66"/>
      </w:tcPr>
    </w:tblStylePr>
    <w:tblStylePr w:type="band1Horz">
      <w:tblPr/>
      <w:tcPr>
        <w:shd w:val="clear" w:color="auto" w:fill="CCA69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865640" w:themeColor="accent3"/>
        <w:left w:val="single" w:sz="4" w:space="0" w:color="9B8357" w:themeColor="accent4"/>
        <w:bottom w:val="single" w:sz="4" w:space="0" w:color="9B8357" w:themeColor="accent4"/>
        <w:right w:val="single" w:sz="4" w:space="0" w:color="9B8357" w:themeColor="accent4"/>
        <w:insideH w:val="single" w:sz="4" w:space="0" w:color="FFFFFF" w:themeColor="background1"/>
        <w:insideV w:val="single" w:sz="4" w:space="0" w:color="FFFFFF" w:themeColor="background1"/>
      </w:tblBorders>
    </w:tblPr>
    <w:tcPr>
      <w:shd w:val="clear" w:color="auto" w:fill="F5F2EE" w:themeFill="accent4" w:themeFillTint="19"/>
    </w:tcPr>
    <w:tblStylePr w:type="firstRow">
      <w:rPr>
        <w:b/>
        <w:bCs/>
      </w:rPr>
      <w:tblPr/>
      <w:tcPr>
        <w:tcBorders>
          <w:top w:val="nil"/>
          <w:left w:val="nil"/>
          <w:bottom w:val="single" w:sz="24" w:space="0" w:color="865640"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C4E34" w:themeFill="accent4" w:themeFillShade="99"/>
      </w:tcPr>
    </w:tblStylePr>
    <w:tblStylePr w:type="firstCol">
      <w:rPr>
        <w:color w:val="FFFFFF" w:themeColor="background1"/>
      </w:rPr>
      <w:tblPr/>
      <w:tcPr>
        <w:tcBorders>
          <w:top w:val="nil"/>
          <w:left w:val="nil"/>
          <w:bottom w:val="nil"/>
          <w:right w:val="nil"/>
          <w:insideH w:val="single" w:sz="4" w:space="0" w:color="5C4E34" w:themeColor="accent4" w:themeShade="99"/>
          <w:insideV w:val="nil"/>
        </w:tcBorders>
        <w:shd w:val="clear" w:color="auto" w:fill="5C4E34"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5C4E34" w:themeFill="accent4" w:themeFillShade="99"/>
      </w:tcPr>
    </w:tblStylePr>
    <w:tblStylePr w:type="band1Vert">
      <w:tblPr/>
      <w:tcPr>
        <w:shd w:val="clear" w:color="auto" w:fill="D8CDBA" w:themeFill="accent4" w:themeFillTint="66"/>
      </w:tcPr>
    </w:tblStylePr>
    <w:tblStylePr w:type="band1Horz">
      <w:tblPr/>
      <w:tcPr>
        <w:shd w:val="clear" w:color="auto" w:fill="CFC1A9"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94A088" w:themeColor="accent6"/>
        <w:left w:val="single" w:sz="4" w:space="0" w:color="C2BC80" w:themeColor="accent5"/>
        <w:bottom w:val="single" w:sz="4" w:space="0" w:color="C2BC80" w:themeColor="accent5"/>
        <w:right w:val="single" w:sz="4" w:space="0" w:color="C2BC80" w:themeColor="accent5"/>
        <w:insideH w:val="single" w:sz="4" w:space="0" w:color="FFFFFF" w:themeColor="background1"/>
        <w:insideV w:val="single" w:sz="4" w:space="0" w:color="FFFFFF" w:themeColor="background1"/>
      </w:tblBorders>
    </w:tblPr>
    <w:tcPr>
      <w:shd w:val="clear" w:color="auto" w:fill="F9F8F2" w:themeFill="accent5" w:themeFillTint="19"/>
    </w:tcPr>
    <w:tblStylePr w:type="firstRow">
      <w:rPr>
        <w:b/>
        <w:bCs/>
      </w:rPr>
      <w:tblPr/>
      <w:tcPr>
        <w:tcBorders>
          <w:top w:val="nil"/>
          <w:left w:val="nil"/>
          <w:bottom w:val="single" w:sz="24" w:space="0" w:color="94A08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27B3E" w:themeFill="accent5" w:themeFillShade="99"/>
      </w:tcPr>
    </w:tblStylePr>
    <w:tblStylePr w:type="firstCol">
      <w:rPr>
        <w:color w:val="FFFFFF" w:themeColor="background1"/>
      </w:rPr>
      <w:tblPr/>
      <w:tcPr>
        <w:tcBorders>
          <w:top w:val="nil"/>
          <w:left w:val="nil"/>
          <w:bottom w:val="nil"/>
          <w:right w:val="nil"/>
          <w:insideH w:val="single" w:sz="4" w:space="0" w:color="827B3E" w:themeColor="accent5" w:themeShade="99"/>
          <w:insideV w:val="nil"/>
        </w:tcBorders>
        <w:shd w:val="clear" w:color="auto" w:fill="827B3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827B3E" w:themeFill="accent5" w:themeFillShade="99"/>
      </w:tcPr>
    </w:tblStylePr>
    <w:tblStylePr w:type="band1Vert">
      <w:tblPr/>
      <w:tcPr>
        <w:shd w:val="clear" w:color="auto" w:fill="E6E4CC" w:themeFill="accent5" w:themeFillTint="66"/>
      </w:tcPr>
    </w:tblStylePr>
    <w:tblStylePr w:type="band1Horz">
      <w:tblPr/>
      <w:tcPr>
        <w:shd w:val="clear" w:color="auto" w:fill="E0DDB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C2BC80" w:themeColor="accent5"/>
        <w:left w:val="single" w:sz="4" w:space="0" w:color="94A088" w:themeColor="accent6"/>
        <w:bottom w:val="single" w:sz="4" w:space="0" w:color="94A088" w:themeColor="accent6"/>
        <w:right w:val="single" w:sz="4" w:space="0" w:color="94A088" w:themeColor="accent6"/>
        <w:insideH w:val="single" w:sz="4" w:space="0" w:color="FFFFFF" w:themeColor="background1"/>
        <w:insideV w:val="single" w:sz="4" w:space="0" w:color="FFFFFF" w:themeColor="background1"/>
      </w:tblBorders>
    </w:tblPr>
    <w:tcPr>
      <w:shd w:val="clear" w:color="auto" w:fill="F4F5F3" w:themeFill="accent6" w:themeFillTint="19"/>
    </w:tcPr>
    <w:tblStylePr w:type="firstRow">
      <w:rPr>
        <w:b/>
        <w:bCs/>
      </w:rPr>
      <w:tblPr/>
      <w:tcPr>
        <w:tcBorders>
          <w:top w:val="nil"/>
          <w:left w:val="nil"/>
          <w:bottom w:val="single" w:sz="24" w:space="0" w:color="C2BC80"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8624E" w:themeFill="accent6" w:themeFillShade="99"/>
      </w:tcPr>
    </w:tblStylePr>
    <w:tblStylePr w:type="firstCol">
      <w:rPr>
        <w:color w:val="FFFFFF" w:themeColor="background1"/>
      </w:rPr>
      <w:tblPr/>
      <w:tcPr>
        <w:tcBorders>
          <w:top w:val="nil"/>
          <w:left w:val="nil"/>
          <w:bottom w:val="nil"/>
          <w:right w:val="nil"/>
          <w:insideH w:val="single" w:sz="4" w:space="0" w:color="58624E" w:themeColor="accent6" w:themeShade="99"/>
          <w:insideV w:val="nil"/>
        </w:tcBorders>
        <w:shd w:val="clear" w:color="auto" w:fill="58624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8624E" w:themeFill="accent6" w:themeFillShade="99"/>
      </w:tcPr>
    </w:tblStylePr>
    <w:tblStylePr w:type="band1Vert">
      <w:tblPr/>
      <w:tcPr>
        <w:shd w:val="clear" w:color="auto" w:fill="D4D9CF" w:themeFill="accent6" w:themeFillTint="66"/>
      </w:tcPr>
    </w:tblStylePr>
    <w:tblStylePr w:type="band1Horz">
      <w:tblPr/>
      <w:tcPr>
        <w:shd w:val="clear" w:color="auto" w:fill="C9CFC3"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4831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14109"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AA610D"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AA610D" w:themeFill="accent1" w:themeFillShade="BF"/>
      </w:tcPr>
    </w:tblStylePr>
    <w:tblStylePr w:type="band1Vert">
      <w:tblPr/>
      <w:tcPr>
        <w:tcBorders>
          <w:top w:val="nil"/>
          <w:left w:val="nil"/>
          <w:bottom w:val="nil"/>
          <w:right w:val="nil"/>
          <w:insideH w:val="nil"/>
          <w:insideV w:val="nil"/>
        </w:tcBorders>
        <w:shd w:val="clear" w:color="auto" w:fill="AA610D" w:themeFill="accent1" w:themeFillShade="BF"/>
      </w:tcPr>
    </w:tblStylePr>
    <w:tblStylePr w:type="band1Horz">
      <w:tblPr/>
      <w:tcPr>
        <w:tcBorders>
          <w:top w:val="nil"/>
          <w:left w:val="nil"/>
          <w:bottom w:val="nil"/>
          <w:right w:val="nil"/>
          <w:insideH w:val="nil"/>
          <w:insideV w:val="nil"/>
        </w:tcBorders>
        <w:shd w:val="clear" w:color="auto" w:fill="AA610D"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BD582C"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E2B16"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D412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D4121" w:themeFill="accent2" w:themeFillShade="BF"/>
      </w:tcPr>
    </w:tblStylePr>
    <w:tblStylePr w:type="band1Vert">
      <w:tblPr/>
      <w:tcPr>
        <w:tcBorders>
          <w:top w:val="nil"/>
          <w:left w:val="nil"/>
          <w:bottom w:val="nil"/>
          <w:right w:val="nil"/>
          <w:insideH w:val="nil"/>
          <w:insideV w:val="nil"/>
        </w:tcBorders>
        <w:shd w:val="clear" w:color="auto" w:fill="8D4121" w:themeFill="accent2" w:themeFillShade="BF"/>
      </w:tcPr>
    </w:tblStylePr>
    <w:tblStylePr w:type="band1Horz">
      <w:tblPr/>
      <w:tcPr>
        <w:tcBorders>
          <w:top w:val="nil"/>
          <w:left w:val="nil"/>
          <w:bottom w:val="nil"/>
          <w:right w:val="nil"/>
          <w:insideH w:val="nil"/>
          <w:insideV w:val="nil"/>
        </w:tcBorders>
        <w:shd w:val="clear" w:color="auto" w:fill="8D4121"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865640"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2A1F"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64403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644030" w:themeFill="accent3" w:themeFillShade="BF"/>
      </w:tcPr>
    </w:tblStylePr>
    <w:tblStylePr w:type="band1Vert">
      <w:tblPr/>
      <w:tcPr>
        <w:tcBorders>
          <w:top w:val="nil"/>
          <w:left w:val="nil"/>
          <w:bottom w:val="nil"/>
          <w:right w:val="nil"/>
          <w:insideH w:val="nil"/>
          <w:insideV w:val="nil"/>
        </w:tcBorders>
        <w:shd w:val="clear" w:color="auto" w:fill="644030" w:themeFill="accent3" w:themeFillShade="BF"/>
      </w:tcPr>
    </w:tblStylePr>
    <w:tblStylePr w:type="band1Horz">
      <w:tblPr/>
      <w:tcPr>
        <w:tcBorders>
          <w:top w:val="nil"/>
          <w:left w:val="nil"/>
          <w:bottom w:val="nil"/>
          <w:right w:val="nil"/>
          <w:insideH w:val="nil"/>
          <w:insideV w:val="nil"/>
        </w:tcBorders>
        <w:shd w:val="clear" w:color="auto" w:fill="644030"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9B8357"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D412B"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736141"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736141" w:themeFill="accent4" w:themeFillShade="BF"/>
      </w:tcPr>
    </w:tblStylePr>
    <w:tblStylePr w:type="band1Vert">
      <w:tblPr/>
      <w:tcPr>
        <w:tcBorders>
          <w:top w:val="nil"/>
          <w:left w:val="nil"/>
          <w:bottom w:val="nil"/>
          <w:right w:val="nil"/>
          <w:insideH w:val="nil"/>
          <w:insideV w:val="nil"/>
        </w:tcBorders>
        <w:shd w:val="clear" w:color="auto" w:fill="736141" w:themeFill="accent4" w:themeFillShade="BF"/>
      </w:tcPr>
    </w:tblStylePr>
    <w:tblStylePr w:type="band1Horz">
      <w:tblPr/>
      <w:tcPr>
        <w:tcBorders>
          <w:top w:val="nil"/>
          <w:left w:val="nil"/>
          <w:bottom w:val="nil"/>
          <w:right w:val="nil"/>
          <w:insideH w:val="nil"/>
          <w:insideV w:val="nil"/>
        </w:tcBorders>
        <w:shd w:val="clear" w:color="auto" w:fill="736141"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C2BC80"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C6634"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A29A4E"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A29A4E" w:themeFill="accent5" w:themeFillShade="BF"/>
      </w:tcPr>
    </w:tblStylePr>
    <w:tblStylePr w:type="band1Vert">
      <w:tblPr/>
      <w:tcPr>
        <w:tcBorders>
          <w:top w:val="nil"/>
          <w:left w:val="nil"/>
          <w:bottom w:val="nil"/>
          <w:right w:val="nil"/>
          <w:insideH w:val="nil"/>
          <w:insideV w:val="nil"/>
        </w:tcBorders>
        <w:shd w:val="clear" w:color="auto" w:fill="A29A4E" w:themeFill="accent5" w:themeFillShade="BF"/>
      </w:tcPr>
    </w:tblStylePr>
    <w:tblStylePr w:type="band1Horz">
      <w:tblPr/>
      <w:tcPr>
        <w:tcBorders>
          <w:top w:val="nil"/>
          <w:left w:val="nil"/>
          <w:bottom w:val="nil"/>
          <w:right w:val="nil"/>
          <w:insideH w:val="nil"/>
          <w:insideV w:val="nil"/>
        </w:tcBorders>
        <w:shd w:val="clear" w:color="auto" w:fill="A29A4E"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94A08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95141"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6E7B6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6E7B62" w:themeFill="accent6" w:themeFillShade="BF"/>
      </w:tcPr>
    </w:tblStylePr>
    <w:tblStylePr w:type="band1Vert">
      <w:tblPr/>
      <w:tcPr>
        <w:tcBorders>
          <w:top w:val="nil"/>
          <w:left w:val="nil"/>
          <w:bottom w:val="nil"/>
          <w:right w:val="nil"/>
          <w:insideH w:val="nil"/>
          <w:insideV w:val="nil"/>
        </w:tcBorders>
        <w:shd w:val="clear" w:color="auto" w:fill="6E7B62" w:themeFill="accent6" w:themeFillShade="BF"/>
      </w:tcPr>
    </w:tblStylePr>
    <w:tblStylePr w:type="band1Horz">
      <w:tblPr/>
      <w:tcPr>
        <w:tcBorders>
          <w:top w:val="nil"/>
          <w:left w:val="nil"/>
          <w:bottom w:val="nil"/>
          <w:right w:val="nil"/>
          <w:insideH w:val="nil"/>
          <w:insideV w:val="nil"/>
        </w:tcBorders>
        <w:shd w:val="clear" w:color="auto" w:fill="6E7B6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F7CD9D" w:themeColor="accent1" w:themeTint="66"/>
        <w:left w:val="single" w:sz="4" w:space="0" w:color="F7CD9D" w:themeColor="accent1" w:themeTint="66"/>
        <w:bottom w:val="single" w:sz="4" w:space="0" w:color="F7CD9D" w:themeColor="accent1" w:themeTint="66"/>
        <w:right w:val="single" w:sz="4" w:space="0" w:color="F7CD9D" w:themeColor="accent1" w:themeTint="66"/>
        <w:insideH w:val="single" w:sz="4" w:space="0" w:color="F7CD9D" w:themeColor="accent1" w:themeTint="66"/>
        <w:insideV w:val="single" w:sz="4" w:space="0" w:color="F7CD9D" w:themeColor="accent1" w:themeTint="66"/>
      </w:tblBorders>
    </w:tblPr>
    <w:tblStylePr w:type="firstRow">
      <w:rPr>
        <w:b/>
        <w:bCs/>
      </w:rPr>
      <w:tblPr/>
      <w:tcPr>
        <w:tcBorders>
          <w:bottom w:val="single" w:sz="12" w:space="0" w:color="F3B46B" w:themeColor="accent1" w:themeTint="99"/>
        </w:tcBorders>
      </w:tcPr>
    </w:tblStylePr>
    <w:tblStylePr w:type="lastRow">
      <w:rPr>
        <w:b/>
        <w:bCs/>
      </w:rPr>
      <w:tblPr/>
      <w:tcPr>
        <w:tcBorders>
          <w:top w:val="double" w:sz="2" w:space="0" w:color="F3B46B"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EAB9A4" w:themeColor="accent2" w:themeTint="66"/>
        <w:left w:val="single" w:sz="4" w:space="0" w:color="EAB9A4" w:themeColor="accent2" w:themeTint="66"/>
        <w:bottom w:val="single" w:sz="4" w:space="0" w:color="EAB9A4" w:themeColor="accent2" w:themeTint="66"/>
        <w:right w:val="single" w:sz="4" w:space="0" w:color="EAB9A4" w:themeColor="accent2" w:themeTint="66"/>
        <w:insideH w:val="single" w:sz="4" w:space="0" w:color="EAB9A4" w:themeColor="accent2" w:themeTint="66"/>
        <w:insideV w:val="single" w:sz="4" w:space="0" w:color="EAB9A4" w:themeColor="accent2" w:themeTint="66"/>
      </w:tblBorders>
    </w:tblPr>
    <w:tblStylePr w:type="firstRow">
      <w:rPr>
        <w:b/>
        <w:bCs/>
      </w:rPr>
      <w:tblPr/>
      <w:tcPr>
        <w:tcBorders>
          <w:bottom w:val="single" w:sz="12" w:space="0" w:color="DF9778" w:themeColor="accent2" w:themeTint="99"/>
        </w:tcBorders>
      </w:tcPr>
    </w:tblStylePr>
    <w:tblStylePr w:type="lastRow">
      <w:rPr>
        <w:b/>
        <w:bCs/>
      </w:rPr>
      <w:tblPr/>
      <w:tcPr>
        <w:tcBorders>
          <w:top w:val="double" w:sz="2" w:space="0" w:color="DF9778"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D6B8AA" w:themeColor="accent3" w:themeTint="66"/>
        <w:left w:val="single" w:sz="4" w:space="0" w:color="D6B8AA" w:themeColor="accent3" w:themeTint="66"/>
        <w:bottom w:val="single" w:sz="4" w:space="0" w:color="D6B8AA" w:themeColor="accent3" w:themeTint="66"/>
        <w:right w:val="single" w:sz="4" w:space="0" w:color="D6B8AA" w:themeColor="accent3" w:themeTint="66"/>
        <w:insideH w:val="single" w:sz="4" w:space="0" w:color="D6B8AA" w:themeColor="accent3" w:themeTint="66"/>
        <w:insideV w:val="single" w:sz="4" w:space="0" w:color="D6B8AA" w:themeColor="accent3" w:themeTint="66"/>
      </w:tblBorders>
    </w:tblPr>
    <w:tblStylePr w:type="firstRow">
      <w:rPr>
        <w:b/>
        <w:bCs/>
      </w:rPr>
      <w:tblPr/>
      <w:tcPr>
        <w:tcBorders>
          <w:bottom w:val="single" w:sz="12" w:space="0" w:color="C29480" w:themeColor="accent3" w:themeTint="99"/>
        </w:tcBorders>
      </w:tcPr>
    </w:tblStylePr>
    <w:tblStylePr w:type="lastRow">
      <w:rPr>
        <w:b/>
        <w:bCs/>
      </w:rPr>
      <w:tblPr/>
      <w:tcPr>
        <w:tcBorders>
          <w:top w:val="double" w:sz="2" w:space="0" w:color="C29480"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D8CDBA" w:themeColor="accent4" w:themeTint="66"/>
        <w:left w:val="single" w:sz="4" w:space="0" w:color="D8CDBA" w:themeColor="accent4" w:themeTint="66"/>
        <w:bottom w:val="single" w:sz="4" w:space="0" w:color="D8CDBA" w:themeColor="accent4" w:themeTint="66"/>
        <w:right w:val="single" w:sz="4" w:space="0" w:color="D8CDBA" w:themeColor="accent4" w:themeTint="66"/>
        <w:insideH w:val="single" w:sz="4" w:space="0" w:color="D8CDBA" w:themeColor="accent4" w:themeTint="66"/>
        <w:insideV w:val="single" w:sz="4" w:space="0" w:color="D8CDBA" w:themeColor="accent4" w:themeTint="66"/>
      </w:tblBorders>
    </w:tblPr>
    <w:tblStylePr w:type="firstRow">
      <w:rPr>
        <w:b/>
        <w:bCs/>
      </w:rPr>
      <w:tblPr/>
      <w:tcPr>
        <w:tcBorders>
          <w:bottom w:val="single" w:sz="12" w:space="0" w:color="C5B597" w:themeColor="accent4" w:themeTint="99"/>
        </w:tcBorders>
      </w:tcPr>
    </w:tblStylePr>
    <w:tblStylePr w:type="lastRow">
      <w:rPr>
        <w:b/>
        <w:bCs/>
      </w:rPr>
      <w:tblPr/>
      <w:tcPr>
        <w:tcBorders>
          <w:top w:val="double" w:sz="2" w:space="0" w:color="C5B59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6E4CC" w:themeColor="accent5" w:themeTint="66"/>
        <w:left w:val="single" w:sz="4" w:space="0" w:color="E6E4CC" w:themeColor="accent5" w:themeTint="66"/>
        <w:bottom w:val="single" w:sz="4" w:space="0" w:color="E6E4CC" w:themeColor="accent5" w:themeTint="66"/>
        <w:right w:val="single" w:sz="4" w:space="0" w:color="E6E4CC" w:themeColor="accent5" w:themeTint="66"/>
        <w:insideH w:val="single" w:sz="4" w:space="0" w:color="E6E4CC" w:themeColor="accent5" w:themeTint="66"/>
        <w:insideV w:val="single" w:sz="4" w:space="0" w:color="E6E4CC" w:themeColor="accent5" w:themeTint="66"/>
      </w:tblBorders>
    </w:tblPr>
    <w:tblStylePr w:type="firstRow">
      <w:rPr>
        <w:b/>
        <w:bCs/>
      </w:rPr>
      <w:tblPr/>
      <w:tcPr>
        <w:tcBorders>
          <w:bottom w:val="single" w:sz="12" w:space="0" w:color="DAD6B2" w:themeColor="accent5" w:themeTint="99"/>
        </w:tcBorders>
      </w:tcPr>
    </w:tblStylePr>
    <w:tblStylePr w:type="lastRow">
      <w:rPr>
        <w:b/>
        <w:bCs/>
      </w:rPr>
      <w:tblPr/>
      <w:tcPr>
        <w:tcBorders>
          <w:top w:val="double" w:sz="2" w:space="0" w:color="DAD6B2"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D4D9CF" w:themeColor="accent6" w:themeTint="66"/>
        <w:left w:val="single" w:sz="4" w:space="0" w:color="D4D9CF" w:themeColor="accent6" w:themeTint="66"/>
        <w:bottom w:val="single" w:sz="4" w:space="0" w:color="D4D9CF" w:themeColor="accent6" w:themeTint="66"/>
        <w:right w:val="single" w:sz="4" w:space="0" w:color="D4D9CF" w:themeColor="accent6" w:themeTint="66"/>
        <w:insideH w:val="single" w:sz="4" w:space="0" w:color="D4D9CF" w:themeColor="accent6" w:themeTint="66"/>
        <w:insideV w:val="single" w:sz="4" w:space="0" w:color="D4D9CF" w:themeColor="accent6" w:themeTint="66"/>
      </w:tblBorders>
    </w:tblPr>
    <w:tblStylePr w:type="firstRow">
      <w:rPr>
        <w:b/>
        <w:bCs/>
      </w:rPr>
      <w:tblPr/>
      <w:tcPr>
        <w:tcBorders>
          <w:bottom w:val="single" w:sz="12" w:space="0" w:color="BEC6B7" w:themeColor="accent6" w:themeTint="99"/>
        </w:tcBorders>
      </w:tcPr>
    </w:tblStylePr>
    <w:tblStylePr w:type="lastRow">
      <w:rPr>
        <w:b/>
        <w:bCs/>
      </w:rPr>
      <w:tblPr/>
      <w:tcPr>
        <w:tcBorders>
          <w:top w:val="double" w:sz="2" w:space="0" w:color="BEC6B7"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F3B46B" w:themeColor="accent1" w:themeTint="99"/>
        <w:bottom w:val="single" w:sz="2" w:space="0" w:color="F3B46B" w:themeColor="accent1" w:themeTint="99"/>
        <w:insideH w:val="single" w:sz="2" w:space="0" w:color="F3B46B" w:themeColor="accent1" w:themeTint="99"/>
        <w:insideV w:val="single" w:sz="2" w:space="0" w:color="F3B46B" w:themeColor="accent1" w:themeTint="99"/>
      </w:tblBorders>
    </w:tblPr>
    <w:tblStylePr w:type="firstRow">
      <w:rPr>
        <w:b/>
        <w:bCs/>
      </w:rPr>
      <w:tblPr/>
      <w:tcPr>
        <w:tcBorders>
          <w:top w:val="nil"/>
          <w:bottom w:val="single" w:sz="12" w:space="0" w:color="F3B46B" w:themeColor="accent1" w:themeTint="99"/>
          <w:insideH w:val="nil"/>
          <w:insideV w:val="nil"/>
        </w:tcBorders>
        <w:shd w:val="clear" w:color="auto" w:fill="FFFFFF" w:themeFill="background1"/>
      </w:tcPr>
    </w:tblStylePr>
    <w:tblStylePr w:type="lastRow">
      <w:rPr>
        <w:b/>
        <w:bCs/>
      </w:rPr>
      <w:tblPr/>
      <w:tcPr>
        <w:tcBorders>
          <w:top w:val="double" w:sz="2" w:space="0" w:color="F3B46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6CD" w:themeFill="accent1" w:themeFillTint="33"/>
      </w:tcPr>
    </w:tblStylePr>
    <w:tblStylePr w:type="band1Horz">
      <w:tblPr/>
      <w:tcPr>
        <w:shd w:val="clear" w:color="auto" w:fill="FBE6CD"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DF9778" w:themeColor="accent2" w:themeTint="99"/>
        <w:bottom w:val="single" w:sz="2" w:space="0" w:color="DF9778" w:themeColor="accent2" w:themeTint="99"/>
        <w:insideH w:val="single" w:sz="2" w:space="0" w:color="DF9778" w:themeColor="accent2" w:themeTint="99"/>
        <w:insideV w:val="single" w:sz="2" w:space="0" w:color="DF9778" w:themeColor="accent2" w:themeTint="99"/>
      </w:tblBorders>
    </w:tblPr>
    <w:tblStylePr w:type="firstRow">
      <w:rPr>
        <w:b/>
        <w:bCs/>
      </w:rPr>
      <w:tblPr/>
      <w:tcPr>
        <w:tcBorders>
          <w:top w:val="nil"/>
          <w:bottom w:val="single" w:sz="12" w:space="0" w:color="DF9778" w:themeColor="accent2" w:themeTint="99"/>
          <w:insideH w:val="nil"/>
          <w:insideV w:val="nil"/>
        </w:tcBorders>
        <w:shd w:val="clear" w:color="auto" w:fill="FFFFFF" w:themeFill="background1"/>
      </w:tcPr>
    </w:tblStylePr>
    <w:tblStylePr w:type="lastRow">
      <w:rPr>
        <w:b/>
        <w:bCs/>
      </w:rPr>
      <w:tblPr/>
      <w:tcPr>
        <w:tcBorders>
          <w:top w:val="double" w:sz="2" w:space="0" w:color="DF9778"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4DCD1" w:themeFill="accent2" w:themeFillTint="33"/>
      </w:tcPr>
    </w:tblStylePr>
    <w:tblStylePr w:type="band1Horz">
      <w:tblPr/>
      <w:tcPr>
        <w:shd w:val="clear" w:color="auto" w:fill="F4DCD1"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C29480" w:themeColor="accent3" w:themeTint="99"/>
        <w:bottom w:val="single" w:sz="2" w:space="0" w:color="C29480" w:themeColor="accent3" w:themeTint="99"/>
        <w:insideH w:val="single" w:sz="2" w:space="0" w:color="C29480" w:themeColor="accent3" w:themeTint="99"/>
        <w:insideV w:val="single" w:sz="2" w:space="0" w:color="C29480" w:themeColor="accent3" w:themeTint="99"/>
      </w:tblBorders>
    </w:tblPr>
    <w:tblStylePr w:type="firstRow">
      <w:rPr>
        <w:b/>
        <w:bCs/>
      </w:rPr>
      <w:tblPr/>
      <w:tcPr>
        <w:tcBorders>
          <w:top w:val="nil"/>
          <w:bottom w:val="single" w:sz="12" w:space="0" w:color="C29480" w:themeColor="accent3" w:themeTint="99"/>
          <w:insideH w:val="nil"/>
          <w:insideV w:val="nil"/>
        </w:tcBorders>
        <w:shd w:val="clear" w:color="auto" w:fill="FFFFFF" w:themeFill="background1"/>
      </w:tcPr>
    </w:tblStylePr>
    <w:tblStylePr w:type="lastRow">
      <w:rPr>
        <w:b/>
        <w:bCs/>
      </w:rPr>
      <w:tblPr/>
      <w:tcPr>
        <w:tcBorders>
          <w:top w:val="double" w:sz="2" w:space="0" w:color="C2948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DBD4" w:themeFill="accent3" w:themeFillTint="33"/>
      </w:tcPr>
    </w:tblStylePr>
    <w:tblStylePr w:type="band1Horz">
      <w:tblPr/>
      <w:tcPr>
        <w:shd w:val="clear" w:color="auto" w:fill="EADBD4"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C5B597" w:themeColor="accent4" w:themeTint="99"/>
        <w:bottom w:val="single" w:sz="2" w:space="0" w:color="C5B597" w:themeColor="accent4" w:themeTint="99"/>
        <w:insideH w:val="single" w:sz="2" w:space="0" w:color="C5B597" w:themeColor="accent4" w:themeTint="99"/>
        <w:insideV w:val="single" w:sz="2" w:space="0" w:color="C5B597" w:themeColor="accent4" w:themeTint="99"/>
      </w:tblBorders>
    </w:tblPr>
    <w:tblStylePr w:type="firstRow">
      <w:rPr>
        <w:b/>
        <w:bCs/>
      </w:rPr>
      <w:tblPr/>
      <w:tcPr>
        <w:tcBorders>
          <w:top w:val="nil"/>
          <w:bottom w:val="single" w:sz="12" w:space="0" w:color="C5B597" w:themeColor="accent4" w:themeTint="99"/>
          <w:insideH w:val="nil"/>
          <w:insideV w:val="nil"/>
        </w:tcBorders>
        <w:shd w:val="clear" w:color="auto" w:fill="FFFFFF" w:themeFill="background1"/>
      </w:tcPr>
    </w:tblStylePr>
    <w:tblStylePr w:type="lastRow">
      <w:rPr>
        <w:b/>
        <w:bCs/>
      </w:rPr>
      <w:tblPr/>
      <w:tcPr>
        <w:tcBorders>
          <w:top w:val="double" w:sz="2" w:space="0" w:color="C5B59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BE6DC" w:themeFill="accent4" w:themeFillTint="33"/>
      </w:tcPr>
    </w:tblStylePr>
    <w:tblStylePr w:type="band1Horz">
      <w:tblPr/>
      <w:tcPr>
        <w:shd w:val="clear" w:color="auto" w:fill="EBE6DC"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AD6B2" w:themeColor="accent5" w:themeTint="99"/>
        <w:bottom w:val="single" w:sz="2" w:space="0" w:color="DAD6B2" w:themeColor="accent5" w:themeTint="99"/>
        <w:insideH w:val="single" w:sz="2" w:space="0" w:color="DAD6B2" w:themeColor="accent5" w:themeTint="99"/>
        <w:insideV w:val="single" w:sz="2" w:space="0" w:color="DAD6B2" w:themeColor="accent5" w:themeTint="99"/>
      </w:tblBorders>
    </w:tblPr>
    <w:tblStylePr w:type="firstRow">
      <w:rPr>
        <w:b/>
        <w:bCs/>
      </w:rPr>
      <w:tblPr/>
      <w:tcPr>
        <w:tcBorders>
          <w:top w:val="nil"/>
          <w:bottom w:val="single" w:sz="12" w:space="0" w:color="DAD6B2" w:themeColor="accent5" w:themeTint="99"/>
          <w:insideH w:val="nil"/>
          <w:insideV w:val="nil"/>
        </w:tcBorders>
        <w:shd w:val="clear" w:color="auto" w:fill="FFFFFF" w:themeFill="background1"/>
      </w:tcPr>
    </w:tblStylePr>
    <w:tblStylePr w:type="lastRow">
      <w:rPr>
        <w:b/>
        <w:bCs/>
      </w:rPr>
      <w:tblPr/>
      <w:tcPr>
        <w:tcBorders>
          <w:top w:val="double" w:sz="2" w:space="0" w:color="DAD6B2"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F1E5" w:themeFill="accent5" w:themeFillTint="33"/>
      </w:tcPr>
    </w:tblStylePr>
    <w:tblStylePr w:type="band1Horz">
      <w:tblPr/>
      <w:tcPr>
        <w:shd w:val="clear" w:color="auto" w:fill="F2F1E5"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BEC6B7" w:themeColor="accent6" w:themeTint="99"/>
        <w:bottom w:val="single" w:sz="2" w:space="0" w:color="BEC6B7" w:themeColor="accent6" w:themeTint="99"/>
        <w:insideH w:val="single" w:sz="2" w:space="0" w:color="BEC6B7" w:themeColor="accent6" w:themeTint="99"/>
        <w:insideV w:val="single" w:sz="2" w:space="0" w:color="BEC6B7" w:themeColor="accent6" w:themeTint="99"/>
      </w:tblBorders>
    </w:tblPr>
    <w:tblStylePr w:type="firstRow">
      <w:rPr>
        <w:b/>
        <w:bCs/>
      </w:rPr>
      <w:tblPr/>
      <w:tcPr>
        <w:tcBorders>
          <w:top w:val="nil"/>
          <w:bottom w:val="single" w:sz="12" w:space="0" w:color="BEC6B7" w:themeColor="accent6" w:themeTint="99"/>
          <w:insideH w:val="nil"/>
          <w:insideV w:val="nil"/>
        </w:tcBorders>
        <w:shd w:val="clear" w:color="auto" w:fill="FFFFFF" w:themeFill="background1"/>
      </w:tcPr>
    </w:tblStylePr>
    <w:tblStylePr w:type="lastRow">
      <w:rPr>
        <w:b/>
        <w:bCs/>
      </w:rPr>
      <w:tblPr/>
      <w:tcPr>
        <w:tcBorders>
          <w:top w:val="double" w:sz="2" w:space="0" w:color="BEC6B7"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9ECE7" w:themeFill="accent6" w:themeFillTint="33"/>
      </w:tcPr>
    </w:tblStylePr>
    <w:tblStylePr w:type="band1Horz">
      <w:tblPr/>
      <w:tcPr>
        <w:shd w:val="clear" w:color="auto" w:fill="E9ECE7"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F3B46B" w:themeColor="accent1" w:themeTint="99"/>
        <w:left w:val="single" w:sz="4" w:space="0" w:color="F3B46B" w:themeColor="accent1" w:themeTint="99"/>
        <w:bottom w:val="single" w:sz="4" w:space="0" w:color="F3B46B" w:themeColor="accent1" w:themeTint="99"/>
        <w:right w:val="single" w:sz="4" w:space="0" w:color="F3B46B" w:themeColor="accent1" w:themeTint="99"/>
        <w:insideH w:val="single" w:sz="4" w:space="0" w:color="F3B46B" w:themeColor="accent1" w:themeTint="99"/>
        <w:insideV w:val="single" w:sz="4" w:space="0" w:color="F3B46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6CD" w:themeFill="accent1" w:themeFillTint="33"/>
      </w:tcPr>
    </w:tblStylePr>
    <w:tblStylePr w:type="band1Horz">
      <w:tblPr/>
      <w:tcPr>
        <w:shd w:val="clear" w:color="auto" w:fill="FBE6CD" w:themeFill="accent1" w:themeFillTint="33"/>
      </w:tcPr>
    </w:tblStylePr>
    <w:tblStylePr w:type="neCell">
      <w:tblPr/>
      <w:tcPr>
        <w:tcBorders>
          <w:bottom w:val="single" w:sz="4" w:space="0" w:color="F3B46B" w:themeColor="accent1" w:themeTint="99"/>
        </w:tcBorders>
      </w:tcPr>
    </w:tblStylePr>
    <w:tblStylePr w:type="nwCell">
      <w:tblPr/>
      <w:tcPr>
        <w:tcBorders>
          <w:bottom w:val="single" w:sz="4" w:space="0" w:color="F3B46B" w:themeColor="accent1" w:themeTint="99"/>
        </w:tcBorders>
      </w:tcPr>
    </w:tblStylePr>
    <w:tblStylePr w:type="seCell">
      <w:tblPr/>
      <w:tcPr>
        <w:tcBorders>
          <w:top w:val="single" w:sz="4" w:space="0" w:color="F3B46B" w:themeColor="accent1" w:themeTint="99"/>
        </w:tcBorders>
      </w:tcPr>
    </w:tblStylePr>
    <w:tblStylePr w:type="swCell">
      <w:tblPr/>
      <w:tcPr>
        <w:tcBorders>
          <w:top w:val="single" w:sz="4" w:space="0" w:color="F3B46B"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DF9778" w:themeColor="accent2" w:themeTint="99"/>
        <w:left w:val="single" w:sz="4" w:space="0" w:color="DF9778" w:themeColor="accent2" w:themeTint="99"/>
        <w:bottom w:val="single" w:sz="4" w:space="0" w:color="DF9778" w:themeColor="accent2" w:themeTint="99"/>
        <w:right w:val="single" w:sz="4" w:space="0" w:color="DF9778" w:themeColor="accent2" w:themeTint="99"/>
        <w:insideH w:val="single" w:sz="4" w:space="0" w:color="DF9778" w:themeColor="accent2" w:themeTint="99"/>
        <w:insideV w:val="single" w:sz="4" w:space="0" w:color="DF9778"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DCD1" w:themeFill="accent2" w:themeFillTint="33"/>
      </w:tcPr>
    </w:tblStylePr>
    <w:tblStylePr w:type="band1Horz">
      <w:tblPr/>
      <w:tcPr>
        <w:shd w:val="clear" w:color="auto" w:fill="F4DCD1" w:themeFill="accent2" w:themeFillTint="33"/>
      </w:tcPr>
    </w:tblStylePr>
    <w:tblStylePr w:type="neCell">
      <w:tblPr/>
      <w:tcPr>
        <w:tcBorders>
          <w:bottom w:val="single" w:sz="4" w:space="0" w:color="DF9778" w:themeColor="accent2" w:themeTint="99"/>
        </w:tcBorders>
      </w:tcPr>
    </w:tblStylePr>
    <w:tblStylePr w:type="nwCell">
      <w:tblPr/>
      <w:tcPr>
        <w:tcBorders>
          <w:bottom w:val="single" w:sz="4" w:space="0" w:color="DF9778" w:themeColor="accent2" w:themeTint="99"/>
        </w:tcBorders>
      </w:tcPr>
    </w:tblStylePr>
    <w:tblStylePr w:type="seCell">
      <w:tblPr/>
      <w:tcPr>
        <w:tcBorders>
          <w:top w:val="single" w:sz="4" w:space="0" w:color="DF9778" w:themeColor="accent2" w:themeTint="99"/>
        </w:tcBorders>
      </w:tcPr>
    </w:tblStylePr>
    <w:tblStylePr w:type="swCell">
      <w:tblPr/>
      <w:tcPr>
        <w:tcBorders>
          <w:top w:val="single" w:sz="4" w:space="0" w:color="DF9778"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C29480" w:themeColor="accent3" w:themeTint="99"/>
        <w:left w:val="single" w:sz="4" w:space="0" w:color="C29480" w:themeColor="accent3" w:themeTint="99"/>
        <w:bottom w:val="single" w:sz="4" w:space="0" w:color="C29480" w:themeColor="accent3" w:themeTint="99"/>
        <w:right w:val="single" w:sz="4" w:space="0" w:color="C29480" w:themeColor="accent3" w:themeTint="99"/>
        <w:insideH w:val="single" w:sz="4" w:space="0" w:color="C29480" w:themeColor="accent3" w:themeTint="99"/>
        <w:insideV w:val="single" w:sz="4" w:space="0" w:color="C2948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DBD4" w:themeFill="accent3" w:themeFillTint="33"/>
      </w:tcPr>
    </w:tblStylePr>
    <w:tblStylePr w:type="band1Horz">
      <w:tblPr/>
      <w:tcPr>
        <w:shd w:val="clear" w:color="auto" w:fill="EADBD4" w:themeFill="accent3" w:themeFillTint="33"/>
      </w:tcPr>
    </w:tblStylePr>
    <w:tblStylePr w:type="neCell">
      <w:tblPr/>
      <w:tcPr>
        <w:tcBorders>
          <w:bottom w:val="single" w:sz="4" w:space="0" w:color="C29480" w:themeColor="accent3" w:themeTint="99"/>
        </w:tcBorders>
      </w:tcPr>
    </w:tblStylePr>
    <w:tblStylePr w:type="nwCell">
      <w:tblPr/>
      <w:tcPr>
        <w:tcBorders>
          <w:bottom w:val="single" w:sz="4" w:space="0" w:color="C29480" w:themeColor="accent3" w:themeTint="99"/>
        </w:tcBorders>
      </w:tcPr>
    </w:tblStylePr>
    <w:tblStylePr w:type="seCell">
      <w:tblPr/>
      <w:tcPr>
        <w:tcBorders>
          <w:top w:val="single" w:sz="4" w:space="0" w:color="C29480" w:themeColor="accent3" w:themeTint="99"/>
        </w:tcBorders>
      </w:tcPr>
    </w:tblStylePr>
    <w:tblStylePr w:type="swCell">
      <w:tblPr/>
      <w:tcPr>
        <w:tcBorders>
          <w:top w:val="single" w:sz="4" w:space="0" w:color="C29480"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C5B597" w:themeColor="accent4" w:themeTint="99"/>
        <w:left w:val="single" w:sz="4" w:space="0" w:color="C5B597" w:themeColor="accent4" w:themeTint="99"/>
        <w:bottom w:val="single" w:sz="4" w:space="0" w:color="C5B597" w:themeColor="accent4" w:themeTint="99"/>
        <w:right w:val="single" w:sz="4" w:space="0" w:color="C5B597" w:themeColor="accent4" w:themeTint="99"/>
        <w:insideH w:val="single" w:sz="4" w:space="0" w:color="C5B597" w:themeColor="accent4" w:themeTint="99"/>
        <w:insideV w:val="single" w:sz="4" w:space="0" w:color="C5B59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BE6DC" w:themeFill="accent4" w:themeFillTint="33"/>
      </w:tcPr>
    </w:tblStylePr>
    <w:tblStylePr w:type="band1Horz">
      <w:tblPr/>
      <w:tcPr>
        <w:shd w:val="clear" w:color="auto" w:fill="EBE6DC" w:themeFill="accent4" w:themeFillTint="33"/>
      </w:tcPr>
    </w:tblStylePr>
    <w:tblStylePr w:type="neCell">
      <w:tblPr/>
      <w:tcPr>
        <w:tcBorders>
          <w:bottom w:val="single" w:sz="4" w:space="0" w:color="C5B597" w:themeColor="accent4" w:themeTint="99"/>
        </w:tcBorders>
      </w:tcPr>
    </w:tblStylePr>
    <w:tblStylePr w:type="nwCell">
      <w:tblPr/>
      <w:tcPr>
        <w:tcBorders>
          <w:bottom w:val="single" w:sz="4" w:space="0" w:color="C5B597" w:themeColor="accent4" w:themeTint="99"/>
        </w:tcBorders>
      </w:tcPr>
    </w:tblStylePr>
    <w:tblStylePr w:type="seCell">
      <w:tblPr/>
      <w:tcPr>
        <w:tcBorders>
          <w:top w:val="single" w:sz="4" w:space="0" w:color="C5B597" w:themeColor="accent4" w:themeTint="99"/>
        </w:tcBorders>
      </w:tcPr>
    </w:tblStylePr>
    <w:tblStylePr w:type="swCell">
      <w:tblPr/>
      <w:tcPr>
        <w:tcBorders>
          <w:top w:val="single" w:sz="4" w:space="0" w:color="C5B597"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AD6B2" w:themeColor="accent5" w:themeTint="99"/>
        <w:left w:val="single" w:sz="4" w:space="0" w:color="DAD6B2" w:themeColor="accent5" w:themeTint="99"/>
        <w:bottom w:val="single" w:sz="4" w:space="0" w:color="DAD6B2" w:themeColor="accent5" w:themeTint="99"/>
        <w:right w:val="single" w:sz="4" w:space="0" w:color="DAD6B2" w:themeColor="accent5" w:themeTint="99"/>
        <w:insideH w:val="single" w:sz="4" w:space="0" w:color="DAD6B2" w:themeColor="accent5" w:themeTint="99"/>
        <w:insideV w:val="single" w:sz="4" w:space="0" w:color="DAD6B2"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F1E5" w:themeFill="accent5" w:themeFillTint="33"/>
      </w:tcPr>
    </w:tblStylePr>
    <w:tblStylePr w:type="band1Horz">
      <w:tblPr/>
      <w:tcPr>
        <w:shd w:val="clear" w:color="auto" w:fill="F2F1E5" w:themeFill="accent5" w:themeFillTint="33"/>
      </w:tcPr>
    </w:tblStylePr>
    <w:tblStylePr w:type="neCell">
      <w:tblPr/>
      <w:tcPr>
        <w:tcBorders>
          <w:bottom w:val="single" w:sz="4" w:space="0" w:color="DAD6B2" w:themeColor="accent5" w:themeTint="99"/>
        </w:tcBorders>
      </w:tcPr>
    </w:tblStylePr>
    <w:tblStylePr w:type="nwCell">
      <w:tblPr/>
      <w:tcPr>
        <w:tcBorders>
          <w:bottom w:val="single" w:sz="4" w:space="0" w:color="DAD6B2" w:themeColor="accent5" w:themeTint="99"/>
        </w:tcBorders>
      </w:tcPr>
    </w:tblStylePr>
    <w:tblStylePr w:type="seCell">
      <w:tblPr/>
      <w:tcPr>
        <w:tcBorders>
          <w:top w:val="single" w:sz="4" w:space="0" w:color="DAD6B2" w:themeColor="accent5" w:themeTint="99"/>
        </w:tcBorders>
      </w:tcPr>
    </w:tblStylePr>
    <w:tblStylePr w:type="swCell">
      <w:tblPr/>
      <w:tcPr>
        <w:tcBorders>
          <w:top w:val="single" w:sz="4" w:space="0" w:color="DAD6B2"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BEC6B7" w:themeColor="accent6" w:themeTint="99"/>
        <w:left w:val="single" w:sz="4" w:space="0" w:color="BEC6B7" w:themeColor="accent6" w:themeTint="99"/>
        <w:bottom w:val="single" w:sz="4" w:space="0" w:color="BEC6B7" w:themeColor="accent6" w:themeTint="99"/>
        <w:right w:val="single" w:sz="4" w:space="0" w:color="BEC6B7" w:themeColor="accent6" w:themeTint="99"/>
        <w:insideH w:val="single" w:sz="4" w:space="0" w:color="BEC6B7" w:themeColor="accent6" w:themeTint="99"/>
        <w:insideV w:val="single" w:sz="4" w:space="0" w:color="BEC6B7"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9ECE7" w:themeFill="accent6" w:themeFillTint="33"/>
      </w:tcPr>
    </w:tblStylePr>
    <w:tblStylePr w:type="band1Horz">
      <w:tblPr/>
      <w:tcPr>
        <w:shd w:val="clear" w:color="auto" w:fill="E9ECE7" w:themeFill="accent6" w:themeFillTint="33"/>
      </w:tcPr>
    </w:tblStylePr>
    <w:tblStylePr w:type="neCell">
      <w:tblPr/>
      <w:tcPr>
        <w:tcBorders>
          <w:bottom w:val="single" w:sz="4" w:space="0" w:color="BEC6B7" w:themeColor="accent6" w:themeTint="99"/>
        </w:tcBorders>
      </w:tcPr>
    </w:tblStylePr>
    <w:tblStylePr w:type="nwCell">
      <w:tblPr/>
      <w:tcPr>
        <w:tcBorders>
          <w:bottom w:val="single" w:sz="4" w:space="0" w:color="BEC6B7" w:themeColor="accent6" w:themeTint="99"/>
        </w:tcBorders>
      </w:tcPr>
    </w:tblStylePr>
    <w:tblStylePr w:type="seCell">
      <w:tblPr/>
      <w:tcPr>
        <w:tcBorders>
          <w:top w:val="single" w:sz="4" w:space="0" w:color="BEC6B7" w:themeColor="accent6" w:themeTint="99"/>
        </w:tcBorders>
      </w:tcPr>
    </w:tblStylePr>
    <w:tblStylePr w:type="swCell">
      <w:tblPr/>
      <w:tcPr>
        <w:tcBorders>
          <w:top w:val="single" w:sz="4" w:space="0" w:color="BEC6B7"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F3B46B" w:themeColor="accent1" w:themeTint="99"/>
        <w:left w:val="single" w:sz="4" w:space="0" w:color="F3B46B" w:themeColor="accent1" w:themeTint="99"/>
        <w:bottom w:val="single" w:sz="4" w:space="0" w:color="F3B46B" w:themeColor="accent1" w:themeTint="99"/>
        <w:right w:val="single" w:sz="4" w:space="0" w:color="F3B46B" w:themeColor="accent1" w:themeTint="99"/>
        <w:insideH w:val="single" w:sz="4" w:space="0" w:color="F3B46B" w:themeColor="accent1" w:themeTint="99"/>
        <w:insideV w:val="single" w:sz="4" w:space="0" w:color="F3B46B" w:themeColor="accent1" w:themeTint="99"/>
      </w:tblBorders>
    </w:tblPr>
    <w:tblStylePr w:type="firstRow">
      <w:rPr>
        <w:b/>
        <w:bCs/>
        <w:color w:val="FFFFFF" w:themeColor="background1"/>
      </w:rPr>
      <w:tblPr/>
      <w:tcPr>
        <w:tcBorders>
          <w:top w:val="single" w:sz="4" w:space="0" w:color="E48312" w:themeColor="accent1"/>
          <w:left w:val="single" w:sz="4" w:space="0" w:color="E48312" w:themeColor="accent1"/>
          <w:bottom w:val="single" w:sz="4" w:space="0" w:color="E48312" w:themeColor="accent1"/>
          <w:right w:val="single" w:sz="4" w:space="0" w:color="E48312" w:themeColor="accent1"/>
          <w:insideH w:val="nil"/>
          <w:insideV w:val="nil"/>
        </w:tcBorders>
        <w:shd w:val="clear" w:color="auto" w:fill="E48312" w:themeFill="accent1"/>
      </w:tcPr>
    </w:tblStylePr>
    <w:tblStylePr w:type="lastRow">
      <w:rPr>
        <w:b/>
        <w:bCs/>
      </w:rPr>
      <w:tblPr/>
      <w:tcPr>
        <w:tcBorders>
          <w:top w:val="double" w:sz="4" w:space="0" w:color="E48312" w:themeColor="accent1"/>
        </w:tcBorders>
      </w:tcPr>
    </w:tblStylePr>
    <w:tblStylePr w:type="firstCol">
      <w:rPr>
        <w:b/>
        <w:bCs/>
      </w:rPr>
    </w:tblStylePr>
    <w:tblStylePr w:type="lastCol">
      <w:rPr>
        <w:b/>
        <w:bCs/>
      </w:rPr>
    </w:tblStylePr>
    <w:tblStylePr w:type="band1Vert">
      <w:tblPr/>
      <w:tcPr>
        <w:shd w:val="clear" w:color="auto" w:fill="FBE6CD" w:themeFill="accent1" w:themeFillTint="33"/>
      </w:tcPr>
    </w:tblStylePr>
    <w:tblStylePr w:type="band1Horz">
      <w:tblPr/>
      <w:tcPr>
        <w:shd w:val="clear" w:color="auto" w:fill="FBE6CD"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DF9778" w:themeColor="accent2" w:themeTint="99"/>
        <w:left w:val="single" w:sz="4" w:space="0" w:color="DF9778" w:themeColor="accent2" w:themeTint="99"/>
        <w:bottom w:val="single" w:sz="4" w:space="0" w:color="DF9778" w:themeColor="accent2" w:themeTint="99"/>
        <w:right w:val="single" w:sz="4" w:space="0" w:color="DF9778" w:themeColor="accent2" w:themeTint="99"/>
        <w:insideH w:val="single" w:sz="4" w:space="0" w:color="DF9778" w:themeColor="accent2" w:themeTint="99"/>
        <w:insideV w:val="single" w:sz="4" w:space="0" w:color="DF9778" w:themeColor="accent2" w:themeTint="99"/>
      </w:tblBorders>
    </w:tblPr>
    <w:tblStylePr w:type="firstRow">
      <w:rPr>
        <w:b/>
        <w:bCs/>
        <w:color w:val="FFFFFF" w:themeColor="background1"/>
      </w:rPr>
      <w:tblPr/>
      <w:tcPr>
        <w:tcBorders>
          <w:top w:val="single" w:sz="4" w:space="0" w:color="BD582C" w:themeColor="accent2"/>
          <w:left w:val="single" w:sz="4" w:space="0" w:color="BD582C" w:themeColor="accent2"/>
          <w:bottom w:val="single" w:sz="4" w:space="0" w:color="BD582C" w:themeColor="accent2"/>
          <w:right w:val="single" w:sz="4" w:space="0" w:color="BD582C" w:themeColor="accent2"/>
          <w:insideH w:val="nil"/>
          <w:insideV w:val="nil"/>
        </w:tcBorders>
        <w:shd w:val="clear" w:color="auto" w:fill="BD582C" w:themeFill="accent2"/>
      </w:tcPr>
    </w:tblStylePr>
    <w:tblStylePr w:type="lastRow">
      <w:rPr>
        <w:b/>
        <w:bCs/>
      </w:rPr>
      <w:tblPr/>
      <w:tcPr>
        <w:tcBorders>
          <w:top w:val="double" w:sz="4" w:space="0" w:color="BD582C" w:themeColor="accent2"/>
        </w:tcBorders>
      </w:tcPr>
    </w:tblStylePr>
    <w:tblStylePr w:type="firstCol">
      <w:rPr>
        <w:b/>
        <w:bCs/>
      </w:rPr>
    </w:tblStylePr>
    <w:tblStylePr w:type="lastCol">
      <w:rPr>
        <w:b/>
        <w:bCs/>
      </w:rPr>
    </w:tblStylePr>
    <w:tblStylePr w:type="band1Vert">
      <w:tblPr/>
      <w:tcPr>
        <w:shd w:val="clear" w:color="auto" w:fill="F4DCD1" w:themeFill="accent2" w:themeFillTint="33"/>
      </w:tcPr>
    </w:tblStylePr>
    <w:tblStylePr w:type="band1Horz">
      <w:tblPr/>
      <w:tcPr>
        <w:shd w:val="clear" w:color="auto" w:fill="F4DCD1"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C29480" w:themeColor="accent3" w:themeTint="99"/>
        <w:left w:val="single" w:sz="4" w:space="0" w:color="C29480" w:themeColor="accent3" w:themeTint="99"/>
        <w:bottom w:val="single" w:sz="4" w:space="0" w:color="C29480" w:themeColor="accent3" w:themeTint="99"/>
        <w:right w:val="single" w:sz="4" w:space="0" w:color="C29480" w:themeColor="accent3" w:themeTint="99"/>
        <w:insideH w:val="single" w:sz="4" w:space="0" w:color="C29480" w:themeColor="accent3" w:themeTint="99"/>
        <w:insideV w:val="single" w:sz="4" w:space="0" w:color="C29480" w:themeColor="accent3" w:themeTint="99"/>
      </w:tblBorders>
    </w:tblPr>
    <w:tblStylePr w:type="firstRow">
      <w:rPr>
        <w:b/>
        <w:bCs/>
        <w:color w:val="FFFFFF" w:themeColor="background1"/>
      </w:rPr>
      <w:tblPr/>
      <w:tcPr>
        <w:tcBorders>
          <w:top w:val="single" w:sz="4" w:space="0" w:color="865640" w:themeColor="accent3"/>
          <w:left w:val="single" w:sz="4" w:space="0" w:color="865640" w:themeColor="accent3"/>
          <w:bottom w:val="single" w:sz="4" w:space="0" w:color="865640" w:themeColor="accent3"/>
          <w:right w:val="single" w:sz="4" w:space="0" w:color="865640" w:themeColor="accent3"/>
          <w:insideH w:val="nil"/>
          <w:insideV w:val="nil"/>
        </w:tcBorders>
        <w:shd w:val="clear" w:color="auto" w:fill="865640" w:themeFill="accent3"/>
      </w:tcPr>
    </w:tblStylePr>
    <w:tblStylePr w:type="lastRow">
      <w:rPr>
        <w:b/>
        <w:bCs/>
      </w:rPr>
      <w:tblPr/>
      <w:tcPr>
        <w:tcBorders>
          <w:top w:val="double" w:sz="4" w:space="0" w:color="865640" w:themeColor="accent3"/>
        </w:tcBorders>
      </w:tcPr>
    </w:tblStylePr>
    <w:tblStylePr w:type="firstCol">
      <w:rPr>
        <w:b/>
        <w:bCs/>
      </w:rPr>
    </w:tblStylePr>
    <w:tblStylePr w:type="lastCol">
      <w:rPr>
        <w:b/>
        <w:bCs/>
      </w:rPr>
    </w:tblStylePr>
    <w:tblStylePr w:type="band1Vert">
      <w:tblPr/>
      <w:tcPr>
        <w:shd w:val="clear" w:color="auto" w:fill="EADBD4" w:themeFill="accent3" w:themeFillTint="33"/>
      </w:tcPr>
    </w:tblStylePr>
    <w:tblStylePr w:type="band1Horz">
      <w:tblPr/>
      <w:tcPr>
        <w:shd w:val="clear" w:color="auto" w:fill="EADBD4"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C5B597" w:themeColor="accent4" w:themeTint="99"/>
        <w:left w:val="single" w:sz="4" w:space="0" w:color="C5B597" w:themeColor="accent4" w:themeTint="99"/>
        <w:bottom w:val="single" w:sz="4" w:space="0" w:color="C5B597" w:themeColor="accent4" w:themeTint="99"/>
        <w:right w:val="single" w:sz="4" w:space="0" w:color="C5B597" w:themeColor="accent4" w:themeTint="99"/>
        <w:insideH w:val="single" w:sz="4" w:space="0" w:color="C5B597" w:themeColor="accent4" w:themeTint="99"/>
        <w:insideV w:val="single" w:sz="4" w:space="0" w:color="C5B597" w:themeColor="accent4" w:themeTint="99"/>
      </w:tblBorders>
    </w:tblPr>
    <w:tblStylePr w:type="firstRow">
      <w:rPr>
        <w:b/>
        <w:bCs/>
        <w:color w:val="FFFFFF" w:themeColor="background1"/>
      </w:rPr>
      <w:tblPr/>
      <w:tcPr>
        <w:tcBorders>
          <w:top w:val="single" w:sz="4" w:space="0" w:color="9B8357" w:themeColor="accent4"/>
          <w:left w:val="single" w:sz="4" w:space="0" w:color="9B8357" w:themeColor="accent4"/>
          <w:bottom w:val="single" w:sz="4" w:space="0" w:color="9B8357" w:themeColor="accent4"/>
          <w:right w:val="single" w:sz="4" w:space="0" w:color="9B8357" w:themeColor="accent4"/>
          <w:insideH w:val="nil"/>
          <w:insideV w:val="nil"/>
        </w:tcBorders>
        <w:shd w:val="clear" w:color="auto" w:fill="9B8357" w:themeFill="accent4"/>
      </w:tcPr>
    </w:tblStylePr>
    <w:tblStylePr w:type="lastRow">
      <w:rPr>
        <w:b/>
        <w:bCs/>
      </w:rPr>
      <w:tblPr/>
      <w:tcPr>
        <w:tcBorders>
          <w:top w:val="double" w:sz="4" w:space="0" w:color="9B8357" w:themeColor="accent4"/>
        </w:tcBorders>
      </w:tcPr>
    </w:tblStylePr>
    <w:tblStylePr w:type="firstCol">
      <w:rPr>
        <w:b/>
        <w:bCs/>
      </w:rPr>
    </w:tblStylePr>
    <w:tblStylePr w:type="lastCol">
      <w:rPr>
        <w:b/>
        <w:bCs/>
      </w:rPr>
    </w:tblStylePr>
    <w:tblStylePr w:type="band1Vert">
      <w:tblPr/>
      <w:tcPr>
        <w:shd w:val="clear" w:color="auto" w:fill="EBE6DC" w:themeFill="accent4" w:themeFillTint="33"/>
      </w:tcPr>
    </w:tblStylePr>
    <w:tblStylePr w:type="band1Horz">
      <w:tblPr/>
      <w:tcPr>
        <w:shd w:val="clear" w:color="auto" w:fill="EBE6DC"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AD6B2" w:themeColor="accent5" w:themeTint="99"/>
        <w:left w:val="single" w:sz="4" w:space="0" w:color="DAD6B2" w:themeColor="accent5" w:themeTint="99"/>
        <w:bottom w:val="single" w:sz="4" w:space="0" w:color="DAD6B2" w:themeColor="accent5" w:themeTint="99"/>
        <w:right w:val="single" w:sz="4" w:space="0" w:color="DAD6B2" w:themeColor="accent5" w:themeTint="99"/>
        <w:insideH w:val="single" w:sz="4" w:space="0" w:color="DAD6B2" w:themeColor="accent5" w:themeTint="99"/>
        <w:insideV w:val="single" w:sz="4" w:space="0" w:color="DAD6B2" w:themeColor="accent5" w:themeTint="99"/>
      </w:tblBorders>
    </w:tblPr>
    <w:tblStylePr w:type="firstRow">
      <w:rPr>
        <w:b/>
        <w:bCs/>
        <w:color w:val="FFFFFF" w:themeColor="background1"/>
      </w:rPr>
      <w:tblPr/>
      <w:tcPr>
        <w:tcBorders>
          <w:top w:val="single" w:sz="4" w:space="0" w:color="C2BC80" w:themeColor="accent5"/>
          <w:left w:val="single" w:sz="4" w:space="0" w:color="C2BC80" w:themeColor="accent5"/>
          <w:bottom w:val="single" w:sz="4" w:space="0" w:color="C2BC80" w:themeColor="accent5"/>
          <w:right w:val="single" w:sz="4" w:space="0" w:color="C2BC80" w:themeColor="accent5"/>
          <w:insideH w:val="nil"/>
          <w:insideV w:val="nil"/>
        </w:tcBorders>
        <w:shd w:val="clear" w:color="auto" w:fill="C2BC80" w:themeFill="accent5"/>
      </w:tcPr>
    </w:tblStylePr>
    <w:tblStylePr w:type="lastRow">
      <w:rPr>
        <w:b/>
        <w:bCs/>
      </w:rPr>
      <w:tblPr/>
      <w:tcPr>
        <w:tcBorders>
          <w:top w:val="double" w:sz="4" w:space="0" w:color="C2BC80" w:themeColor="accent5"/>
        </w:tcBorders>
      </w:tcPr>
    </w:tblStylePr>
    <w:tblStylePr w:type="firstCol">
      <w:rPr>
        <w:b/>
        <w:bCs/>
      </w:rPr>
    </w:tblStylePr>
    <w:tblStylePr w:type="lastCol">
      <w:rPr>
        <w:b/>
        <w:bCs/>
      </w:rPr>
    </w:tblStylePr>
    <w:tblStylePr w:type="band1Vert">
      <w:tblPr/>
      <w:tcPr>
        <w:shd w:val="clear" w:color="auto" w:fill="F2F1E5" w:themeFill="accent5" w:themeFillTint="33"/>
      </w:tcPr>
    </w:tblStylePr>
    <w:tblStylePr w:type="band1Horz">
      <w:tblPr/>
      <w:tcPr>
        <w:shd w:val="clear" w:color="auto" w:fill="F2F1E5"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BEC6B7" w:themeColor="accent6" w:themeTint="99"/>
        <w:left w:val="single" w:sz="4" w:space="0" w:color="BEC6B7" w:themeColor="accent6" w:themeTint="99"/>
        <w:bottom w:val="single" w:sz="4" w:space="0" w:color="BEC6B7" w:themeColor="accent6" w:themeTint="99"/>
        <w:right w:val="single" w:sz="4" w:space="0" w:color="BEC6B7" w:themeColor="accent6" w:themeTint="99"/>
        <w:insideH w:val="single" w:sz="4" w:space="0" w:color="BEC6B7" w:themeColor="accent6" w:themeTint="99"/>
        <w:insideV w:val="single" w:sz="4" w:space="0" w:color="BEC6B7" w:themeColor="accent6" w:themeTint="99"/>
      </w:tblBorders>
    </w:tblPr>
    <w:tblStylePr w:type="firstRow">
      <w:rPr>
        <w:b/>
        <w:bCs/>
        <w:color w:val="FFFFFF" w:themeColor="background1"/>
      </w:rPr>
      <w:tblPr/>
      <w:tcPr>
        <w:tcBorders>
          <w:top w:val="single" w:sz="4" w:space="0" w:color="94A088" w:themeColor="accent6"/>
          <w:left w:val="single" w:sz="4" w:space="0" w:color="94A088" w:themeColor="accent6"/>
          <w:bottom w:val="single" w:sz="4" w:space="0" w:color="94A088" w:themeColor="accent6"/>
          <w:right w:val="single" w:sz="4" w:space="0" w:color="94A088" w:themeColor="accent6"/>
          <w:insideH w:val="nil"/>
          <w:insideV w:val="nil"/>
        </w:tcBorders>
        <w:shd w:val="clear" w:color="auto" w:fill="94A088" w:themeFill="accent6"/>
      </w:tcPr>
    </w:tblStylePr>
    <w:tblStylePr w:type="lastRow">
      <w:rPr>
        <w:b/>
        <w:bCs/>
      </w:rPr>
      <w:tblPr/>
      <w:tcPr>
        <w:tcBorders>
          <w:top w:val="double" w:sz="4" w:space="0" w:color="94A088" w:themeColor="accent6"/>
        </w:tcBorders>
      </w:tcPr>
    </w:tblStylePr>
    <w:tblStylePr w:type="firstCol">
      <w:rPr>
        <w:b/>
        <w:bCs/>
      </w:rPr>
    </w:tblStylePr>
    <w:tblStylePr w:type="lastCol">
      <w:rPr>
        <w:b/>
        <w:bCs/>
      </w:rPr>
    </w:tblStylePr>
    <w:tblStylePr w:type="band1Vert">
      <w:tblPr/>
      <w:tcPr>
        <w:shd w:val="clear" w:color="auto" w:fill="E9ECE7" w:themeFill="accent6" w:themeFillTint="33"/>
      </w:tcPr>
    </w:tblStylePr>
    <w:tblStylePr w:type="band1Horz">
      <w:tblPr/>
      <w:tcPr>
        <w:shd w:val="clear" w:color="auto" w:fill="E9ECE7"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6CD"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4831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4831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4831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48312" w:themeFill="accent1"/>
      </w:tcPr>
    </w:tblStylePr>
    <w:tblStylePr w:type="band1Vert">
      <w:tblPr/>
      <w:tcPr>
        <w:shd w:val="clear" w:color="auto" w:fill="F7CD9D" w:themeFill="accent1" w:themeFillTint="66"/>
      </w:tcPr>
    </w:tblStylePr>
    <w:tblStylePr w:type="band1Horz">
      <w:tblPr/>
      <w:tcPr>
        <w:shd w:val="clear" w:color="auto" w:fill="F7CD9D"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4DCD1"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D582C"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D582C"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D582C"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D582C" w:themeFill="accent2"/>
      </w:tcPr>
    </w:tblStylePr>
    <w:tblStylePr w:type="band1Vert">
      <w:tblPr/>
      <w:tcPr>
        <w:shd w:val="clear" w:color="auto" w:fill="EAB9A4" w:themeFill="accent2" w:themeFillTint="66"/>
      </w:tcPr>
    </w:tblStylePr>
    <w:tblStylePr w:type="band1Horz">
      <w:tblPr/>
      <w:tcPr>
        <w:shd w:val="clear" w:color="auto" w:fill="EAB9A4"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DBD4"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65640"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65640"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65640"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65640" w:themeFill="accent3"/>
      </w:tcPr>
    </w:tblStylePr>
    <w:tblStylePr w:type="band1Vert">
      <w:tblPr/>
      <w:tcPr>
        <w:shd w:val="clear" w:color="auto" w:fill="D6B8AA" w:themeFill="accent3" w:themeFillTint="66"/>
      </w:tcPr>
    </w:tblStylePr>
    <w:tblStylePr w:type="band1Horz">
      <w:tblPr/>
      <w:tcPr>
        <w:shd w:val="clear" w:color="auto" w:fill="D6B8AA"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BE6D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8357"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8357"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8357"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8357" w:themeFill="accent4"/>
      </w:tcPr>
    </w:tblStylePr>
    <w:tblStylePr w:type="band1Vert">
      <w:tblPr/>
      <w:tcPr>
        <w:shd w:val="clear" w:color="auto" w:fill="D8CDBA" w:themeFill="accent4" w:themeFillTint="66"/>
      </w:tcPr>
    </w:tblStylePr>
    <w:tblStylePr w:type="band1Horz">
      <w:tblPr/>
      <w:tcPr>
        <w:shd w:val="clear" w:color="auto" w:fill="D8CDBA"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1E5"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2BC80"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2BC80"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2BC80"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2BC80" w:themeFill="accent5"/>
      </w:tcPr>
    </w:tblStylePr>
    <w:tblStylePr w:type="band1Vert">
      <w:tblPr/>
      <w:tcPr>
        <w:shd w:val="clear" w:color="auto" w:fill="E6E4CC" w:themeFill="accent5" w:themeFillTint="66"/>
      </w:tcPr>
    </w:tblStylePr>
    <w:tblStylePr w:type="band1Horz">
      <w:tblPr/>
      <w:tcPr>
        <w:shd w:val="clear" w:color="auto" w:fill="E6E4C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9ECE7"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4A08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4A08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4A08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4A088" w:themeFill="accent6"/>
      </w:tcPr>
    </w:tblStylePr>
    <w:tblStylePr w:type="band1Vert">
      <w:tblPr/>
      <w:tcPr>
        <w:shd w:val="clear" w:color="auto" w:fill="D4D9CF" w:themeFill="accent6" w:themeFillTint="66"/>
      </w:tcPr>
    </w:tblStylePr>
    <w:tblStylePr w:type="band1Horz">
      <w:tblPr/>
      <w:tcPr>
        <w:shd w:val="clear" w:color="auto" w:fill="D4D9CF"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AA610D" w:themeColor="accent1" w:themeShade="BF"/>
    </w:rPr>
    <w:tblPr>
      <w:tblStyleRowBandSize w:val="1"/>
      <w:tblStyleColBandSize w:val="1"/>
      <w:tblBorders>
        <w:top w:val="single" w:sz="4" w:space="0" w:color="F3B46B" w:themeColor="accent1" w:themeTint="99"/>
        <w:left w:val="single" w:sz="4" w:space="0" w:color="F3B46B" w:themeColor="accent1" w:themeTint="99"/>
        <w:bottom w:val="single" w:sz="4" w:space="0" w:color="F3B46B" w:themeColor="accent1" w:themeTint="99"/>
        <w:right w:val="single" w:sz="4" w:space="0" w:color="F3B46B" w:themeColor="accent1" w:themeTint="99"/>
        <w:insideH w:val="single" w:sz="4" w:space="0" w:color="F3B46B" w:themeColor="accent1" w:themeTint="99"/>
        <w:insideV w:val="single" w:sz="4" w:space="0" w:color="F3B46B" w:themeColor="accent1" w:themeTint="99"/>
      </w:tblBorders>
    </w:tblPr>
    <w:tblStylePr w:type="firstRow">
      <w:rPr>
        <w:b/>
        <w:bCs/>
      </w:rPr>
      <w:tblPr/>
      <w:tcPr>
        <w:tcBorders>
          <w:bottom w:val="single" w:sz="12" w:space="0" w:color="F3B46B" w:themeColor="accent1" w:themeTint="99"/>
        </w:tcBorders>
      </w:tcPr>
    </w:tblStylePr>
    <w:tblStylePr w:type="lastRow">
      <w:rPr>
        <w:b/>
        <w:bCs/>
      </w:rPr>
      <w:tblPr/>
      <w:tcPr>
        <w:tcBorders>
          <w:top w:val="double" w:sz="4" w:space="0" w:color="F3B46B" w:themeColor="accent1" w:themeTint="99"/>
        </w:tcBorders>
      </w:tcPr>
    </w:tblStylePr>
    <w:tblStylePr w:type="firstCol">
      <w:rPr>
        <w:b/>
        <w:bCs/>
      </w:rPr>
    </w:tblStylePr>
    <w:tblStylePr w:type="lastCol">
      <w:rPr>
        <w:b/>
        <w:bCs/>
      </w:rPr>
    </w:tblStylePr>
    <w:tblStylePr w:type="band1Vert">
      <w:tblPr/>
      <w:tcPr>
        <w:shd w:val="clear" w:color="auto" w:fill="FBE6CD" w:themeFill="accent1" w:themeFillTint="33"/>
      </w:tcPr>
    </w:tblStylePr>
    <w:tblStylePr w:type="band1Horz">
      <w:tblPr/>
      <w:tcPr>
        <w:shd w:val="clear" w:color="auto" w:fill="FBE6CD"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8D4121" w:themeColor="accent2" w:themeShade="BF"/>
    </w:rPr>
    <w:tblPr>
      <w:tblStyleRowBandSize w:val="1"/>
      <w:tblStyleColBandSize w:val="1"/>
      <w:tblBorders>
        <w:top w:val="single" w:sz="4" w:space="0" w:color="DF9778" w:themeColor="accent2" w:themeTint="99"/>
        <w:left w:val="single" w:sz="4" w:space="0" w:color="DF9778" w:themeColor="accent2" w:themeTint="99"/>
        <w:bottom w:val="single" w:sz="4" w:space="0" w:color="DF9778" w:themeColor="accent2" w:themeTint="99"/>
        <w:right w:val="single" w:sz="4" w:space="0" w:color="DF9778" w:themeColor="accent2" w:themeTint="99"/>
        <w:insideH w:val="single" w:sz="4" w:space="0" w:color="DF9778" w:themeColor="accent2" w:themeTint="99"/>
        <w:insideV w:val="single" w:sz="4" w:space="0" w:color="DF9778" w:themeColor="accent2" w:themeTint="99"/>
      </w:tblBorders>
    </w:tblPr>
    <w:tblStylePr w:type="firstRow">
      <w:rPr>
        <w:b/>
        <w:bCs/>
      </w:rPr>
      <w:tblPr/>
      <w:tcPr>
        <w:tcBorders>
          <w:bottom w:val="single" w:sz="12" w:space="0" w:color="DF9778" w:themeColor="accent2" w:themeTint="99"/>
        </w:tcBorders>
      </w:tcPr>
    </w:tblStylePr>
    <w:tblStylePr w:type="lastRow">
      <w:rPr>
        <w:b/>
        <w:bCs/>
      </w:rPr>
      <w:tblPr/>
      <w:tcPr>
        <w:tcBorders>
          <w:top w:val="double" w:sz="4" w:space="0" w:color="DF9778" w:themeColor="accent2" w:themeTint="99"/>
        </w:tcBorders>
      </w:tcPr>
    </w:tblStylePr>
    <w:tblStylePr w:type="firstCol">
      <w:rPr>
        <w:b/>
        <w:bCs/>
      </w:rPr>
    </w:tblStylePr>
    <w:tblStylePr w:type="lastCol">
      <w:rPr>
        <w:b/>
        <w:bCs/>
      </w:rPr>
    </w:tblStylePr>
    <w:tblStylePr w:type="band1Vert">
      <w:tblPr/>
      <w:tcPr>
        <w:shd w:val="clear" w:color="auto" w:fill="F4DCD1" w:themeFill="accent2" w:themeFillTint="33"/>
      </w:tcPr>
    </w:tblStylePr>
    <w:tblStylePr w:type="band1Horz">
      <w:tblPr/>
      <w:tcPr>
        <w:shd w:val="clear" w:color="auto" w:fill="F4DCD1"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644030" w:themeColor="accent3" w:themeShade="BF"/>
    </w:rPr>
    <w:tblPr>
      <w:tblStyleRowBandSize w:val="1"/>
      <w:tblStyleColBandSize w:val="1"/>
      <w:tblBorders>
        <w:top w:val="single" w:sz="4" w:space="0" w:color="C29480" w:themeColor="accent3" w:themeTint="99"/>
        <w:left w:val="single" w:sz="4" w:space="0" w:color="C29480" w:themeColor="accent3" w:themeTint="99"/>
        <w:bottom w:val="single" w:sz="4" w:space="0" w:color="C29480" w:themeColor="accent3" w:themeTint="99"/>
        <w:right w:val="single" w:sz="4" w:space="0" w:color="C29480" w:themeColor="accent3" w:themeTint="99"/>
        <w:insideH w:val="single" w:sz="4" w:space="0" w:color="C29480" w:themeColor="accent3" w:themeTint="99"/>
        <w:insideV w:val="single" w:sz="4" w:space="0" w:color="C29480" w:themeColor="accent3" w:themeTint="99"/>
      </w:tblBorders>
    </w:tblPr>
    <w:tblStylePr w:type="firstRow">
      <w:rPr>
        <w:b/>
        <w:bCs/>
      </w:rPr>
      <w:tblPr/>
      <w:tcPr>
        <w:tcBorders>
          <w:bottom w:val="single" w:sz="12" w:space="0" w:color="C29480" w:themeColor="accent3" w:themeTint="99"/>
        </w:tcBorders>
      </w:tcPr>
    </w:tblStylePr>
    <w:tblStylePr w:type="lastRow">
      <w:rPr>
        <w:b/>
        <w:bCs/>
      </w:rPr>
      <w:tblPr/>
      <w:tcPr>
        <w:tcBorders>
          <w:top w:val="double" w:sz="4" w:space="0" w:color="C29480" w:themeColor="accent3" w:themeTint="99"/>
        </w:tcBorders>
      </w:tcPr>
    </w:tblStylePr>
    <w:tblStylePr w:type="firstCol">
      <w:rPr>
        <w:b/>
        <w:bCs/>
      </w:rPr>
    </w:tblStylePr>
    <w:tblStylePr w:type="lastCol">
      <w:rPr>
        <w:b/>
        <w:bCs/>
      </w:rPr>
    </w:tblStylePr>
    <w:tblStylePr w:type="band1Vert">
      <w:tblPr/>
      <w:tcPr>
        <w:shd w:val="clear" w:color="auto" w:fill="EADBD4" w:themeFill="accent3" w:themeFillTint="33"/>
      </w:tcPr>
    </w:tblStylePr>
    <w:tblStylePr w:type="band1Horz">
      <w:tblPr/>
      <w:tcPr>
        <w:shd w:val="clear" w:color="auto" w:fill="EADBD4"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736141" w:themeColor="accent4" w:themeShade="BF"/>
    </w:rPr>
    <w:tblPr>
      <w:tblStyleRowBandSize w:val="1"/>
      <w:tblStyleColBandSize w:val="1"/>
      <w:tblBorders>
        <w:top w:val="single" w:sz="4" w:space="0" w:color="C5B597" w:themeColor="accent4" w:themeTint="99"/>
        <w:left w:val="single" w:sz="4" w:space="0" w:color="C5B597" w:themeColor="accent4" w:themeTint="99"/>
        <w:bottom w:val="single" w:sz="4" w:space="0" w:color="C5B597" w:themeColor="accent4" w:themeTint="99"/>
        <w:right w:val="single" w:sz="4" w:space="0" w:color="C5B597" w:themeColor="accent4" w:themeTint="99"/>
        <w:insideH w:val="single" w:sz="4" w:space="0" w:color="C5B597" w:themeColor="accent4" w:themeTint="99"/>
        <w:insideV w:val="single" w:sz="4" w:space="0" w:color="C5B597" w:themeColor="accent4" w:themeTint="99"/>
      </w:tblBorders>
    </w:tblPr>
    <w:tblStylePr w:type="firstRow">
      <w:rPr>
        <w:b/>
        <w:bCs/>
      </w:rPr>
      <w:tblPr/>
      <w:tcPr>
        <w:tcBorders>
          <w:bottom w:val="single" w:sz="12" w:space="0" w:color="C5B597" w:themeColor="accent4" w:themeTint="99"/>
        </w:tcBorders>
      </w:tcPr>
    </w:tblStylePr>
    <w:tblStylePr w:type="lastRow">
      <w:rPr>
        <w:b/>
        <w:bCs/>
      </w:rPr>
      <w:tblPr/>
      <w:tcPr>
        <w:tcBorders>
          <w:top w:val="double" w:sz="4" w:space="0" w:color="C5B597" w:themeColor="accent4" w:themeTint="99"/>
        </w:tcBorders>
      </w:tcPr>
    </w:tblStylePr>
    <w:tblStylePr w:type="firstCol">
      <w:rPr>
        <w:b/>
        <w:bCs/>
      </w:rPr>
    </w:tblStylePr>
    <w:tblStylePr w:type="lastCol">
      <w:rPr>
        <w:b/>
        <w:bCs/>
      </w:rPr>
    </w:tblStylePr>
    <w:tblStylePr w:type="band1Vert">
      <w:tblPr/>
      <w:tcPr>
        <w:shd w:val="clear" w:color="auto" w:fill="EBE6DC" w:themeFill="accent4" w:themeFillTint="33"/>
      </w:tcPr>
    </w:tblStylePr>
    <w:tblStylePr w:type="band1Horz">
      <w:tblPr/>
      <w:tcPr>
        <w:shd w:val="clear" w:color="auto" w:fill="EBE6DC"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A29A4E" w:themeColor="accent5" w:themeShade="BF"/>
    </w:rPr>
    <w:tblPr>
      <w:tblStyleRowBandSize w:val="1"/>
      <w:tblStyleColBandSize w:val="1"/>
      <w:tblBorders>
        <w:top w:val="single" w:sz="4" w:space="0" w:color="DAD6B2" w:themeColor="accent5" w:themeTint="99"/>
        <w:left w:val="single" w:sz="4" w:space="0" w:color="DAD6B2" w:themeColor="accent5" w:themeTint="99"/>
        <w:bottom w:val="single" w:sz="4" w:space="0" w:color="DAD6B2" w:themeColor="accent5" w:themeTint="99"/>
        <w:right w:val="single" w:sz="4" w:space="0" w:color="DAD6B2" w:themeColor="accent5" w:themeTint="99"/>
        <w:insideH w:val="single" w:sz="4" w:space="0" w:color="DAD6B2" w:themeColor="accent5" w:themeTint="99"/>
        <w:insideV w:val="single" w:sz="4" w:space="0" w:color="DAD6B2" w:themeColor="accent5" w:themeTint="99"/>
      </w:tblBorders>
    </w:tblPr>
    <w:tblStylePr w:type="firstRow">
      <w:rPr>
        <w:b/>
        <w:bCs/>
      </w:rPr>
      <w:tblPr/>
      <w:tcPr>
        <w:tcBorders>
          <w:bottom w:val="single" w:sz="12" w:space="0" w:color="DAD6B2" w:themeColor="accent5" w:themeTint="99"/>
        </w:tcBorders>
      </w:tcPr>
    </w:tblStylePr>
    <w:tblStylePr w:type="lastRow">
      <w:rPr>
        <w:b/>
        <w:bCs/>
      </w:rPr>
      <w:tblPr/>
      <w:tcPr>
        <w:tcBorders>
          <w:top w:val="double" w:sz="4" w:space="0" w:color="DAD6B2" w:themeColor="accent5" w:themeTint="99"/>
        </w:tcBorders>
      </w:tcPr>
    </w:tblStylePr>
    <w:tblStylePr w:type="firstCol">
      <w:rPr>
        <w:b/>
        <w:bCs/>
      </w:rPr>
    </w:tblStylePr>
    <w:tblStylePr w:type="lastCol">
      <w:rPr>
        <w:b/>
        <w:bCs/>
      </w:rPr>
    </w:tblStylePr>
    <w:tblStylePr w:type="band1Vert">
      <w:tblPr/>
      <w:tcPr>
        <w:shd w:val="clear" w:color="auto" w:fill="F2F1E5" w:themeFill="accent5" w:themeFillTint="33"/>
      </w:tcPr>
    </w:tblStylePr>
    <w:tblStylePr w:type="band1Horz">
      <w:tblPr/>
      <w:tcPr>
        <w:shd w:val="clear" w:color="auto" w:fill="F2F1E5"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6E7B62" w:themeColor="accent6" w:themeShade="BF"/>
    </w:rPr>
    <w:tblPr>
      <w:tblStyleRowBandSize w:val="1"/>
      <w:tblStyleColBandSize w:val="1"/>
      <w:tblBorders>
        <w:top w:val="single" w:sz="4" w:space="0" w:color="BEC6B7" w:themeColor="accent6" w:themeTint="99"/>
        <w:left w:val="single" w:sz="4" w:space="0" w:color="BEC6B7" w:themeColor="accent6" w:themeTint="99"/>
        <w:bottom w:val="single" w:sz="4" w:space="0" w:color="BEC6B7" w:themeColor="accent6" w:themeTint="99"/>
        <w:right w:val="single" w:sz="4" w:space="0" w:color="BEC6B7" w:themeColor="accent6" w:themeTint="99"/>
        <w:insideH w:val="single" w:sz="4" w:space="0" w:color="BEC6B7" w:themeColor="accent6" w:themeTint="99"/>
        <w:insideV w:val="single" w:sz="4" w:space="0" w:color="BEC6B7" w:themeColor="accent6" w:themeTint="99"/>
      </w:tblBorders>
    </w:tblPr>
    <w:tblStylePr w:type="firstRow">
      <w:rPr>
        <w:b/>
        <w:bCs/>
      </w:rPr>
      <w:tblPr/>
      <w:tcPr>
        <w:tcBorders>
          <w:bottom w:val="single" w:sz="12" w:space="0" w:color="BEC6B7" w:themeColor="accent6" w:themeTint="99"/>
        </w:tcBorders>
      </w:tcPr>
    </w:tblStylePr>
    <w:tblStylePr w:type="lastRow">
      <w:rPr>
        <w:b/>
        <w:bCs/>
      </w:rPr>
      <w:tblPr/>
      <w:tcPr>
        <w:tcBorders>
          <w:top w:val="double" w:sz="4" w:space="0" w:color="BEC6B7" w:themeColor="accent6" w:themeTint="99"/>
        </w:tcBorders>
      </w:tcPr>
    </w:tblStylePr>
    <w:tblStylePr w:type="firstCol">
      <w:rPr>
        <w:b/>
        <w:bCs/>
      </w:rPr>
    </w:tblStylePr>
    <w:tblStylePr w:type="lastCol">
      <w:rPr>
        <w:b/>
        <w:bCs/>
      </w:rPr>
    </w:tblStylePr>
    <w:tblStylePr w:type="band1Vert">
      <w:tblPr/>
      <w:tcPr>
        <w:shd w:val="clear" w:color="auto" w:fill="E9ECE7" w:themeFill="accent6" w:themeFillTint="33"/>
      </w:tcPr>
    </w:tblStylePr>
    <w:tblStylePr w:type="band1Horz">
      <w:tblPr/>
      <w:tcPr>
        <w:shd w:val="clear" w:color="auto" w:fill="E9ECE7"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AA610D" w:themeColor="accent1" w:themeShade="BF"/>
    </w:rPr>
    <w:tblPr>
      <w:tblStyleRowBandSize w:val="1"/>
      <w:tblStyleColBandSize w:val="1"/>
      <w:tblBorders>
        <w:top w:val="single" w:sz="4" w:space="0" w:color="F3B46B" w:themeColor="accent1" w:themeTint="99"/>
        <w:left w:val="single" w:sz="4" w:space="0" w:color="F3B46B" w:themeColor="accent1" w:themeTint="99"/>
        <w:bottom w:val="single" w:sz="4" w:space="0" w:color="F3B46B" w:themeColor="accent1" w:themeTint="99"/>
        <w:right w:val="single" w:sz="4" w:space="0" w:color="F3B46B" w:themeColor="accent1" w:themeTint="99"/>
        <w:insideH w:val="single" w:sz="4" w:space="0" w:color="F3B46B" w:themeColor="accent1" w:themeTint="99"/>
        <w:insideV w:val="single" w:sz="4" w:space="0" w:color="F3B46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6CD" w:themeFill="accent1" w:themeFillTint="33"/>
      </w:tcPr>
    </w:tblStylePr>
    <w:tblStylePr w:type="band1Horz">
      <w:tblPr/>
      <w:tcPr>
        <w:shd w:val="clear" w:color="auto" w:fill="FBE6CD" w:themeFill="accent1" w:themeFillTint="33"/>
      </w:tcPr>
    </w:tblStylePr>
    <w:tblStylePr w:type="neCell">
      <w:tblPr/>
      <w:tcPr>
        <w:tcBorders>
          <w:bottom w:val="single" w:sz="4" w:space="0" w:color="F3B46B" w:themeColor="accent1" w:themeTint="99"/>
        </w:tcBorders>
      </w:tcPr>
    </w:tblStylePr>
    <w:tblStylePr w:type="nwCell">
      <w:tblPr/>
      <w:tcPr>
        <w:tcBorders>
          <w:bottom w:val="single" w:sz="4" w:space="0" w:color="F3B46B" w:themeColor="accent1" w:themeTint="99"/>
        </w:tcBorders>
      </w:tcPr>
    </w:tblStylePr>
    <w:tblStylePr w:type="seCell">
      <w:tblPr/>
      <w:tcPr>
        <w:tcBorders>
          <w:top w:val="single" w:sz="4" w:space="0" w:color="F3B46B" w:themeColor="accent1" w:themeTint="99"/>
        </w:tcBorders>
      </w:tcPr>
    </w:tblStylePr>
    <w:tblStylePr w:type="swCell">
      <w:tblPr/>
      <w:tcPr>
        <w:tcBorders>
          <w:top w:val="single" w:sz="4" w:space="0" w:color="F3B46B"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8D4121" w:themeColor="accent2" w:themeShade="BF"/>
    </w:rPr>
    <w:tblPr>
      <w:tblStyleRowBandSize w:val="1"/>
      <w:tblStyleColBandSize w:val="1"/>
      <w:tblBorders>
        <w:top w:val="single" w:sz="4" w:space="0" w:color="DF9778" w:themeColor="accent2" w:themeTint="99"/>
        <w:left w:val="single" w:sz="4" w:space="0" w:color="DF9778" w:themeColor="accent2" w:themeTint="99"/>
        <w:bottom w:val="single" w:sz="4" w:space="0" w:color="DF9778" w:themeColor="accent2" w:themeTint="99"/>
        <w:right w:val="single" w:sz="4" w:space="0" w:color="DF9778" w:themeColor="accent2" w:themeTint="99"/>
        <w:insideH w:val="single" w:sz="4" w:space="0" w:color="DF9778" w:themeColor="accent2" w:themeTint="99"/>
        <w:insideV w:val="single" w:sz="4" w:space="0" w:color="DF9778"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DCD1" w:themeFill="accent2" w:themeFillTint="33"/>
      </w:tcPr>
    </w:tblStylePr>
    <w:tblStylePr w:type="band1Horz">
      <w:tblPr/>
      <w:tcPr>
        <w:shd w:val="clear" w:color="auto" w:fill="F4DCD1" w:themeFill="accent2" w:themeFillTint="33"/>
      </w:tcPr>
    </w:tblStylePr>
    <w:tblStylePr w:type="neCell">
      <w:tblPr/>
      <w:tcPr>
        <w:tcBorders>
          <w:bottom w:val="single" w:sz="4" w:space="0" w:color="DF9778" w:themeColor="accent2" w:themeTint="99"/>
        </w:tcBorders>
      </w:tcPr>
    </w:tblStylePr>
    <w:tblStylePr w:type="nwCell">
      <w:tblPr/>
      <w:tcPr>
        <w:tcBorders>
          <w:bottom w:val="single" w:sz="4" w:space="0" w:color="DF9778" w:themeColor="accent2" w:themeTint="99"/>
        </w:tcBorders>
      </w:tcPr>
    </w:tblStylePr>
    <w:tblStylePr w:type="seCell">
      <w:tblPr/>
      <w:tcPr>
        <w:tcBorders>
          <w:top w:val="single" w:sz="4" w:space="0" w:color="DF9778" w:themeColor="accent2" w:themeTint="99"/>
        </w:tcBorders>
      </w:tcPr>
    </w:tblStylePr>
    <w:tblStylePr w:type="swCell">
      <w:tblPr/>
      <w:tcPr>
        <w:tcBorders>
          <w:top w:val="single" w:sz="4" w:space="0" w:color="DF9778"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644030" w:themeColor="accent3" w:themeShade="BF"/>
    </w:rPr>
    <w:tblPr>
      <w:tblStyleRowBandSize w:val="1"/>
      <w:tblStyleColBandSize w:val="1"/>
      <w:tblBorders>
        <w:top w:val="single" w:sz="4" w:space="0" w:color="C29480" w:themeColor="accent3" w:themeTint="99"/>
        <w:left w:val="single" w:sz="4" w:space="0" w:color="C29480" w:themeColor="accent3" w:themeTint="99"/>
        <w:bottom w:val="single" w:sz="4" w:space="0" w:color="C29480" w:themeColor="accent3" w:themeTint="99"/>
        <w:right w:val="single" w:sz="4" w:space="0" w:color="C29480" w:themeColor="accent3" w:themeTint="99"/>
        <w:insideH w:val="single" w:sz="4" w:space="0" w:color="C29480" w:themeColor="accent3" w:themeTint="99"/>
        <w:insideV w:val="single" w:sz="4" w:space="0" w:color="C2948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DBD4" w:themeFill="accent3" w:themeFillTint="33"/>
      </w:tcPr>
    </w:tblStylePr>
    <w:tblStylePr w:type="band1Horz">
      <w:tblPr/>
      <w:tcPr>
        <w:shd w:val="clear" w:color="auto" w:fill="EADBD4" w:themeFill="accent3" w:themeFillTint="33"/>
      </w:tcPr>
    </w:tblStylePr>
    <w:tblStylePr w:type="neCell">
      <w:tblPr/>
      <w:tcPr>
        <w:tcBorders>
          <w:bottom w:val="single" w:sz="4" w:space="0" w:color="C29480" w:themeColor="accent3" w:themeTint="99"/>
        </w:tcBorders>
      </w:tcPr>
    </w:tblStylePr>
    <w:tblStylePr w:type="nwCell">
      <w:tblPr/>
      <w:tcPr>
        <w:tcBorders>
          <w:bottom w:val="single" w:sz="4" w:space="0" w:color="C29480" w:themeColor="accent3" w:themeTint="99"/>
        </w:tcBorders>
      </w:tcPr>
    </w:tblStylePr>
    <w:tblStylePr w:type="seCell">
      <w:tblPr/>
      <w:tcPr>
        <w:tcBorders>
          <w:top w:val="single" w:sz="4" w:space="0" w:color="C29480" w:themeColor="accent3" w:themeTint="99"/>
        </w:tcBorders>
      </w:tcPr>
    </w:tblStylePr>
    <w:tblStylePr w:type="swCell">
      <w:tblPr/>
      <w:tcPr>
        <w:tcBorders>
          <w:top w:val="single" w:sz="4" w:space="0" w:color="C29480"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736141" w:themeColor="accent4" w:themeShade="BF"/>
    </w:rPr>
    <w:tblPr>
      <w:tblStyleRowBandSize w:val="1"/>
      <w:tblStyleColBandSize w:val="1"/>
      <w:tblBorders>
        <w:top w:val="single" w:sz="4" w:space="0" w:color="C5B597" w:themeColor="accent4" w:themeTint="99"/>
        <w:left w:val="single" w:sz="4" w:space="0" w:color="C5B597" w:themeColor="accent4" w:themeTint="99"/>
        <w:bottom w:val="single" w:sz="4" w:space="0" w:color="C5B597" w:themeColor="accent4" w:themeTint="99"/>
        <w:right w:val="single" w:sz="4" w:space="0" w:color="C5B597" w:themeColor="accent4" w:themeTint="99"/>
        <w:insideH w:val="single" w:sz="4" w:space="0" w:color="C5B597" w:themeColor="accent4" w:themeTint="99"/>
        <w:insideV w:val="single" w:sz="4" w:space="0" w:color="C5B59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BE6DC" w:themeFill="accent4" w:themeFillTint="33"/>
      </w:tcPr>
    </w:tblStylePr>
    <w:tblStylePr w:type="band1Horz">
      <w:tblPr/>
      <w:tcPr>
        <w:shd w:val="clear" w:color="auto" w:fill="EBE6DC" w:themeFill="accent4" w:themeFillTint="33"/>
      </w:tcPr>
    </w:tblStylePr>
    <w:tblStylePr w:type="neCell">
      <w:tblPr/>
      <w:tcPr>
        <w:tcBorders>
          <w:bottom w:val="single" w:sz="4" w:space="0" w:color="C5B597" w:themeColor="accent4" w:themeTint="99"/>
        </w:tcBorders>
      </w:tcPr>
    </w:tblStylePr>
    <w:tblStylePr w:type="nwCell">
      <w:tblPr/>
      <w:tcPr>
        <w:tcBorders>
          <w:bottom w:val="single" w:sz="4" w:space="0" w:color="C5B597" w:themeColor="accent4" w:themeTint="99"/>
        </w:tcBorders>
      </w:tcPr>
    </w:tblStylePr>
    <w:tblStylePr w:type="seCell">
      <w:tblPr/>
      <w:tcPr>
        <w:tcBorders>
          <w:top w:val="single" w:sz="4" w:space="0" w:color="C5B597" w:themeColor="accent4" w:themeTint="99"/>
        </w:tcBorders>
      </w:tcPr>
    </w:tblStylePr>
    <w:tblStylePr w:type="swCell">
      <w:tblPr/>
      <w:tcPr>
        <w:tcBorders>
          <w:top w:val="single" w:sz="4" w:space="0" w:color="C5B597"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A29A4E" w:themeColor="accent5" w:themeShade="BF"/>
    </w:rPr>
    <w:tblPr>
      <w:tblStyleRowBandSize w:val="1"/>
      <w:tblStyleColBandSize w:val="1"/>
      <w:tblBorders>
        <w:top w:val="single" w:sz="4" w:space="0" w:color="DAD6B2" w:themeColor="accent5" w:themeTint="99"/>
        <w:left w:val="single" w:sz="4" w:space="0" w:color="DAD6B2" w:themeColor="accent5" w:themeTint="99"/>
        <w:bottom w:val="single" w:sz="4" w:space="0" w:color="DAD6B2" w:themeColor="accent5" w:themeTint="99"/>
        <w:right w:val="single" w:sz="4" w:space="0" w:color="DAD6B2" w:themeColor="accent5" w:themeTint="99"/>
        <w:insideH w:val="single" w:sz="4" w:space="0" w:color="DAD6B2" w:themeColor="accent5" w:themeTint="99"/>
        <w:insideV w:val="single" w:sz="4" w:space="0" w:color="DAD6B2"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F1E5" w:themeFill="accent5" w:themeFillTint="33"/>
      </w:tcPr>
    </w:tblStylePr>
    <w:tblStylePr w:type="band1Horz">
      <w:tblPr/>
      <w:tcPr>
        <w:shd w:val="clear" w:color="auto" w:fill="F2F1E5" w:themeFill="accent5" w:themeFillTint="33"/>
      </w:tcPr>
    </w:tblStylePr>
    <w:tblStylePr w:type="neCell">
      <w:tblPr/>
      <w:tcPr>
        <w:tcBorders>
          <w:bottom w:val="single" w:sz="4" w:space="0" w:color="DAD6B2" w:themeColor="accent5" w:themeTint="99"/>
        </w:tcBorders>
      </w:tcPr>
    </w:tblStylePr>
    <w:tblStylePr w:type="nwCell">
      <w:tblPr/>
      <w:tcPr>
        <w:tcBorders>
          <w:bottom w:val="single" w:sz="4" w:space="0" w:color="DAD6B2" w:themeColor="accent5" w:themeTint="99"/>
        </w:tcBorders>
      </w:tcPr>
    </w:tblStylePr>
    <w:tblStylePr w:type="seCell">
      <w:tblPr/>
      <w:tcPr>
        <w:tcBorders>
          <w:top w:val="single" w:sz="4" w:space="0" w:color="DAD6B2" w:themeColor="accent5" w:themeTint="99"/>
        </w:tcBorders>
      </w:tcPr>
    </w:tblStylePr>
    <w:tblStylePr w:type="swCell">
      <w:tblPr/>
      <w:tcPr>
        <w:tcBorders>
          <w:top w:val="single" w:sz="4" w:space="0" w:color="DAD6B2"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6E7B62" w:themeColor="accent6" w:themeShade="BF"/>
    </w:rPr>
    <w:tblPr>
      <w:tblStyleRowBandSize w:val="1"/>
      <w:tblStyleColBandSize w:val="1"/>
      <w:tblBorders>
        <w:top w:val="single" w:sz="4" w:space="0" w:color="BEC6B7" w:themeColor="accent6" w:themeTint="99"/>
        <w:left w:val="single" w:sz="4" w:space="0" w:color="BEC6B7" w:themeColor="accent6" w:themeTint="99"/>
        <w:bottom w:val="single" w:sz="4" w:space="0" w:color="BEC6B7" w:themeColor="accent6" w:themeTint="99"/>
        <w:right w:val="single" w:sz="4" w:space="0" w:color="BEC6B7" w:themeColor="accent6" w:themeTint="99"/>
        <w:insideH w:val="single" w:sz="4" w:space="0" w:color="BEC6B7" w:themeColor="accent6" w:themeTint="99"/>
        <w:insideV w:val="single" w:sz="4" w:space="0" w:color="BEC6B7"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9ECE7" w:themeFill="accent6" w:themeFillTint="33"/>
      </w:tcPr>
    </w:tblStylePr>
    <w:tblStylePr w:type="band1Horz">
      <w:tblPr/>
      <w:tcPr>
        <w:shd w:val="clear" w:color="auto" w:fill="E9ECE7" w:themeFill="accent6" w:themeFillTint="33"/>
      </w:tcPr>
    </w:tblStylePr>
    <w:tblStylePr w:type="neCell">
      <w:tblPr/>
      <w:tcPr>
        <w:tcBorders>
          <w:bottom w:val="single" w:sz="4" w:space="0" w:color="BEC6B7" w:themeColor="accent6" w:themeTint="99"/>
        </w:tcBorders>
      </w:tcPr>
    </w:tblStylePr>
    <w:tblStylePr w:type="nwCell">
      <w:tblPr/>
      <w:tcPr>
        <w:tcBorders>
          <w:bottom w:val="single" w:sz="4" w:space="0" w:color="BEC6B7" w:themeColor="accent6" w:themeTint="99"/>
        </w:tcBorders>
      </w:tcPr>
    </w:tblStylePr>
    <w:tblStylePr w:type="seCell">
      <w:tblPr/>
      <w:tcPr>
        <w:tcBorders>
          <w:top w:val="single" w:sz="4" w:space="0" w:color="BEC6B7" w:themeColor="accent6" w:themeTint="99"/>
        </w:tcBorders>
      </w:tcPr>
    </w:tblStylePr>
    <w:tblStylePr w:type="swCell">
      <w:tblPr/>
      <w:tcPr>
        <w:tcBorders>
          <w:top w:val="single" w:sz="4" w:space="0" w:color="BEC6B7"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E48312" w:themeColor="accent1"/>
        <w:left w:val="single" w:sz="8" w:space="0" w:color="E48312" w:themeColor="accent1"/>
        <w:bottom w:val="single" w:sz="8" w:space="0" w:color="E48312" w:themeColor="accent1"/>
        <w:right w:val="single" w:sz="8" w:space="0" w:color="E48312" w:themeColor="accent1"/>
        <w:insideH w:val="single" w:sz="8" w:space="0" w:color="E48312" w:themeColor="accent1"/>
        <w:insideV w:val="single" w:sz="8" w:space="0" w:color="E4831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48312" w:themeColor="accent1"/>
          <w:left w:val="single" w:sz="8" w:space="0" w:color="E48312" w:themeColor="accent1"/>
          <w:bottom w:val="single" w:sz="18" w:space="0" w:color="E48312" w:themeColor="accent1"/>
          <w:right w:val="single" w:sz="8" w:space="0" w:color="E48312" w:themeColor="accent1"/>
          <w:insideH w:val="nil"/>
          <w:insideV w:val="single" w:sz="8" w:space="0" w:color="E4831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48312" w:themeColor="accent1"/>
          <w:left w:val="single" w:sz="8" w:space="0" w:color="E48312" w:themeColor="accent1"/>
          <w:bottom w:val="single" w:sz="8" w:space="0" w:color="E48312" w:themeColor="accent1"/>
          <w:right w:val="single" w:sz="8" w:space="0" w:color="E48312" w:themeColor="accent1"/>
          <w:insideH w:val="nil"/>
          <w:insideV w:val="single" w:sz="8" w:space="0" w:color="E4831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48312" w:themeColor="accent1"/>
          <w:left w:val="single" w:sz="8" w:space="0" w:color="E48312" w:themeColor="accent1"/>
          <w:bottom w:val="single" w:sz="8" w:space="0" w:color="E48312" w:themeColor="accent1"/>
          <w:right w:val="single" w:sz="8" w:space="0" w:color="E48312" w:themeColor="accent1"/>
        </w:tcBorders>
      </w:tcPr>
    </w:tblStylePr>
    <w:tblStylePr w:type="band1Vert">
      <w:tblPr/>
      <w:tcPr>
        <w:tcBorders>
          <w:top w:val="single" w:sz="8" w:space="0" w:color="E48312" w:themeColor="accent1"/>
          <w:left w:val="single" w:sz="8" w:space="0" w:color="E48312" w:themeColor="accent1"/>
          <w:bottom w:val="single" w:sz="8" w:space="0" w:color="E48312" w:themeColor="accent1"/>
          <w:right w:val="single" w:sz="8" w:space="0" w:color="E48312" w:themeColor="accent1"/>
        </w:tcBorders>
        <w:shd w:val="clear" w:color="auto" w:fill="FAE0C2" w:themeFill="accent1" w:themeFillTint="3F"/>
      </w:tcPr>
    </w:tblStylePr>
    <w:tblStylePr w:type="band1Horz">
      <w:tblPr/>
      <w:tcPr>
        <w:tcBorders>
          <w:top w:val="single" w:sz="8" w:space="0" w:color="E48312" w:themeColor="accent1"/>
          <w:left w:val="single" w:sz="8" w:space="0" w:color="E48312" w:themeColor="accent1"/>
          <w:bottom w:val="single" w:sz="8" w:space="0" w:color="E48312" w:themeColor="accent1"/>
          <w:right w:val="single" w:sz="8" w:space="0" w:color="E48312" w:themeColor="accent1"/>
          <w:insideV w:val="single" w:sz="8" w:space="0" w:color="E48312" w:themeColor="accent1"/>
        </w:tcBorders>
        <w:shd w:val="clear" w:color="auto" w:fill="FAE0C2" w:themeFill="accent1" w:themeFillTint="3F"/>
      </w:tcPr>
    </w:tblStylePr>
    <w:tblStylePr w:type="band2Horz">
      <w:tblPr/>
      <w:tcPr>
        <w:tcBorders>
          <w:top w:val="single" w:sz="8" w:space="0" w:color="E48312" w:themeColor="accent1"/>
          <w:left w:val="single" w:sz="8" w:space="0" w:color="E48312" w:themeColor="accent1"/>
          <w:bottom w:val="single" w:sz="8" w:space="0" w:color="E48312" w:themeColor="accent1"/>
          <w:right w:val="single" w:sz="8" w:space="0" w:color="E48312" w:themeColor="accent1"/>
          <w:insideV w:val="single" w:sz="8" w:space="0" w:color="E4831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BD582C" w:themeColor="accent2"/>
        <w:left w:val="single" w:sz="8" w:space="0" w:color="BD582C" w:themeColor="accent2"/>
        <w:bottom w:val="single" w:sz="8" w:space="0" w:color="BD582C" w:themeColor="accent2"/>
        <w:right w:val="single" w:sz="8" w:space="0" w:color="BD582C" w:themeColor="accent2"/>
        <w:insideH w:val="single" w:sz="8" w:space="0" w:color="BD582C" w:themeColor="accent2"/>
        <w:insideV w:val="single" w:sz="8" w:space="0" w:color="BD582C"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D582C" w:themeColor="accent2"/>
          <w:left w:val="single" w:sz="8" w:space="0" w:color="BD582C" w:themeColor="accent2"/>
          <w:bottom w:val="single" w:sz="18" w:space="0" w:color="BD582C" w:themeColor="accent2"/>
          <w:right w:val="single" w:sz="8" w:space="0" w:color="BD582C" w:themeColor="accent2"/>
          <w:insideH w:val="nil"/>
          <w:insideV w:val="single" w:sz="8" w:space="0" w:color="BD582C"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D582C" w:themeColor="accent2"/>
          <w:left w:val="single" w:sz="8" w:space="0" w:color="BD582C" w:themeColor="accent2"/>
          <w:bottom w:val="single" w:sz="8" w:space="0" w:color="BD582C" w:themeColor="accent2"/>
          <w:right w:val="single" w:sz="8" w:space="0" w:color="BD582C" w:themeColor="accent2"/>
          <w:insideH w:val="nil"/>
          <w:insideV w:val="single" w:sz="8" w:space="0" w:color="BD582C"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D582C" w:themeColor="accent2"/>
          <w:left w:val="single" w:sz="8" w:space="0" w:color="BD582C" w:themeColor="accent2"/>
          <w:bottom w:val="single" w:sz="8" w:space="0" w:color="BD582C" w:themeColor="accent2"/>
          <w:right w:val="single" w:sz="8" w:space="0" w:color="BD582C" w:themeColor="accent2"/>
        </w:tcBorders>
      </w:tcPr>
    </w:tblStylePr>
    <w:tblStylePr w:type="band1Vert">
      <w:tblPr/>
      <w:tcPr>
        <w:tcBorders>
          <w:top w:val="single" w:sz="8" w:space="0" w:color="BD582C" w:themeColor="accent2"/>
          <w:left w:val="single" w:sz="8" w:space="0" w:color="BD582C" w:themeColor="accent2"/>
          <w:bottom w:val="single" w:sz="8" w:space="0" w:color="BD582C" w:themeColor="accent2"/>
          <w:right w:val="single" w:sz="8" w:space="0" w:color="BD582C" w:themeColor="accent2"/>
        </w:tcBorders>
        <w:shd w:val="clear" w:color="auto" w:fill="F2D4C7" w:themeFill="accent2" w:themeFillTint="3F"/>
      </w:tcPr>
    </w:tblStylePr>
    <w:tblStylePr w:type="band1Horz">
      <w:tblPr/>
      <w:tcPr>
        <w:tcBorders>
          <w:top w:val="single" w:sz="8" w:space="0" w:color="BD582C" w:themeColor="accent2"/>
          <w:left w:val="single" w:sz="8" w:space="0" w:color="BD582C" w:themeColor="accent2"/>
          <w:bottom w:val="single" w:sz="8" w:space="0" w:color="BD582C" w:themeColor="accent2"/>
          <w:right w:val="single" w:sz="8" w:space="0" w:color="BD582C" w:themeColor="accent2"/>
          <w:insideV w:val="single" w:sz="8" w:space="0" w:color="BD582C" w:themeColor="accent2"/>
        </w:tcBorders>
        <w:shd w:val="clear" w:color="auto" w:fill="F2D4C7" w:themeFill="accent2" w:themeFillTint="3F"/>
      </w:tcPr>
    </w:tblStylePr>
    <w:tblStylePr w:type="band2Horz">
      <w:tblPr/>
      <w:tcPr>
        <w:tcBorders>
          <w:top w:val="single" w:sz="8" w:space="0" w:color="BD582C" w:themeColor="accent2"/>
          <w:left w:val="single" w:sz="8" w:space="0" w:color="BD582C" w:themeColor="accent2"/>
          <w:bottom w:val="single" w:sz="8" w:space="0" w:color="BD582C" w:themeColor="accent2"/>
          <w:right w:val="single" w:sz="8" w:space="0" w:color="BD582C" w:themeColor="accent2"/>
          <w:insideV w:val="single" w:sz="8" w:space="0" w:color="BD582C"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865640" w:themeColor="accent3"/>
        <w:left w:val="single" w:sz="8" w:space="0" w:color="865640" w:themeColor="accent3"/>
        <w:bottom w:val="single" w:sz="8" w:space="0" w:color="865640" w:themeColor="accent3"/>
        <w:right w:val="single" w:sz="8" w:space="0" w:color="865640" w:themeColor="accent3"/>
        <w:insideH w:val="single" w:sz="8" w:space="0" w:color="865640" w:themeColor="accent3"/>
        <w:insideV w:val="single" w:sz="8" w:space="0" w:color="865640"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65640" w:themeColor="accent3"/>
          <w:left w:val="single" w:sz="8" w:space="0" w:color="865640" w:themeColor="accent3"/>
          <w:bottom w:val="single" w:sz="18" w:space="0" w:color="865640" w:themeColor="accent3"/>
          <w:right w:val="single" w:sz="8" w:space="0" w:color="865640" w:themeColor="accent3"/>
          <w:insideH w:val="nil"/>
          <w:insideV w:val="single" w:sz="8" w:space="0" w:color="865640"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65640" w:themeColor="accent3"/>
          <w:left w:val="single" w:sz="8" w:space="0" w:color="865640" w:themeColor="accent3"/>
          <w:bottom w:val="single" w:sz="8" w:space="0" w:color="865640" w:themeColor="accent3"/>
          <w:right w:val="single" w:sz="8" w:space="0" w:color="865640" w:themeColor="accent3"/>
          <w:insideH w:val="nil"/>
          <w:insideV w:val="single" w:sz="8" w:space="0" w:color="865640"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65640" w:themeColor="accent3"/>
          <w:left w:val="single" w:sz="8" w:space="0" w:color="865640" w:themeColor="accent3"/>
          <w:bottom w:val="single" w:sz="8" w:space="0" w:color="865640" w:themeColor="accent3"/>
          <w:right w:val="single" w:sz="8" w:space="0" w:color="865640" w:themeColor="accent3"/>
        </w:tcBorders>
      </w:tcPr>
    </w:tblStylePr>
    <w:tblStylePr w:type="band1Vert">
      <w:tblPr/>
      <w:tcPr>
        <w:tcBorders>
          <w:top w:val="single" w:sz="8" w:space="0" w:color="865640" w:themeColor="accent3"/>
          <w:left w:val="single" w:sz="8" w:space="0" w:color="865640" w:themeColor="accent3"/>
          <w:bottom w:val="single" w:sz="8" w:space="0" w:color="865640" w:themeColor="accent3"/>
          <w:right w:val="single" w:sz="8" w:space="0" w:color="865640" w:themeColor="accent3"/>
        </w:tcBorders>
        <w:shd w:val="clear" w:color="auto" w:fill="E6D3CA" w:themeFill="accent3" w:themeFillTint="3F"/>
      </w:tcPr>
    </w:tblStylePr>
    <w:tblStylePr w:type="band1Horz">
      <w:tblPr/>
      <w:tcPr>
        <w:tcBorders>
          <w:top w:val="single" w:sz="8" w:space="0" w:color="865640" w:themeColor="accent3"/>
          <w:left w:val="single" w:sz="8" w:space="0" w:color="865640" w:themeColor="accent3"/>
          <w:bottom w:val="single" w:sz="8" w:space="0" w:color="865640" w:themeColor="accent3"/>
          <w:right w:val="single" w:sz="8" w:space="0" w:color="865640" w:themeColor="accent3"/>
          <w:insideV w:val="single" w:sz="8" w:space="0" w:color="865640" w:themeColor="accent3"/>
        </w:tcBorders>
        <w:shd w:val="clear" w:color="auto" w:fill="E6D3CA" w:themeFill="accent3" w:themeFillTint="3F"/>
      </w:tcPr>
    </w:tblStylePr>
    <w:tblStylePr w:type="band2Horz">
      <w:tblPr/>
      <w:tcPr>
        <w:tcBorders>
          <w:top w:val="single" w:sz="8" w:space="0" w:color="865640" w:themeColor="accent3"/>
          <w:left w:val="single" w:sz="8" w:space="0" w:color="865640" w:themeColor="accent3"/>
          <w:bottom w:val="single" w:sz="8" w:space="0" w:color="865640" w:themeColor="accent3"/>
          <w:right w:val="single" w:sz="8" w:space="0" w:color="865640" w:themeColor="accent3"/>
          <w:insideV w:val="single" w:sz="8" w:space="0" w:color="865640"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9B8357" w:themeColor="accent4"/>
        <w:left w:val="single" w:sz="8" w:space="0" w:color="9B8357" w:themeColor="accent4"/>
        <w:bottom w:val="single" w:sz="8" w:space="0" w:color="9B8357" w:themeColor="accent4"/>
        <w:right w:val="single" w:sz="8" w:space="0" w:color="9B8357" w:themeColor="accent4"/>
        <w:insideH w:val="single" w:sz="8" w:space="0" w:color="9B8357" w:themeColor="accent4"/>
        <w:insideV w:val="single" w:sz="8" w:space="0" w:color="9B8357"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8357" w:themeColor="accent4"/>
          <w:left w:val="single" w:sz="8" w:space="0" w:color="9B8357" w:themeColor="accent4"/>
          <w:bottom w:val="single" w:sz="18" w:space="0" w:color="9B8357" w:themeColor="accent4"/>
          <w:right w:val="single" w:sz="8" w:space="0" w:color="9B8357" w:themeColor="accent4"/>
          <w:insideH w:val="nil"/>
          <w:insideV w:val="single" w:sz="8" w:space="0" w:color="9B8357"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8357" w:themeColor="accent4"/>
          <w:left w:val="single" w:sz="8" w:space="0" w:color="9B8357" w:themeColor="accent4"/>
          <w:bottom w:val="single" w:sz="8" w:space="0" w:color="9B8357" w:themeColor="accent4"/>
          <w:right w:val="single" w:sz="8" w:space="0" w:color="9B8357" w:themeColor="accent4"/>
          <w:insideH w:val="nil"/>
          <w:insideV w:val="single" w:sz="8" w:space="0" w:color="9B8357"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8357" w:themeColor="accent4"/>
          <w:left w:val="single" w:sz="8" w:space="0" w:color="9B8357" w:themeColor="accent4"/>
          <w:bottom w:val="single" w:sz="8" w:space="0" w:color="9B8357" w:themeColor="accent4"/>
          <w:right w:val="single" w:sz="8" w:space="0" w:color="9B8357" w:themeColor="accent4"/>
        </w:tcBorders>
      </w:tcPr>
    </w:tblStylePr>
    <w:tblStylePr w:type="band1Vert">
      <w:tblPr/>
      <w:tcPr>
        <w:tcBorders>
          <w:top w:val="single" w:sz="8" w:space="0" w:color="9B8357" w:themeColor="accent4"/>
          <w:left w:val="single" w:sz="8" w:space="0" w:color="9B8357" w:themeColor="accent4"/>
          <w:bottom w:val="single" w:sz="8" w:space="0" w:color="9B8357" w:themeColor="accent4"/>
          <w:right w:val="single" w:sz="8" w:space="0" w:color="9B8357" w:themeColor="accent4"/>
        </w:tcBorders>
        <w:shd w:val="clear" w:color="auto" w:fill="E7E0D4" w:themeFill="accent4" w:themeFillTint="3F"/>
      </w:tcPr>
    </w:tblStylePr>
    <w:tblStylePr w:type="band1Horz">
      <w:tblPr/>
      <w:tcPr>
        <w:tcBorders>
          <w:top w:val="single" w:sz="8" w:space="0" w:color="9B8357" w:themeColor="accent4"/>
          <w:left w:val="single" w:sz="8" w:space="0" w:color="9B8357" w:themeColor="accent4"/>
          <w:bottom w:val="single" w:sz="8" w:space="0" w:color="9B8357" w:themeColor="accent4"/>
          <w:right w:val="single" w:sz="8" w:space="0" w:color="9B8357" w:themeColor="accent4"/>
          <w:insideV w:val="single" w:sz="8" w:space="0" w:color="9B8357" w:themeColor="accent4"/>
        </w:tcBorders>
        <w:shd w:val="clear" w:color="auto" w:fill="E7E0D4" w:themeFill="accent4" w:themeFillTint="3F"/>
      </w:tcPr>
    </w:tblStylePr>
    <w:tblStylePr w:type="band2Horz">
      <w:tblPr/>
      <w:tcPr>
        <w:tcBorders>
          <w:top w:val="single" w:sz="8" w:space="0" w:color="9B8357" w:themeColor="accent4"/>
          <w:left w:val="single" w:sz="8" w:space="0" w:color="9B8357" w:themeColor="accent4"/>
          <w:bottom w:val="single" w:sz="8" w:space="0" w:color="9B8357" w:themeColor="accent4"/>
          <w:right w:val="single" w:sz="8" w:space="0" w:color="9B8357" w:themeColor="accent4"/>
          <w:insideV w:val="single" w:sz="8" w:space="0" w:color="9B8357"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C2BC80" w:themeColor="accent5"/>
        <w:left w:val="single" w:sz="8" w:space="0" w:color="C2BC80" w:themeColor="accent5"/>
        <w:bottom w:val="single" w:sz="8" w:space="0" w:color="C2BC80" w:themeColor="accent5"/>
        <w:right w:val="single" w:sz="8" w:space="0" w:color="C2BC80" w:themeColor="accent5"/>
        <w:insideH w:val="single" w:sz="8" w:space="0" w:color="C2BC80" w:themeColor="accent5"/>
        <w:insideV w:val="single" w:sz="8" w:space="0" w:color="C2BC80"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2BC80" w:themeColor="accent5"/>
          <w:left w:val="single" w:sz="8" w:space="0" w:color="C2BC80" w:themeColor="accent5"/>
          <w:bottom w:val="single" w:sz="18" w:space="0" w:color="C2BC80" w:themeColor="accent5"/>
          <w:right w:val="single" w:sz="8" w:space="0" w:color="C2BC80" w:themeColor="accent5"/>
          <w:insideH w:val="nil"/>
          <w:insideV w:val="single" w:sz="8" w:space="0" w:color="C2BC80"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2BC80" w:themeColor="accent5"/>
          <w:left w:val="single" w:sz="8" w:space="0" w:color="C2BC80" w:themeColor="accent5"/>
          <w:bottom w:val="single" w:sz="8" w:space="0" w:color="C2BC80" w:themeColor="accent5"/>
          <w:right w:val="single" w:sz="8" w:space="0" w:color="C2BC80" w:themeColor="accent5"/>
          <w:insideH w:val="nil"/>
          <w:insideV w:val="single" w:sz="8" w:space="0" w:color="C2BC80"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2BC80" w:themeColor="accent5"/>
          <w:left w:val="single" w:sz="8" w:space="0" w:color="C2BC80" w:themeColor="accent5"/>
          <w:bottom w:val="single" w:sz="8" w:space="0" w:color="C2BC80" w:themeColor="accent5"/>
          <w:right w:val="single" w:sz="8" w:space="0" w:color="C2BC80" w:themeColor="accent5"/>
        </w:tcBorders>
      </w:tcPr>
    </w:tblStylePr>
    <w:tblStylePr w:type="band1Vert">
      <w:tblPr/>
      <w:tcPr>
        <w:tcBorders>
          <w:top w:val="single" w:sz="8" w:space="0" w:color="C2BC80" w:themeColor="accent5"/>
          <w:left w:val="single" w:sz="8" w:space="0" w:color="C2BC80" w:themeColor="accent5"/>
          <w:bottom w:val="single" w:sz="8" w:space="0" w:color="C2BC80" w:themeColor="accent5"/>
          <w:right w:val="single" w:sz="8" w:space="0" w:color="C2BC80" w:themeColor="accent5"/>
        </w:tcBorders>
        <w:shd w:val="clear" w:color="auto" w:fill="F0EEDF" w:themeFill="accent5" w:themeFillTint="3F"/>
      </w:tcPr>
    </w:tblStylePr>
    <w:tblStylePr w:type="band1Horz">
      <w:tblPr/>
      <w:tcPr>
        <w:tcBorders>
          <w:top w:val="single" w:sz="8" w:space="0" w:color="C2BC80" w:themeColor="accent5"/>
          <w:left w:val="single" w:sz="8" w:space="0" w:color="C2BC80" w:themeColor="accent5"/>
          <w:bottom w:val="single" w:sz="8" w:space="0" w:color="C2BC80" w:themeColor="accent5"/>
          <w:right w:val="single" w:sz="8" w:space="0" w:color="C2BC80" w:themeColor="accent5"/>
          <w:insideV w:val="single" w:sz="8" w:space="0" w:color="C2BC80" w:themeColor="accent5"/>
        </w:tcBorders>
        <w:shd w:val="clear" w:color="auto" w:fill="F0EEDF" w:themeFill="accent5" w:themeFillTint="3F"/>
      </w:tcPr>
    </w:tblStylePr>
    <w:tblStylePr w:type="band2Horz">
      <w:tblPr/>
      <w:tcPr>
        <w:tcBorders>
          <w:top w:val="single" w:sz="8" w:space="0" w:color="C2BC80" w:themeColor="accent5"/>
          <w:left w:val="single" w:sz="8" w:space="0" w:color="C2BC80" w:themeColor="accent5"/>
          <w:bottom w:val="single" w:sz="8" w:space="0" w:color="C2BC80" w:themeColor="accent5"/>
          <w:right w:val="single" w:sz="8" w:space="0" w:color="C2BC80" w:themeColor="accent5"/>
          <w:insideV w:val="single" w:sz="8" w:space="0" w:color="C2BC80"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94A088" w:themeColor="accent6"/>
        <w:left w:val="single" w:sz="8" w:space="0" w:color="94A088" w:themeColor="accent6"/>
        <w:bottom w:val="single" w:sz="8" w:space="0" w:color="94A088" w:themeColor="accent6"/>
        <w:right w:val="single" w:sz="8" w:space="0" w:color="94A088" w:themeColor="accent6"/>
        <w:insideH w:val="single" w:sz="8" w:space="0" w:color="94A088" w:themeColor="accent6"/>
        <w:insideV w:val="single" w:sz="8" w:space="0" w:color="94A08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4A088" w:themeColor="accent6"/>
          <w:left w:val="single" w:sz="8" w:space="0" w:color="94A088" w:themeColor="accent6"/>
          <w:bottom w:val="single" w:sz="18" w:space="0" w:color="94A088" w:themeColor="accent6"/>
          <w:right w:val="single" w:sz="8" w:space="0" w:color="94A088" w:themeColor="accent6"/>
          <w:insideH w:val="nil"/>
          <w:insideV w:val="single" w:sz="8" w:space="0" w:color="94A08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4A088" w:themeColor="accent6"/>
          <w:left w:val="single" w:sz="8" w:space="0" w:color="94A088" w:themeColor="accent6"/>
          <w:bottom w:val="single" w:sz="8" w:space="0" w:color="94A088" w:themeColor="accent6"/>
          <w:right w:val="single" w:sz="8" w:space="0" w:color="94A088" w:themeColor="accent6"/>
          <w:insideH w:val="nil"/>
          <w:insideV w:val="single" w:sz="8" w:space="0" w:color="94A08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4A088" w:themeColor="accent6"/>
          <w:left w:val="single" w:sz="8" w:space="0" w:color="94A088" w:themeColor="accent6"/>
          <w:bottom w:val="single" w:sz="8" w:space="0" w:color="94A088" w:themeColor="accent6"/>
          <w:right w:val="single" w:sz="8" w:space="0" w:color="94A088" w:themeColor="accent6"/>
        </w:tcBorders>
      </w:tcPr>
    </w:tblStylePr>
    <w:tblStylePr w:type="band1Vert">
      <w:tblPr/>
      <w:tcPr>
        <w:tcBorders>
          <w:top w:val="single" w:sz="8" w:space="0" w:color="94A088" w:themeColor="accent6"/>
          <w:left w:val="single" w:sz="8" w:space="0" w:color="94A088" w:themeColor="accent6"/>
          <w:bottom w:val="single" w:sz="8" w:space="0" w:color="94A088" w:themeColor="accent6"/>
          <w:right w:val="single" w:sz="8" w:space="0" w:color="94A088" w:themeColor="accent6"/>
        </w:tcBorders>
        <w:shd w:val="clear" w:color="auto" w:fill="E4E7E1" w:themeFill="accent6" w:themeFillTint="3F"/>
      </w:tcPr>
    </w:tblStylePr>
    <w:tblStylePr w:type="band1Horz">
      <w:tblPr/>
      <w:tcPr>
        <w:tcBorders>
          <w:top w:val="single" w:sz="8" w:space="0" w:color="94A088" w:themeColor="accent6"/>
          <w:left w:val="single" w:sz="8" w:space="0" w:color="94A088" w:themeColor="accent6"/>
          <w:bottom w:val="single" w:sz="8" w:space="0" w:color="94A088" w:themeColor="accent6"/>
          <w:right w:val="single" w:sz="8" w:space="0" w:color="94A088" w:themeColor="accent6"/>
          <w:insideV w:val="single" w:sz="8" w:space="0" w:color="94A088" w:themeColor="accent6"/>
        </w:tcBorders>
        <w:shd w:val="clear" w:color="auto" w:fill="E4E7E1" w:themeFill="accent6" w:themeFillTint="3F"/>
      </w:tcPr>
    </w:tblStylePr>
    <w:tblStylePr w:type="band2Horz">
      <w:tblPr/>
      <w:tcPr>
        <w:tcBorders>
          <w:top w:val="single" w:sz="8" w:space="0" w:color="94A088" w:themeColor="accent6"/>
          <w:left w:val="single" w:sz="8" w:space="0" w:color="94A088" w:themeColor="accent6"/>
          <w:bottom w:val="single" w:sz="8" w:space="0" w:color="94A088" w:themeColor="accent6"/>
          <w:right w:val="single" w:sz="8" w:space="0" w:color="94A088" w:themeColor="accent6"/>
          <w:insideV w:val="single" w:sz="8" w:space="0" w:color="94A088"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E48312" w:themeColor="accent1"/>
        <w:left w:val="single" w:sz="8" w:space="0" w:color="E48312" w:themeColor="accent1"/>
        <w:bottom w:val="single" w:sz="8" w:space="0" w:color="E48312" w:themeColor="accent1"/>
        <w:right w:val="single" w:sz="8" w:space="0" w:color="E48312" w:themeColor="accent1"/>
      </w:tblBorders>
    </w:tblPr>
    <w:tblStylePr w:type="firstRow">
      <w:pPr>
        <w:spacing w:before="0" w:after="0" w:line="240" w:lineRule="auto"/>
      </w:pPr>
      <w:rPr>
        <w:b/>
        <w:bCs/>
        <w:color w:val="FFFFFF" w:themeColor="background1"/>
      </w:rPr>
      <w:tblPr/>
      <w:tcPr>
        <w:shd w:val="clear" w:color="auto" w:fill="E48312" w:themeFill="accent1"/>
      </w:tcPr>
    </w:tblStylePr>
    <w:tblStylePr w:type="lastRow">
      <w:pPr>
        <w:spacing w:before="0" w:after="0" w:line="240" w:lineRule="auto"/>
      </w:pPr>
      <w:rPr>
        <w:b/>
        <w:bCs/>
      </w:rPr>
      <w:tblPr/>
      <w:tcPr>
        <w:tcBorders>
          <w:top w:val="double" w:sz="6" w:space="0" w:color="E48312" w:themeColor="accent1"/>
          <w:left w:val="single" w:sz="8" w:space="0" w:color="E48312" w:themeColor="accent1"/>
          <w:bottom w:val="single" w:sz="8" w:space="0" w:color="E48312" w:themeColor="accent1"/>
          <w:right w:val="single" w:sz="8" w:space="0" w:color="E48312" w:themeColor="accent1"/>
        </w:tcBorders>
      </w:tcPr>
    </w:tblStylePr>
    <w:tblStylePr w:type="firstCol">
      <w:rPr>
        <w:b/>
        <w:bCs/>
      </w:rPr>
    </w:tblStylePr>
    <w:tblStylePr w:type="lastCol">
      <w:rPr>
        <w:b/>
        <w:bCs/>
      </w:rPr>
    </w:tblStylePr>
    <w:tblStylePr w:type="band1Vert">
      <w:tblPr/>
      <w:tcPr>
        <w:tcBorders>
          <w:top w:val="single" w:sz="8" w:space="0" w:color="E48312" w:themeColor="accent1"/>
          <w:left w:val="single" w:sz="8" w:space="0" w:color="E48312" w:themeColor="accent1"/>
          <w:bottom w:val="single" w:sz="8" w:space="0" w:color="E48312" w:themeColor="accent1"/>
          <w:right w:val="single" w:sz="8" w:space="0" w:color="E48312" w:themeColor="accent1"/>
        </w:tcBorders>
      </w:tcPr>
    </w:tblStylePr>
    <w:tblStylePr w:type="band1Horz">
      <w:tblPr/>
      <w:tcPr>
        <w:tcBorders>
          <w:top w:val="single" w:sz="8" w:space="0" w:color="E48312" w:themeColor="accent1"/>
          <w:left w:val="single" w:sz="8" w:space="0" w:color="E48312" w:themeColor="accent1"/>
          <w:bottom w:val="single" w:sz="8" w:space="0" w:color="E48312" w:themeColor="accent1"/>
          <w:right w:val="single" w:sz="8" w:space="0" w:color="E4831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BD582C" w:themeColor="accent2"/>
        <w:left w:val="single" w:sz="8" w:space="0" w:color="BD582C" w:themeColor="accent2"/>
        <w:bottom w:val="single" w:sz="8" w:space="0" w:color="BD582C" w:themeColor="accent2"/>
        <w:right w:val="single" w:sz="8" w:space="0" w:color="BD582C" w:themeColor="accent2"/>
      </w:tblBorders>
    </w:tblPr>
    <w:tblStylePr w:type="firstRow">
      <w:pPr>
        <w:spacing w:before="0" w:after="0" w:line="240" w:lineRule="auto"/>
      </w:pPr>
      <w:rPr>
        <w:b/>
        <w:bCs/>
        <w:color w:val="FFFFFF" w:themeColor="background1"/>
      </w:rPr>
      <w:tblPr/>
      <w:tcPr>
        <w:shd w:val="clear" w:color="auto" w:fill="BD582C" w:themeFill="accent2"/>
      </w:tcPr>
    </w:tblStylePr>
    <w:tblStylePr w:type="lastRow">
      <w:pPr>
        <w:spacing w:before="0" w:after="0" w:line="240" w:lineRule="auto"/>
      </w:pPr>
      <w:rPr>
        <w:b/>
        <w:bCs/>
      </w:rPr>
      <w:tblPr/>
      <w:tcPr>
        <w:tcBorders>
          <w:top w:val="double" w:sz="6" w:space="0" w:color="BD582C" w:themeColor="accent2"/>
          <w:left w:val="single" w:sz="8" w:space="0" w:color="BD582C" w:themeColor="accent2"/>
          <w:bottom w:val="single" w:sz="8" w:space="0" w:color="BD582C" w:themeColor="accent2"/>
          <w:right w:val="single" w:sz="8" w:space="0" w:color="BD582C" w:themeColor="accent2"/>
        </w:tcBorders>
      </w:tcPr>
    </w:tblStylePr>
    <w:tblStylePr w:type="firstCol">
      <w:rPr>
        <w:b/>
        <w:bCs/>
      </w:rPr>
    </w:tblStylePr>
    <w:tblStylePr w:type="lastCol">
      <w:rPr>
        <w:b/>
        <w:bCs/>
      </w:rPr>
    </w:tblStylePr>
    <w:tblStylePr w:type="band1Vert">
      <w:tblPr/>
      <w:tcPr>
        <w:tcBorders>
          <w:top w:val="single" w:sz="8" w:space="0" w:color="BD582C" w:themeColor="accent2"/>
          <w:left w:val="single" w:sz="8" w:space="0" w:color="BD582C" w:themeColor="accent2"/>
          <w:bottom w:val="single" w:sz="8" w:space="0" w:color="BD582C" w:themeColor="accent2"/>
          <w:right w:val="single" w:sz="8" w:space="0" w:color="BD582C" w:themeColor="accent2"/>
        </w:tcBorders>
      </w:tcPr>
    </w:tblStylePr>
    <w:tblStylePr w:type="band1Horz">
      <w:tblPr/>
      <w:tcPr>
        <w:tcBorders>
          <w:top w:val="single" w:sz="8" w:space="0" w:color="BD582C" w:themeColor="accent2"/>
          <w:left w:val="single" w:sz="8" w:space="0" w:color="BD582C" w:themeColor="accent2"/>
          <w:bottom w:val="single" w:sz="8" w:space="0" w:color="BD582C" w:themeColor="accent2"/>
          <w:right w:val="single" w:sz="8" w:space="0" w:color="BD582C"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865640" w:themeColor="accent3"/>
        <w:left w:val="single" w:sz="8" w:space="0" w:color="865640" w:themeColor="accent3"/>
        <w:bottom w:val="single" w:sz="8" w:space="0" w:color="865640" w:themeColor="accent3"/>
        <w:right w:val="single" w:sz="8" w:space="0" w:color="865640" w:themeColor="accent3"/>
      </w:tblBorders>
    </w:tblPr>
    <w:tblStylePr w:type="firstRow">
      <w:pPr>
        <w:spacing w:before="0" w:after="0" w:line="240" w:lineRule="auto"/>
      </w:pPr>
      <w:rPr>
        <w:b/>
        <w:bCs/>
        <w:color w:val="FFFFFF" w:themeColor="background1"/>
      </w:rPr>
      <w:tblPr/>
      <w:tcPr>
        <w:shd w:val="clear" w:color="auto" w:fill="865640" w:themeFill="accent3"/>
      </w:tcPr>
    </w:tblStylePr>
    <w:tblStylePr w:type="lastRow">
      <w:pPr>
        <w:spacing w:before="0" w:after="0" w:line="240" w:lineRule="auto"/>
      </w:pPr>
      <w:rPr>
        <w:b/>
        <w:bCs/>
      </w:rPr>
      <w:tblPr/>
      <w:tcPr>
        <w:tcBorders>
          <w:top w:val="double" w:sz="6" w:space="0" w:color="865640" w:themeColor="accent3"/>
          <w:left w:val="single" w:sz="8" w:space="0" w:color="865640" w:themeColor="accent3"/>
          <w:bottom w:val="single" w:sz="8" w:space="0" w:color="865640" w:themeColor="accent3"/>
          <w:right w:val="single" w:sz="8" w:space="0" w:color="865640" w:themeColor="accent3"/>
        </w:tcBorders>
      </w:tcPr>
    </w:tblStylePr>
    <w:tblStylePr w:type="firstCol">
      <w:rPr>
        <w:b/>
        <w:bCs/>
      </w:rPr>
    </w:tblStylePr>
    <w:tblStylePr w:type="lastCol">
      <w:rPr>
        <w:b/>
        <w:bCs/>
      </w:rPr>
    </w:tblStylePr>
    <w:tblStylePr w:type="band1Vert">
      <w:tblPr/>
      <w:tcPr>
        <w:tcBorders>
          <w:top w:val="single" w:sz="8" w:space="0" w:color="865640" w:themeColor="accent3"/>
          <w:left w:val="single" w:sz="8" w:space="0" w:color="865640" w:themeColor="accent3"/>
          <w:bottom w:val="single" w:sz="8" w:space="0" w:color="865640" w:themeColor="accent3"/>
          <w:right w:val="single" w:sz="8" w:space="0" w:color="865640" w:themeColor="accent3"/>
        </w:tcBorders>
      </w:tcPr>
    </w:tblStylePr>
    <w:tblStylePr w:type="band1Horz">
      <w:tblPr/>
      <w:tcPr>
        <w:tcBorders>
          <w:top w:val="single" w:sz="8" w:space="0" w:color="865640" w:themeColor="accent3"/>
          <w:left w:val="single" w:sz="8" w:space="0" w:color="865640" w:themeColor="accent3"/>
          <w:bottom w:val="single" w:sz="8" w:space="0" w:color="865640" w:themeColor="accent3"/>
          <w:right w:val="single" w:sz="8" w:space="0" w:color="865640"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9B8357" w:themeColor="accent4"/>
        <w:left w:val="single" w:sz="8" w:space="0" w:color="9B8357" w:themeColor="accent4"/>
        <w:bottom w:val="single" w:sz="8" w:space="0" w:color="9B8357" w:themeColor="accent4"/>
        <w:right w:val="single" w:sz="8" w:space="0" w:color="9B8357" w:themeColor="accent4"/>
      </w:tblBorders>
    </w:tblPr>
    <w:tblStylePr w:type="firstRow">
      <w:pPr>
        <w:spacing w:before="0" w:after="0" w:line="240" w:lineRule="auto"/>
      </w:pPr>
      <w:rPr>
        <w:b/>
        <w:bCs/>
        <w:color w:val="FFFFFF" w:themeColor="background1"/>
      </w:rPr>
      <w:tblPr/>
      <w:tcPr>
        <w:shd w:val="clear" w:color="auto" w:fill="9B8357" w:themeFill="accent4"/>
      </w:tcPr>
    </w:tblStylePr>
    <w:tblStylePr w:type="lastRow">
      <w:pPr>
        <w:spacing w:before="0" w:after="0" w:line="240" w:lineRule="auto"/>
      </w:pPr>
      <w:rPr>
        <w:b/>
        <w:bCs/>
      </w:rPr>
      <w:tblPr/>
      <w:tcPr>
        <w:tcBorders>
          <w:top w:val="double" w:sz="6" w:space="0" w:color="9B8357" w:themeColor="accent4"/>
          <w:left w:val="single" w:sz="8" w:space="0" w:color="9B8357" w:themeColor="accent4"/>
          <w:bottom w:val="single" w:sz="8" w:space="0" w:color="9B8357" w:themeColor="accent4"/>
          <w:right w:val="single" w:sz="8" w:space="0" w:color="9B8357" w:themeColor="accent4"/>
        </w:tcBorders>
      </w:tcPr>
    </w:tblStylePr>
    <w:tblStylePr w:type="firstCol">
      <w:rPr>
        <w:b/>
        <w:bCs/>
      </w:rPr>
    </w:tblStylePr>
    <w:tblStylePr w:type="lastCol">
      <w:rPr>
        <w:b/>
        <w:bCs/>
      </w:rPr>
    </w:tblStylePr>
    <w:tblStylePr w:type="band1Vert">
      <w:tblPr/>
      <w:tcPr>
        <w:tcBorders>
          <w:top w:val="single" w:sz="8" w:space="0" w:color="9B8357" w:themeColor="accent4"/>
          <w:left w:val="single" w:sz="8" w:space="0" w:color="9B8357" w:themeColor="accent4"/>
          <w:bottom w:val="single" w:sz="8" w:space="0" w:color="9B8357" w:themeColor="accent4"/>
          <w:right w:val="single" w:sz="8" w:space="0" w:color="9B8357" w:themeColor="accent4"/>
        </w:tcBorders>
      </w:tcPr>
    </w:tblStylePr>
    <w:tblStylePr w:type="band1Horz">
      <w:tblPr/>
      <w:tcPr>
        <w:tcBorders>
          <w:top w:val="single" w:sz="8" w:space="0" w:color="9B8357" w:themeColor="accent4"/>
          <w:left w:val="single" w:sz="8" w:space="0" w:color="9B8357" w:themeColor="accent4"/>
          <w:bottom w:val="single" w:sz="8" w:space="0" w:color="9B8357" w:themeColor="accent4"/>
          <w:right w:val="single" w:sz="8" w:space="0" w:color="9B8357"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C2BC80" w:themeColor="accent5"/>
        <w:left w:val="single" w:sz="8" w:space="0" w:color="C2BC80" w:themeColor="accent5"/>
        <w:bottom w:val="single" w:sz="8" w:space="0" w:color="C2BC80" w:themeColor="accent5"/>
        <w:right w:val="single" w:sz="8" w:space="0" w:color="C2BC80" w:themeColor="accent5"/>
      </w:tblBorders>
    </w:tblPr>
    <w:tblStylePr w:type="firstRow">
      <w:pPr>
        <w:spacing w:before="0" w:after="0" w:line="240" w:lineRule="auto"/>
      </w:pPr>
      <w:rPr>
        <w:b/>
        <w:bCs/>
        <w:color w:val="FFFFFF" w:themeColor="background1"/>
      </w:rPr>
      <w:tblPr/>
      <w:tcPr>
        <w:shd w:val="clear" w:color="auto" w:fill="C2BC80" w:themeFill="accent5"/>
      </w:tcPr>
    </w:tblStylePr>
    <w:tblStylePr w:type="lastRow">
      <w:pPr>
        <w:spacing w:before="0" w:after="0" w:line="240" w:lineRule="auto"/>
      </w:pPr>
      <w:rPr>
        <w:b/>
        <w:bCs/>
      </w:rPr>
      <w:tblPr/>
      <w:tcPr>
        <w:tcBorders>
          <w:top w:val="double" w:sz="6" w:space="0" w:color="C2BC80" w:themeColor="accent5"/>
          <w:left w:val="single" w:sz="8" w:space="0" w:color="C2BC80" w:themeColor="accent5"/>
          <w:bottom w:val="single" w:sz="8" w:space="0" w:color="C2BC80" w:themeColor="accent5"/>
          <w:right w:val="single" w:sz="8" w:space="0" w:color="C2BC80" w:themeColor="accent5"/>
        </w:tcBorders>
      </w:tcPr>
    </w:tblStylePr>
    <w:tblStylePr w:type="firstCol">
      <w:rPr>
        <w:b/>
        <w:bCs/>
      </w:rPr>
    </w:tblStylePr>
    <w:tblStylePr w:type="lastCol">
      <w:rPr>
        <w:b/>
        <w:bCs/>
      </w:rPr>
    </w:tblStylePr>
    <w:tblStylePr w:type="band1Vert">
      <w:tblPr/>
      <w:tcPr>
        <w:tcBorders>
          <w:top w:val="single" w:sz="8" w:space="0" w:color="C2BC80" w:themeColor="accent5"/>
          <w:left w:val="single" w:sz="8" w:space="0" w:color="C2BC80" w:themeColor="accent5"/>
          <w:bottom w:val="single" w:sz="8" w:space="0" w:color="C2BC80" w:themeColor="accent5"/>
          <w:right w:val="single" w:sz="8" w:space="0" w:color="C2BC80" w:themeColor="accent5"/>
        </w:tcBorders>
      </w:tcPr>
    </w:tblStylePr>
    <w:tblStylePr w:type="band1Horz">
      <w:tblPr/>
      <w:tcPr>
        <w:tcBorders>
          <w:top w:val="single" w:sz="8" w:space="0" w:color="C2BC80" w:themeColor="accent5"/>
          <w:left w:val="single" w:sz="8" w:space="0" w:color="C2BC80" w:themeColor="accent5"/>
          <w:bottom w:val="single" w:sz="8" w:space="0" w:color="C2BC80" w:themeColor="accent5"/>
          <w:right w:val="single" w:sz="8" w:space="0" w:color="C2BC80"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94A088" w:themeColor="accent6"/>
        <w:left w:val="single" w:sz="8" w:space="0" w:color="94A088" w:themeColor="accent6"/>
        <w:bottom w:val="single" w:sz="8" w:space="0" w:color="94A088" w:themeColor="accent6"/>
        <w:right w:val="single" w:sz="8" w:space="0" w:color="94A088" w:themeColor="accent6"/>
      </w:tblBorders>
    </w:tblPr>
    <w:tblStylePr w:type="firstRow">
      <w:pPr>
        <w:spacing w:before="0" w:after="0" w:line="240" w:lineRule="auto"/>
      </w:pPr>
      <w:rPr>
        <w:b/>
        <w:bCs/>
        <w:color w:val="FFFFFF" w:themeColor="background1"/>
      </w:rPr>
      <w:tblPr/>
      <w:tcPr>
        <w:shd w:val="clear" w:color="auto" w:fill="94A088" w:themeFill="accent6"/>
      </w:tcPr>
    </w:tblStylePr>
    <w:tblStylePr w:type="lastRow">
      <w:pPr>
        <w:spacing w:before="0" w:after="0" w:line="240" w:lineRule="auto"/>
      </w:pPr>
      <w:rPr>
        <w:b/>
        <w:bCs/>
      </w:rPr>
      <w:tblPr/>
      <w:tcPr>
        <w:tcBorders>
          <w:top w:val="double" w:sz="6" w:space="0" w:color="94A088" w:themeColor="accent6"/>
          <w:left w:val="single" w:sz="8" w:space="0" w:color="94A088" w:themeColor="accent6"/>
          <w:bottom w:val="single" w:sz="8" w:space="0" w:color="94A088" w:themeColor="accent6"/>
          <w:right w:val="single" w:sz="8" w:space="0" w:color="94A088" w:themeColor="accent6"/>
        </w:tcBorders>
      </w:tcPr>
    </w:tblStylePr>
    <w:tblStylePr w:type="firstCol">
      <w:rPr>
        <w:b/>
        <w:bCs/>
      </w:rPr>
    </w:tblStylePr>
    <w:tblStylePr w:type="lastCol">
      <w:rPr>
        <w:b/>
        <w:bCs/>
      </w:rPr>
    </w:tblStylePr>
    <w:tblStylePr w:type="band1Vert">
      <w:tblPr/>
      <w:tcPr>
        <w:tcBorders>
          <w:top w:val="single" w:sz="8" w:space="0" w:color="94A088" w:themeColor="accent6"/>
          <w:left w:val="single" w:sz="8" w:space="0" w:color="94A088" w:themeColor="accent6"/>
          <w:bottom w:val="single" w:sz="8" w:space="0" w:color="94A088" w:themeColor="accent6"/>
          <w:right w:val="single" w:sz="8" w:space="0" w:color="94A088" w:themeColor="accent6"/>
        </w:tcBorders>
      </w:tcPr>
    </w:tblStylePr>
    <w:tblStylePr w:type="band1Horz">
      <w:tblPr/>
      <w:tcPr>
        <w:tcBorders>
          <w:top w:val="single" w:sz="8" w:space="0" w:color="94A088" w:themeColor="accent6"/>
          <w:left w:val="single" w:sz="8" w:space="0" w:color="94A088" w:themeColor="accent6"/>
          <w:bottom w:val="single" w:sz="8" w:space="0" w:color="94A088" w:themeColor="accent6"/>
          <w:right w:val="single" w:sz="8" w:space="0" w:color="94A088"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AA610D" w:themeColor="accent1" w:themeShade="BF"/>
    </w:rPr>
    <w:tblPr>
      <w:tblStyleRowBandSize w:val="1"/>
      <w:tblStyleColBandSize w:val="1"/>
      <w:tblBorders>
        <w:top w:val="single" w:sz="8" w:space="0" w:color="E48312" w:themeColor="accent1"/>
        <w:bottom w:val="single" w:sz="8" w:space="0" w:color="E48312" w:themeColor="accent1"/>
      </w:tblBorders>
    </w:tblPr>
    <w:tblStylePr w:type="firstRow">
      <w:pPr>
        <w:spacing w:before="0" w:after="0" w:line="240" w:lineRule="auto"/>
      </w:pPr>
      <w:rPr>
        <w:b/>
        <w:bCs/>
      </w:rPr>
      <w:tblPr/>
      <w:tcPr>
        <w:tcBorders>
          <w:top w:val="single" w:sz="8" w:space="0" w:color="E48312" w:themeColor="accent1"/>
          <w:left w:val="nil"/>
          <w:bottom w:val="single" w:sz="8" w:space="0" w:color="E48312" w:themeColor="accent1"/>
          <w:right w:val="nil"/>
          <w:insideH w:val="nil"/>
          <w:insideV w:val="nil"/>
        </w:tcBorders>
      </w:tcPr>
    </w:tblStylePr>
    <w:tblStylePr w:type="lastRow">
      <w:pPr>
        <w:spacing w:before="0" w:after="0" w:line="240" w:lineRule="auto"/>
      </w:pPr>
      <w:rPr>
        <w:b/>
        <w:bCs/>
      </w:rPr>
      <w:tblPr/>
      <w:tcPr>
        <w:tcBorders>
          <w:top w:val="single" w:sz="8" w:space="0" w:color="E48312" w:themeColor="accent1"/>
          <w:left w:val="nil"/>
          <w:bottom w:val="single" w:sz="8" w:space="0" w:color="E4831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E0C2" w:themeFill="accent1" w:themeFillTint="3F"/>
      </w:tcPr>
    </w:tblStylePr>
    <w:tblStylePr w:type="band1Horz">
      <w:tblPr/>
      <w:tcPr>
        <w:tcBorders>
          <w:left w:val="nil"/>
          <w:right w:val="nil"/>
          <w:insideH w:val="nil"/>
          <w:insideV w:val="nil"/>
        </w:tcBorders>
        <w:shd w:val="clear" w:color="auto" w:fill="FAE0C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8D4121" w:themeColor="accent2" w:themeShade="BF"/>
    </w:rPr>
    <w:tblPr>
      <w:tblStyleRowBandSize w:val="1"/>
      <w:tblStyleColBandSize w:val="1"/>
      <w:tblBorders>
        <w:top w:val="single" w:sz="8" w:space="0" w:color="BD582C" w:themeColor="accent2"/>
        <w:bottom w:val="single" w:sz="8" w:space="0" w:color="BD582C" w:themeColor="accent2"/>
      </w:tblBorders>
    </w:tblPr>
    <w:tblStylePr w:type="firstRow">
      <w:pPr>
        <w:spacing w:before="0" w:after="0" w:line="240" w:lineRule="auto"/>
      </w:pPr>
      <w:rPr>
        <w:b/>
        <w:bCs/>
      </w:rPr>
      <w:tblPr/>
      <w:tcPr>
        <w:tcBorders>
          <w:top w:val="single" w:sz="8" w:space="0" w:color="BD582C" w:themeColor="accent2"/>
          <w:left w:val="nil"/>
          <w:bottom w:val="single" w:sz="8" w:space="0" w:color="BD582C" w:themeColor="accent2"/>
          <w:right w:val="nil"/>
          <w:insideH w:val="nil"/>
          <w:insideV w:val="nil"/>
        </w:tcBorders>
      </w:tcPr>
    </w:tblStylePr>
    <w:tblStylePr w:type="lastRow">
      <w:pPr>
        <w:spacing w:before="0" w:after="0" w:line="240" w:lineRule="auto"/>
      </w:pPr>
      <w:rPr>
        <w:b/>
        <w:bCs/>
      </w:rPr>
      <w:tblPr/>
      <w:tcPr>
        <w:tcBorders>
          <w:top w:val="single" w:sz="8" w:space="0" w:color="BD582C" w:themeColor="accent2"/>
          <w:left w:val="nil"/>
          <w:bottom w:val="single" w:sz="8" w:space="0" w:color="BD582C"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D4C7" w:themeFill="accent2" w:themeFillTint="3F"/>
      </w:tcPr>
    </w:tblStylePr>
    <w:tblStylePr w:type="band1Horz">
      <w:tblPr/>
      <w:tcPr>
        <w:tcBorders>
          <w:left w:val="nil"/>
          <w:right w:val="nil"/>
          <w:insideH w:val="nil"/>
          <w:insideV w:val="nil"/>
        </w:tcBorders>
        <w:shd w:val="clear" w:color="auto" w:fill="F2D4C7"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644030" w:themeColor="accent3" w:themeShade="BF"/>
    </w:rPr>
    <w:tblPr>
      <w:tblStyleRowBandSize w:val="1"/>
      <w:tblStyleColBandSize w:val="1"/>
      <w:tblBorders>
        <w:top w:val="single" w:sz="8" w:space="0" w:color="865640" w:themeColor="accent3"/>
        <w:bottom w:val="single" w:sz="8" w:space="0" w:color="865640" w:themeColor="accent3"/>
      </w:tblBorders>
    </w:tblPr>
    <w:tblStylePr w:type="firstRow">
      <w:pPr>
        <w:spacing w:before="0" w:after="0" w:line="240" w:lineRule="auto"/>
      </w:pPr>
      <w:rPr>
        <w:b/>
        <w:bCs/>
      </w:rPr>
      <w:tblPr/>
      <w:tcPr>
        <w:tcBorders>
          <w:top w:val="single" w:sz="8" w:space="0" w:color="865640" w:themeColor="accent3"/>
          <w:left w:val="nil"/>
          <w:bottom w:val="single" w:sz="8" w:space="0" w:color="865640" w:themeColor="accent3"/>
          <w:right w:val="nil"/>
          <w:insideH w:val="nil"/>
          <w:insideV w:val="nil"/>
        </w:tcBorders>
      </w:tcPr>
    </w:tblStylePr>
    <w:tblStylePr w:type="lastRow">
      <w:pPr>
        <w:spacing w:before="0" w:after="0" w:line="240" w:lineRule="auto"/>
      </w:pPr>
      <w:rPr>
        <w:b/>
        <w:bCs/>
      </w:rPr>
      <w:tblPr/>
      <w:tcPr>
        <w:tcBorders>
          <w:top w:val="single" w:sz="8" w:space="0" w:color="865640" w:themeColor="accent3"/>
          <w:left w:val="nil"/>
          <w:bottom w:val="single" w:sz="8" w:space="0" w:color="865640"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D3CA" w:themeFill="accent3" w:themeFillTint="3F"/>
      </w:tcPr>
    </w:tblStylePr>
    <w:tblStylePr w:type="band1Horz">
      <w:tblPr/>
      <w:tcPr>
        <w:tcBorders>
          <w:left w:val="nil"/>
          <w:right w:val="nil"/>
          <w:insideH w:val="nil"/>
          <w:insideV w:val="nil"/>
        </w:tcBorders>
        <w:shd w:val="clear" w:color="auto" w:fill="E6D3C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736141" w:themeColor="accent4" w:themeShade="BF"/>
    </w:rPr>
    <w:tblPr>
      <w:tblStyleRowBandSize w:val="1"/>
      <w:tblStyleColBandSize w:val="1"/>
      <w:tblBorders>
        <w:top w:val="single" w:sz="8" w:space="0" w:color="9B8357" w:themeColor="accent4"/>
        <w:bottom w:val="single" w:sz="8" w:space="0" w:color="9B8357" w:themeColor="accent4"/>
      </w:tblBorders>
    </w:tblPr>
    <w:tblStylePr w:type="firstRow">
      <w:pPr>
        <w:spacing w:before="0" w:after="0" w:line="240" w:lineRule="auto"/>
      </w:pPr>
      <w:rPr>
        <w:b/>
        <w:bCs/>
      </w:rPr>
      <w:tblPr/>
      <w:tcPr>
        <w:tcBorders>
          <w:top w:val="single" w:sz="8" w:space="0" w:color="9B8357" w:themeColor="accent4"/>
          <w:left w:val="nil"/>
          <w:bottom w:val="single" w:sz="8" w:space="0" w:color="9B8357" w:themeColor="accent4"/>
          <w:right w:val="nil"/>
          <w:insideH w:val="nil"/>
          <w:insideV w:val="nil"/>
        </w:tcBorders>
      </w:tcPr>
    </w:tblStylePr>
    <w:tblStylePr w:type="lastRow">
      <w:pPr>
        <w:spacing w:before="0" w:after="0" w:line="240" w:lineRule="auto"/>
      </w:pPr>
      <w:rPr>
        <w:b/>
        <w:bCs/>
      </w:rPr>
      <w:tblPr/>
      <w:tcPr>
        <w:tcBorders>
          <w:top w:val="single" w:sz="8" w:space="0" w:color="9B8357" w:themeColor="accent4"/>
          <w:left w:val="nil"/>
          <w:bottom w:val="single" w:sz="8" w:space="0" w:color="9B8357"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E0D4" w:themeFill="accent4" w:themeFillTint="3F"/>
      </w:tcPr>
    </w:tblStylePr>
    <w:tblStylePr w:type="band1Horz">
      <w:tblPr/>
      <w:tcPr>
        <w:tcBorders>
          <w:left w:val="nil"/>
          <w:right w:val="nil"/>
          <w:insideH w:val="nil"/>
          <w:insideV w:val="nil"/>
        </w:tcBorders>
        <w:shd w:val="clear" w:color="auto" w:fill="E7E0D4"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A29A4E" w:themeColor="accent5" w:themeShade="BF"/>
    </w:rPr>
    <w:tblPr>
      <w:tblStyleRowBandSize w:val="1"/>
      <w:tblStyleColBandSize w:val="1"/>
      <w:tblBorders>
        <w:top w:val="single" w:sz="8" w:space="0" w:color="C2BC80" w:themeColor="accent5"/>
        <w:bottom w:val="single" w:sz="8" w:space="0" w:color="C2BC80" w:themeColor="accent5"/>
      </w:tblBorders>
    </w:tblPr>
    <w:tblStylePr w:type="firstRow">
      <w:pPr>
        <w:spacing w:before="0" w:after="0" w:line="240" w:lineRule="auto"/>
      </w:pPr>
      <w:rPr>
        <w:b/>
        <w:bCs/>
      </w:rPr>
      <w:tblPr/>
      <w:tcPr>
        <w:tcBorders>
          <w:top w:val="single" w:sz="8" w:space="0" w:color="C2BC80" w:themeColor="accent5"/>
          <w:left w:val="nil"/>
          <w:bottom w:val="single" w:sz="8" w:space="0" w:color="C2BC80" w:themeColor="accent5"/>
          <w:right w:val="nil"/>
          <w:insideH w:val="nil"/>
          <w:insideV w:val="nil"/>
        </w:tcBorders>
      </w:tcPr>
    </w:tblStylePr>
    <w:tblStylePr w:type="lastRow">
      <w:pPr>
        <w:spacing w:before="0" w:after="0" w:line="240" w:lineRule="auto"/>
      </w:pPr>
      <w:rPr>
        <w:b/>
        <w:bCs/>
      </w:rPr>
      <w:tblPr/>
      <w:tcPr>
        <w:tcBorders>
          <w:top w:val="single" w:sz="8" w:space="0" w:color="C2BC80" w:themeColor="accent5"/>
          <w:left w:val="nil"/>
          <w:bottom w:val="single" w:sz="8" w:space="0" w:color="C2BC80"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0EEDF" w:themeFill="accent5" w:themeFillTint="3F"/>
      </w:tcPr>
    </w:tblStylePr>
    <w:tblStylePr w:type="band1Horz">
      <w:tblPr/>
      <w:tcPr>
        <w:tcBorders>
          <w:left w:val="nil"/>
          <w:right w:val="nil"/>
          <w:insideH w:val="nil"/>
          <w:insideV w:val="nil"/>
        </w:tcBorders>
        <w:shd w:val="clear" w:color="auto" w:fill="F0EEDF"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6E7B62" w:themeColor="accent6" w:themeShade="BF"/>
    </w:rPr>
    <w:tblPr>
      <w:tblStyleRowBandSize w:val="1"/>
      <w:tblStyleColBandSize w:val="1"/>
      <w:tblBorders>
        <w:top w:val="single" w:sz="8" w:space="0" w:color="94A088" w:themeColor="accent6"/>
        <w:bottom w:val="single" w:sz="8" w:space="0" w:color="94A088" w:themeColor="accent6"/>
      </w:tblBorders>
    </w:tblPr>
    <w:tblStylePr w:type="firstRow">
      <w:pPr>
        <w:spacing w:before="0" w:after="0" w:line="240" w:lineRule="auto"/>
      </w:pPr>
      <w:rPr>
        <w:b/>
        <w:bCs/>
      </w:rPr>
      <w:tblPr/>
      <w:tcPr>
        <w:tcBorders>
          <w:top w:val="single" w:sz="8" w:space="0" w:color="94A088" w:themeColor="accent6"/>
          <w:left w:val="nil"/>
          <w:bottom w:val="single" w:sz="8" w:space="0" w:color="94A088" w:themeColor="accent6"/>
          <w:right w:val="nil"/>
          <w:insideH w:val="nil"/>
          <w:insideV w:val="nil"/>
        </w:tcBorders>
      </w:tcPr>
    </w:tblStylePr>
    <w:tblStylePr w:type="lastRow">
      <w:pPr>
        <w:spacing w:before="0" w:after="0" w:line="240" w:lineRule="auto"/>
      </w:pPr>
      <w:rPr>
        <w:b/>
        <w:bCs/>
      </w:rPr>
      <w:tblPr/>
      <w:tcPr>
        <w:tcBorders>
          <w:top w:val="single" w:sz="8" w:space="0" w:color="94A088" w:themeColor="accent6"/>
          <w:left w:val="nil"/>
          <w:bottom w:val="single" w:sz="8" w:space="0" w:color="94A08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4E7E1" w:themeFill="accent6" w:themeFillTint="3F"/>
      </w:tcPr>
    </w:tblStylePr>
    <w:tblStylePr w:type="band1Horz">
      <w:tblPr/>
      <w:tcPr>
        <w:tcBorders>
          <w:left w:val="nil"/>
          <w:right w:val="nil"/>
          <w:insideH w:val="nil"/>
          <w:insideV w:val="nil"/>
        </w:tcBorders>
        <w:shd w:val="clear" w:color="auto" w:fill="E4E7E1"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3B46B" w:themeColor="accent1" w:themeTint="99"/>
        </w:tcBorders>
      </w:tcPr>
    </w:tblStylePr>
    <w:tblStylePr w:type="lastRow">
      <w:rPr>
        <w:b/>
        <w:bCs/>
      </w:rPr>
      <w:tblPr/>
      <w:tcPr>
        <w:tcBorders>
          <w:top w:val="single" w:sz="4" w:space="0" w:color="F3B46B" w:themeColor="accent1" w:themeTint="99"/>
        </w:tcBorders>
      </w:tcPr>
    </w:tblStylePr>
    <w:tblStylePr w:type="firstCol">
      <w:rPr>
        <w:b/>
        <w:bCs/>
      </w:rPr>
    </w:tblStylePr>
    <w:tblStylePr w:type="lastCol">
      <w:rPr>
        <w:b/>
        <w:bCs/>
      </w:rPr>
    </w:tblStylePr>
    <w:tblStylePr w:type="band1Vert">
      <w:tblPr/>
      <w:tcPr>
        <w:shd w:val="clear" w:color="auto" w:fill="FBE6CD" w:themeFill="accent1" w:themeFillTint="33"/>
      </w:tcPr>
    </w:tblStylePr>
    <w:tblStylePr w:type="band1Horz">
      <w:tblPr/>
      <w:tcPr>
        <w:shd w:val="clear" w:color="auto" w:fill="FBE6CD"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F9778" w:themeColor="accent2" w:themeTint="99"/>
        </w:tcBorders>
      </w:tcPr>
    </w:tblStylePr>
    <w:tblStylePr w:type="lastRow">
      <w:rPr>
        <w:b/>
        <w:bCs/>
      </w:rPr>
      <w:tblPr/>
      <w:tcPr>
        <w:tcBorders>
          <w:top w:val="single" w:sz="4" w:space="0" w:color="DF9778" w:themeColor="accent2" w:themeTint="99"/>
        </w:tcBorders>
      </w:tcPr>
    </w:tblStylePr>
    <w:tblStylePr w:type="firstCol">
      <w:rPr>
        <w:b/>
        <w:bCs/>
      </w:rPr>
    </w:tblStylePr>
    <w:tblStylePr w:type="lastCol">
      <w:rPr>
        <w:b/>
        <w:bCs/>
      </w:rPr>
    </w:tblStylePr>
    <w:tblStylePr w:type="band1Vert">
      <w:tblPr/>
      <w:tcPr>
        <w:shd w:val="clear" w:color="auto" w:fill="F4DCD1" w:themeFill="accent2" w:themeFillTint="33"/>
      </w:tcPr>
    </w:tblStylePr>
    <w:tblStylePr w:type="band1Horz">
      <w:tblPr/>
      <w:tcPr>
        <w:shd w:val="clear" w:color="auto" w:fill="F4DCD1"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C29480" w:themeColor="accent3" w:themeTint="99"/>
        </w:tcBorders>
      </w:tcPr>
    </w:tblStylePr>
    <w:tblStylePr w:type="lastRow">
      <w:rPr>
        <w:b/>
        <w:bCs/>
      </w:rPr>
      <w:tblPr/>
      <w:tcPr>
        <w:tcBorders>
          <w:top w:val="single" w:sz="4" w:space="0" w:color="C29480" w:themeColor="accent3" w:themeTint="99"/>
        </w:tcBorders>
      </w:tcPr>
    </w:tblStylePr>
    <w:tblStylePr w:type="firstCol">
      <w:rPr>
        <w:b/>
        <w:bCs/>
      </w:rPr>
    </w:tblStylePr>
    <w:tblStylePr w:type="lastCol">
      <w:rPr>
        <w:b/>
        <w:bCs/>
      </w:rPr>
    </w:tblStylePr>
    <w:tblStylePr w:type="band1Vert">
      <w:tblPr/>
      <w:tcPr>
        <w:shd w:val="clear" w:color="auto" w:fill="EADBD4" w:themeFill="accent3" w:themeFillTint="33"/>
      </w:tcPr>
    </w:tblStylePr>
    <w:tblStylePr w:type="band1Horz">
      <w:tblPr/>
      <w:tcPr>
        <w:shd w:val="clear" w:color="auto" w:fill="EADBD4"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C5B597" w:themeColor="accent4" w:themeTint="99"/>
        </w:tcBorders>
      </w:tcPr>
    </w:tblStylePr>
    <w:tblStylePr w:type="lastRow">
      <w:rPr>
        <w:b/>
        <w:bCs/>
      </w:rPr>
      <w:tblPr/>
      <w:tcPr>
        <w:tcBorders>
          <w:top w:val="single" w:sz="4" w:space="0" w:color="C5B597" w:themeColor="accent4" w:themeTint="99"/>
        </w:tcBorders>
      </w:tcPr>
    </w:tblStylePr>
    <w:tblStylePr w:type="firstCol">
      <w:rPr>
        <w:b/>
        <w:bCs/>
      </w:rPr>
    </w:tblStylePr>
    <w:tblStylePr w:type="lastCol">
      <w:rPr>
        <w:b/>
        <w:bCs/>
      </w:rPr>
    </w:tblStylePr>
    <w:tblStylePr w:type="band1Vert">
      <w:tblPr/>
      <w:tcPr>
        <w:shd w:val="clear" w:color="auto" w:fill="EBE6DC" w:themeFill="accent4" w:themeFillTint="33"/>
      </w:tcPr>
    </w:tblStylePr>
    <w:tblStylePr w:type="band1Horz">
      <w:tblPr/>
      <w:tcPr>
        <w:shd w:val="clear" w:color="auto" w:fill="EBE6DC"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AD6B2" w:themeColor="accent5" w:themeTint="99"/>
        </w:tcBorders>
      </w:tcPr>
    </w:tblStylePr>
    <w:tblStylePr w:type="lastRow">
      <w:rPr>
        <w:b/>
        <w:bCs/>
      </w:rPr>
      <w:tblPr/>
      <w:tcPr>
        <w:tcBorders>
          <w:top w:val="single" w:sz="4" w:space="0" w:color="DAD6B2" w:themeColor="accent5" w:themeTint="99"/>
        </w:tcBorders>
      </w:tcPr>
    </w:tblStylePr>
    <w:tblStylePr w:type="firstCol">
      <w:rPr>
        <w:b/>
        <w:bCs/>
      </w:rPr>
    </w:tblStylePr>
    <w:tblStylePr w:type="lastCol">
      <w:rPr>
        <w:b/>
        <w:bCs/>
      </w:rPr>
    </w:tblStylePr>
    <w:tblStylePr w:type="band1Vert">
      <w:tblPr/>
      <w:tcPr>
        <w:shd w:val="clear" w:color="auto" w:fill="F2F1E5" w:themeFill="accent5" w:themeFillTint="33"/>
      </w:tcPr>
    </w:tblStylePr>
    <w:tblStylePr w:type="band1Horz">
      <w:tblPr/>
      <w:tcPr>
        <w:shd w:val="clear" w:color="auto" w:fill="F2F1E5"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BEC6B7" w:themeColor="accent6" w:themeTint="99"/>
        </w:tcBorders>
      </w:tcPr>
    </w:tblStylePr>
    <w:tblStylePr w:type="lastRow">
      <w:rPr>
        <w:b/>
        <w:bCs/>
      </w:rPr>
      <w:tblPr/>
      <w:tcPr>
        <w:tcBorders>
          <w:top w:val="single" w:sz="4" w:space="0" w:color="BEC6B7" w:themeColor="accent6" w:themeTint="99"/>
        </w:tcBorders>
      </w:tcPr>
    </w:tblStylePr>
    <w:tblStylePr w:type="firstCol">
      <w:rPr>
        <w:b/>
        <w:bCs/>
      </w:rPr>
    </w:tblStylePr>
    <w:tblStylePr w:type="lastCol">
      <w:rPr>
        <w:b/>
        <w:bCs/>
      </w:rPr>
    </w:tblStylePr>
    <w:tblStylePr w:type="band1Vert">
      <w:tblPr/>
      <w:tcPr>
        <w:shd w:val="clear" w:color="auto" w:fill="E9ECE7" w:themeFill="accent6" w:themeFillTint="33"/>
      </w:tcPr>
    </w:tblStylePr>
    <w:tblStylePr w:type="band1Horz">
      <w:tblPr/>
      <w:tcPr>
        <w:shd w:val="clear" w:color="auto" w:fill="E9ECE7"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F3B46B" w:themeColor="accent1" w:themeTint="99"/>
        <w:bottom w:val="single" w:sz="4" w:space="0" w:color="F3B46B" w:themeColor="accent1" w:themeTint="99"/>
        <w:insideH w:val="single" w:sz="4" w:space="0" w:color="F3B46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6CD" w:themeFill="accent1" w:themeFillTint="33"/>
      </w:tcPr>
    </w:tblStylePr>
    <w:tblStylePr w:type="band1Horz">
      <w:tblPr/>
      <w:tcPr>
        <w:shd w:val="clear" w:color="auto" w:fill="FBE6CD"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DF9778" w:themeColor="accent2" w:themeTint="99"/>
        <w:bottom w:val="single" w:sz="4" w:space="0" w:color="DF9778" w:themeColor="accent2" w:themeTint="99"/>
        <w:insideH w:val="single" w:sz="4" w:space="0" w:color="DF9778"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4DCD1" w:themeFill="accent2" w:themeFillTint="33"/>
      </w:tcPr>
    </w:tblStylePr>
    <w:tblStylePr w:type="band1Horz">
      <w:tblPr/>
      <w:tcPr>
        <w:shd w:val="clear" w:color="auto" w:fill="F4DCD1"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C29480" w:themeColor="accent3" w:themeTint="99"/>
        <w:bottom w:val="single" w:sz="4" w:space="0" w:color="C29480" w:themeColor="accent3" w:themeTint="99"/>
        <w:insideH w:val="single" w:sz="4" w:space="0" w:color="C2948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DBD4" w:themeFill="accent3" w:themeFillTint="33"/>
      </w:tcPr>
    </w:tblStylePr>
    <w:tblStylePr w:type="band1Horz">
      <w:tblPr/>
      <w:tcPr>
        <w:shd w:val="clear" w:color="auto" w:fill="EADBD4"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C5B597" w:themeColor="accent4" w:themeTint="99"/>
        <w:bottom w:val="single" w:sz="4" w:space="0" w:color="C5B597" w:themeColor="accent4" w:themeTint="99"/>
        <w:insideH w:val="single" w:sz="4" w:space="0" w:color="C5B59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BE6DC" w:themeFill="accent4" w:themeFillTint="33"/>
      </w:tcPr>
    </w:tblStylePr>
    <w:tblStylePr w:type="band1Horz">
      <w:tblPr/>
      <w:tcPr>
        <w:shd w:val="clear" w:color="auto" w:fill="EBE6DC"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AD6B2" w:themeColor="accent5" w:themeTint="99"/>
        <w:bottom w:val="single" w:sz="4" w:space="0" w:color="DAD6B2" w:themeColor="accent5" w:themeTint="99"/>
        <w:insideH w:val="single" w:sz="4" w:space="0" w:color="DAD6B2"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1E5" w:themeFill="accent5" w:themeFillTint="33"/>
      </w:tcPr>
    </w:tblStylePr>
    <w:tblStylePr w:type="band1Horz">
      <w:tblPr/>
      <w:tcPr>
        <w:shd w:val="clear" w:color="auto" w:fill="F2F1E5"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BEC6B7" w:themeColor="accent6" w:themeTint="99"/>
        <w:bottom w:val="single" w:sz="4" w:space="0" w:color="BEC6B7" w:themeColor="accent6" w:themeTint="99"/>
        <w:insideH w:val="single" w:sz="4" w:space="0" w:color="BEC6B7"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9ECE7" w:themeFill="accent6" w:themeFillTint="33"/>
      </w:tcPr>
    </w:tblStylePr>
    <w:tblStylePr w:type="band1Horz">
      <w:tblPr/>
      <w:tcPr>
        <w:shd w:val="clear" w:color="auto" w:fill="E9ECE7"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E48312" w:themeColor="accent1"/>
        <w:left w:val="single" w:sz="4" w:space="0" w:color="E48312" w:themeColor="accent1"/>
        <w:bottom w:val="single" w:sz="4" w:space="0" w:color="E48312" w:themeColor="accent1"/>
        <w:right w:val="single" w:sz="4" w:space="0" w:color="E48312" w:themeColor="accent1"/>
      </w:tblBorders>
    </w:tblPr>
    <w:tblStylePr w:type="firstRow">
      <w:rPr>
        <w:b/>
        <w:bCs/>
        <w:color w:val="FFFFFF" w:themeColor="background1"/>
      </w:rPr>
      <w:tblPr/>
      <w:tcPr>
        <w:shd w:val="clear" w:color="auto" w:fill="E48312" w:themeFill="accent1"/>
      </w:tcPr>
    </w:tblStylePr>
    <w:tblStylePr w:type="lastRow">
      <w:rPr>
        <w:b/>
        <w:bCs/>
      </w:rPr>
      <w:tblPr/>
      <w:tcPr>
        <w:tcBorders>
          <w:top w:val="double" w:sz="4" w:space="0" w:color="E4831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48312" w:themeColor="accent1"/>
          <w:right w:val="single" w:sz="4" w:space="0" w:color="E48312" w:themeColor="accent1"/>
        </w:tcBorders>
      </w:tcPr>
    </w:tblStylePr>
    <w:tblStylePr w:type="band1Horz">
      <w:tblPr/>
      <w:tcPr>
        <w:tcBorders>
          <w:top w:val="single" w:sz="4" w:space="0" w:color="E48312" w:themeColor="accent1"/>
          <w:bottom w:val="single" w:sz="4" w:space="0" w:color="E4831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48312" w:themeColor="accent1"/>
          <w:left w:val="nil"/>
        </w:tcBorders>
      </w:tcPr>
    </w:tblStylePr>
    <w:tblStylePr w:type="swCell">
      <w:tblPr/>
      <w:tcPr>
        <w:tcBorders>
          <w:top w:val="double" w:sz="4" w:space="0" w:color="E4831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BD582C" w:themeColor="accent2"/>
        <w:left w:val="single" w:sz="4" w:space="0" w:color="BD582C" w:themeColor="accent2"/>
        <w:bottom w:val="single" w:sz="4" w:space="0" w:color="BD582C" w:themeColor="accent2"/>
        <w:right w:val="single" w:sz="4" w:space="0" w:color="BD582C" w:themeColor="accent2"/>
      </w:tblBorders>
    </w:tblPr>
    <w:tblStylePr w:type="firstRow">
      <w:rPr>
        <w:b/>
        <w:bCs/>
        <w:color w:val="FFFFFF" w:themeColor="background1"/>
      </w:rPr>
      <w:tblPr/>
      <w:tcPr>
        <w:shd w:val="clear" w:color="auto" w:fill="BD582C" w:themeFill="accent2"/>
      </w:tcPr>
    </w:tblStylePr>
    <w:tblStylePr w:type="lastRow">
      <w:rPr>
        <w:b/>
        <w:bCs/>
      </w:rPr>
      <w:tblPr/>
      <w:tcPr>
        <w:tcBorders>
          <w:top w:val="double" w:sz="4" w:space="0" w:color="BD582C"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D582C" w:themeColor="accent2"/>
          <w:right w:val="single" w:sz="4" w:space="0" w:color="BD582C" w:themeColor="accent2"/>
        </w:tcBorders>
      </w:tcPr>
    </w:tblStylePr>
    <w:tblStylePr w:type="band1Horz">
      <w:tblPr/>
      <w:tcPr>
        <w:tcBorders>
          <w:top w:val="single" w:sz="4" w:space="0" w:color="BD582C" w:themeColor="accent2"/>
          <w:bottom w:val="single" w:sz="4" w:space="0" w:color="BD582C"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D582C" w:themeColor="accent2"/>
          <w:left w:val="nil"/>
        </w:tcBorders>
      </w:tcPr>
    </w:tblStylePr>
    <w:tblStylePr w:type="swCell">
      <w:tblPr/>
      <w:tcPr>
        <w:tcBorders>
          <w:top w:val="double" w:sz="4" w:space="0" w:color="BD582C"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865640" w:themeColor="accent3"/>
        <w:left w:val="single" w:sz="4" w:space="0" w:color="865640" w:themeColor="accent3"/>
        <w:bottom w:val="single" w:sz="4" w:space="0" w:color="865640" w:themeColor="accent3"/>
        <w:right w:val="single" w:sz="4" w:space="0" w:color="865640" w:themeColor="accent3"/>
      </w:tblBorders>
    </w:tblPr>
    <w:tblStylePr w:type="firstRow">
      <w:rPr>
        <w:b/>
        <w:bCs/>
        <w:color w:val="FFFFFF" w:themeColor="background1"/>
      </w:rPr>
      <w:tblPr/>
      <w:tcPr>
        <w:shd w:val="clear" w:color="auto" w:fill="865640" w:themeFill="accent3"/>
      </w:tcPr>
    </w:tblStylePr>
    <w:tblStylePr w:type="lastRow">
      <w:rPr>
        <w:b/>
        <w:bCs/>
      </w:rPr>
      <w:tblPr/>
      <w:tcPr>
        <w:tcBorders>
          <w:top w:val="double" w:sz="4" w:space="0" w:color="865640"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65640" w:themeColor="accent3"/>
          <w:right w:val="single" w:sz="4" w:space="0" w:color="865640" w:themeColor="accent3"/>
        </w:tcBorders>
      </w:tcPr>
    </w:tblStylePr>
    <w:tblStylePr w:type="band1Horz">
      <w:tblPr/>
      <w:tcPr>
        <w:tcBorders>
          <w:top w:val="single" w:sz="4" w:space="0" w:color="865640" w:themeColor="accent3"/>
          <w:bottom w:val="single" w:sz="4" w:space="0" w:color="865640"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65640" w:themeColor="accent3"/>
          <w:left w:val="nil"/>
        </w:tcBorders>
      </w:tcPr>
    </w:tblStylePr>
    <w:tblStylePr w:type="swCell">
      <w:tblPr/>
      <w:tcPr>
        <w:tcBorders>
          <w:top w:val="double" w:sz="4" w:space="0" w:color="865640"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9B8357" w:themeColor="accent4"/>
        <w:left w:val="single" w:sz="4" w:space="0" w:color="9B8357" w:themeColor="accent4"/>
        <w:bottom w:val="single" w:sz="4" w:space="0" w:color="9B8357" w:themeColor="accent4"/>
        <w:right w:val="single" w:sz="4" w:space="0" w:color="9B8357" w:themeColor="accent4"/>
      </w:tblBorders>
    </w:tblPr>
    <w:tblStylePr w:type="firstRow">
      <w:rPr>
        <w:b/>
        <w:bCs/>
        <w:color w:val="FFFFFF" w:themeColor="background1"/>
      </w:rPr>
      <w:tblPr/>
      <w:tcPr>
        <w:shd w:val="clear" w:color="auto" w:fill="9B8357" w:themeFill="accent4"/>
      </w:tcPr>
    </w:tblStylePr>
    <w:tblStylePr w:type="lastRow">
      <w:rPr>
        <w:b/>
        <w:bCs/>
      </w:rPr>
      <w:tblPr/>
      <w:tcPr>
        <w:tcBorders>
          <w:top w:val="double" w:sz="4" w:space="0" w:color="9B8357"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8357" w:themeColor="accent4"/>
          <w:right w:val="single" w:sz="4" w:space="0" w:color="9B8357" w:themeColor="accent4"/>
        </w:tcBorders>
      </w:tcPr>
    </w:tblStylePr>
    <w:tblStylePr w:type="band1Horz">
      <w:tblPr/>
      <w:tcPr>
        <w:tcBorders>
          <w:top w:val="single" w:sz="4" w:space="0" w:color="9B8357" w:themeColor="accent4"/>
          <w:bottom w:val="single" w:sz="4" w:space="0" w:color="9B8357"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8357" w:themeColor="accent4"/>
          <w:left w:val="nil"/>
        </w:tcBorders>
      </w:tcPr>
    </w:tblStylePr>
    <w:tblStylePr w:type="swCell">
      <w:tblPr/>
      <w:tcPr>
        <w:tcBorders>
          <w:top w:val="double" w:sz="4" w:space="0" w:color="9B8357"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C2BC80" w:themeColor="accent5"/>
        <w:left w:val="single" w:sz="4" w:space="0" w:color="C2BC80" w:themeColor="accent5"/>
        <w:bottom w:val="single" w:sz="4" w:space="0" w:color="C2BC80" w:themeColor="accent5"/>
        <w:right w:val="single" w:sz="4" w:space="0" w:color="C2BC80" w:themeColor="accent5"/>
      </w:tblBorders>
    </w:tblPr>
    <w:tblStylePr w:type="firstRow">
      <w:rPr>
        <w:b/>
        <w:bCs/>
        <w:color w:val="FFFFFF" w:themeColor="background1"/>
      </w:rPr>
      <w:tblPr/>
      <w:tcPr>
        <w:shd w:val="clear" w:color="auto" w:fill="C2BC80" w:themeFill="accent5"/>
      </w:tcPr>
    </w:tblStylePr>
    <w:tblStylePr w:type="lastRow">
      <w:rPr>
        <w:b/>
        <w:bCs/>
      </w:rPr>
      <w:tblPr/>
      <w:tcPr>
        <w:tcBorders>
          <w:top w:val="double" w:sz="4" w:space="0" w:color="C2BC80"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2BC80" w:themeColor="accent5"/>
          <w:right w:val="single" w:sz="4" w:space="0" w:color="C2BC80" w:themeColor="accent5"/>
        </w:tcBorders>
      </w:tcPr>
    </w:tblStylePr>
    <w:tblStylePr w:type="band1Horz">
      <w:tblPr/>
      <w:tcPr>
        <w:tcBorders>
          <w:top w:val="single" w:sz="4" w:space="0" w:color="C2BC80" w:themeColor="accent5"/>
          <w:bottom w:val="single" w:sz="4" w:space="0" w:color="C2BC80"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2BC80" w:themeColor="accent5"/>
          <w:left w:val="nil"/>
        </w:tcBorders>
      </w:tcPr>
    </w:tblStylePr>
    <w:tblStylePr w:type="swCell">
      <w:tblPr/>
      <w:tcPr>
        <w:tcBorders>
          <w:top w:val="double" w:sz="4" w:space="0" w:color="C2BC80"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94A088" w:themeColor="accent6"/>
        <w:left w:val="single" w:sz="4" w:space="0" w:color="94A088" w:themeColor="accent6"/>
        <w:bottom w:val="single" w:sz="4" w:space="0" w:color="94A088" w:themeColor="accent6"/>
        <w:right w:val="single" w:sz="4" w:space="0" w:color="94A088" w:themeColor="accent6"/>
      </w:tblBorders>
    </w:tblPr>
    <w:tblStylePr w:type="firstRow">
      <w:rPr>
        <w:b/>
        <w:bCs/>
        <w:color w:val="FFFFFF" w:themeColor="background1"/>
      </w:rPr>
      <w:tblPr/>
      <w:tcPr>
        <w:shd w:val="clear" w:color="auto" w:fill="94A088" w:themeFill="accent6"/>
      </w:tcPr>
    </w:tblStylePr>
    <w:tblStylePr w:type="lastRow">
      <w:rPr>
        <w:b/>
        <w:bCs/>
      </w:rPr>
      <w:tblPr/>
      <w:tcPr>
        <w:tcBorders>
          <w:top w:val="double" w:sz="4" w:space="0" w:color="94A08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4A088" w:themeColor="accent6"/>
          <w:right w:val="single" w:sz="4" w:space="0" w:color="94A088" w:themeColor="accent6"/>
        </w:tcBorders>
      </w:tcPr>
    </w:tblStylePr>
    <w:tblStylePr w:type="band1Horz">
      <w:tblPr/>
      <w:tcPr>
        <w:tcBorders>
          <w:top w:val="single" w:sz="4" w:space="0" w:color="94A088" w:themeColor="accent6"/>
          <w:bottom w:val="single" w:sz="4" w:space="0" w:color="94A08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4A088" w:themeColor="accent6"/>
          <w:left w:val="nil"/>
        </w:tcBorders>
      </w:tcPr>
    </w:tblStylePr>
    <w:tblStylePr w:type="swCell">
      <w:tblPr/>
      <w:tcPr>
        <w:tcBorders>
          <w:top w:val="double" w:sz="4" w:space="0" w:color="94A088"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F3B46B" w:themeColor="accent1" w:themeTint="99"/>
        <w:left w:val="single" w:sz="4" w:space="0" w:color="F3B46B" w:themeColor="accent1" w:themeTint="99"/>
        <w:bottom w:val="single" w:sz="4" w:space="0" w:color="F3B46B" w:themeColor="accent1" w:themeTint="99"/>
        <w:right w:val="single" w:sz="4" w:space="0" w:color="F3B46B" w:themeColor="accent1" w:themeTint="99"/>
        <w:insideH w:val="single" w:sz="4" w:space="0" w:color="F3B46B" w:themeColor="accent1" w:themeTint="99"/>
      </w:tblBorders>
    </w:tblPr>
    <w:tblStylePr w:type="firstRow">
      <w:rPr>
        <w:b/>
        <w:bCs/>
        <w:color w:val="FFFFFF" w:themeColor="background1"/>
      </w:rPr>
      <w:tblPr/>
      <w:tcPr>
        <w:tcBorders>
          <w:top w:val="single" w:sz="4" w:space="0" w:color="E48312" w:themeColor="accent1"/>
          <w:left w:val="single" w:sz="4" w:space="0" w:color="E48312" w:themeColor="accent1"/>
          <w:bottom w:val="single" w:sz="4" w:space="0" w:color="E48312" w:themeColor="accent1"/>
          <w:right w:val="single" w:sz="4" w:space="0" w:color="E48312" w:themeColor="accent1"/>
          <w:insideH w:val="nil"/>
        </w:tcBorders>
        <w:shd w:val="clear" w:color="auto" w:fill="E48312" w:themeFill="accent1"/>
      </w:tcPr>
    </w:tblStylePr>
    <w:tblStylePr w:type="lastRow">
      <w:rPr>
        <w:b/>
        <w:bCs/>
      </w:rPr>
      <w:tblPr/>
      <w:tcPr>
        <w:tcBorders>
          <w:top w:val="double" w:sz="4" w:space="0" w:color="F3B46B" w:themeColor="accent1" w:themeTint="99"/>
        </w:tcBorders>
      </w:tcPr>
    </w:tblStylePr>
    <w:tblStylePr w:type="firstCol">
      <w:rPr>
        <w:b/>
        <w:bCs/>
      </w:rPr>
    </w:tblStylePr>
    <w:tblStylePr w:type="lastCol">
      <w:rPr>
        <w:b/>
        <w:bCs/>
      </w:rPr>
    </w:tblStylePr>
    <w:tblStylePr w:type="band1Vert">
      <w:tblPr/>
      <w:tcPr>
        <w:shd w:val="clear" w:color="auto" w:fill="FBE6CD" w:themeFill="accent1" w:themeFillTint="33"/>
      </w:tcPr>
    </w:tblStylePr>
    <w:tblStylePr w:type="band1Horz">
      <w:tblPr/>
      <w:tcPr>
        <w:shd w:val="clear" w:color="auto" w:fill="FBE6CD"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DF9778" w:themeColor="accent2" w:themeTint="99"/>
        <w:left w:val="single" w:sz="4" w:space="0" w:color="DF9778" w:themeColor="accent2" w:themeTint="99"/>
        <w:bottom w:val="single" w:sz="4" w:space="0" w:color="DF9778" w:themeColor="accent2" w:themeTint="99"/>
        <w:right w:val="single" w:sz="4" w:space="0" w:color="DF9778" w:themeColor="accent2" w:themeTint="99"/>
        <w:insideH w:val="single" w:sz="4" w:space="0" w:color="DF9778" w:themeColor="accent2" w:themeTint="99"/>
      </w:tblBorders>
    </w:tblPr>
    <w:tblStylePr w:type="firstRow">
      <w:rPr>
        <w:b/>
        <w:bCs/>
        <w:color w:val="FFFFFF" w:themeColor="background1"/>
      </w:rPr>
      <w:tblPr/>
      <w:tcPr>
        <w:tcBorders>
          <w:top w:val="single" w:sz="4" w:space="0" w:color="BD582C" w:themeColor="accent2"/>
          <w:left w:val="single" w:sz="4" w:space="0" w:color="BD582C" w:themeColor="accent2"/>
          <w:bottom w:val="single" w:sz="4" w:space="0" w:color="BD582C" w:themeColor="accent2"/>
          <w:right w:val="single" w:sz="4" w:space="0" w:color="BD582C" w:themeColor="accent2"/>
          <w:insideH w:val="nil"/>
        </w:tcBorders>
        <w:shd w:val="clear" w:color="auto" w:fill="BD582C" w:themeFill="accent2"/>
      </w:tcPr>
    </w:tblStylePr>
    <w:tblStylePr w:type="lastRow">
      <w:rPr>
        <w:b/>
        <w:bCs/>
      </w:rPr>
      <w:tblPr/>
      <w:tcPr>
        <w:tcBorders>
          <w:top w:val="double" w:sz="4" w:space="0" w:color="DF9778" w:themeColor="accent2" w:themeTint="99"/>
        </w:tcBorders>
      </w:tcPr>
    </w:tblStylePr>
    <w:tblStylePr w:type="firstCol">
      <w:rPr>
        <w:b/>
        <w:bCs/>
      </w:rPr>
    </w:tblStylePr>
    <w:tblStylePr w:type="lastCol">
      <w:rPr>
        <w:b/>
        <w:bCs/>
      </w:rPr>
    </w:tblStylePr>
    <w:tblStylePr w:type="band1Vert">
      <w:tblPr/>
      <w:tcPr>
        <w:shd w:val="clear" w:color="auto" w:fill="F4DCD1" w:themeFill="accent2" w:themeFillTint="33"/>
      </w:tcPr>
    </w:tblStylePr>
    <w:tblStylePr w:type="band1Horz">
      <w:tblPr/>
      <w:tcPr>
        <w:shd w:val="clear" w:color="auto" w:fill="F4DCD1"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C29480" w:themeColor="accent3" w:themeTint="99"/>
        <w:left w:val="single" w:sz="4" w:space="0" w:color="C29480" w:themeColor="accent3" w:themeTint="99"/>
        <w:bottom w:val="single" w:sz="4" w:space="0" w:color="C29480" w:themeColor="accent3" w:themeTint="99"/>
        <w:right w:val="single" w:sz="4" w:space="0" w:color="C29480" w:themeColor="accent3" w:themeTint="99"/>
        <w:insideH w:val="single" w:sz="4" w:space="0" w:color="C29480" w:themeColor="accent3" w:themeTint="99"/>
      </w:tblBorders>
    </w:tblPr>
    <w:tblStylePr w:type="firstRow">
      <w:rPr>
        <w:b/>
        <w:bCs/>
        <w:color w:val="FFFFFF" w:themeColor="background1"/>
      </w:rPr>
      <w:tblPr/>
      <w:tcPr>
        <w:tcBorders>
          <w:top w:val="single" w:sz="4" w:space="0" w:color="865640" w:themeColor="accent3"/>
          <w:left w:val="single" w:sz="4" w:space="0" w:color="865640" w:themeColor="accent3"/>
          <w:bottom w:val="single" w:sz="4" w:space="0" w:color="865640" w:themeColor="accent3"/>
          <w:right w:val="single" w:sz="4" w:space="0" w:color="865640" w:themeColor="accent3"/>
          <w:insideH w:val="nil"/>
        </w:tcBorders>
        <w:shd w:val="clear" w:color="auto" w:fill="865640" w:themeFill="accent3"/>
      </w:tcPr>
    </w:tblStylePr>
    <w:tblStylePr w:type="lastRow">
      <w:rPr>
        <w:b/>
        <w:bCs/>
      </w:rPr>
      <w:tblPr/>
      <w:tcPr>
        <w:tcBorders>
          <w:top w:val="double" w:sz="4" w:space="0" w:color="C29480" w:themeColor="accent3" w:themeTint="99"/>
        </w:tcBorders>
      </w:tcPr>
    </w:tblStylePr>
    <w:tblStylePr w:type="firstCol">
      <w:rPr>
        <w:b/>
        <w:bCs/>
      </w:rPr>
    </w:tblStylePr>
    <w:tblStylePr w:type="lastCol">
      <w:rPr>
        <w:b/>
        <w:bCs/>
      </w:rPr>
    </w:tblStylePr>
    <w:tblStylePr w:type="band1Vert">
      <w:tblPr/>
      <w:tcPr>
        <w:shd w:val="clear" w:color="auto" w:fill="EADBD4" w:themeFill="accent3" w:themeFillTint="33"/>
      </w:tcPr>
    </w:tblStylePr>
    <w:tblStylePr w:type="band1Horz">
      <w:tblPr/>
      <w:tcPr>
        <w:shd w:val="clear" w:color="auto" w:fill="EADBD4"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C5B597" w:themeColor="accent4" w:themeTint="99"/>
        <w:left w:val="single" w:sz="4" w:space="0" w:color="C5B597" w:themeColor="accent4" w:themeTint="99"/>
        <w:bottom w:val="single" w:sz="4" w:space="0" w:color="C5B597" w:themeColor="accent4" w:themeTint="99"/>
        <w:right w:val="single" w:sz="4" w:space="0" w:color="C5B597" w:themeColor="accent4" w:themeTint="99"/>
        <w:insideH w:val="single" w:sz="4" w:space="0" w:color="C5B597" w:themeColor="accent4" w:themeTint="99"/>
      </w:tblBorders>
    </w:tblPr>
    <w:tblStylePr w:type="firstRow">
      <w:rPr>
        <w:b/>
        <w:bCs/>
        <w:color w:val="FFFFFF" w:themeColor="background1"/>
      </w:rPr>
      <w:tblPr/>
      <w:tcPr>
        <w:tcBorders>
          <w:top w:val="single" w:sz="4" w:space="0" w:color="9B8357" w:themeColor="accent4"/>
          <w:left w:val="single" w:sz="4" w:space="0" w:color="9B8357" w:themeColor="accent4"/>
          <w:bottom w:val="single" w:sz="4" w:space="0" w:color="9B8357" w:themeColor="accent4"/>
          <w:right w:val="single" w:sz="4" w:space="0" w:color="9B8357" w:themeColor="accent4"/>
          <w:insideH w:val="nil"/>
        </w:tcBorders>
        <w:shd w:val="clear" w:color="auto" w:fill="9B8357" w:themeFill="accent4"/>
      </w:tcPr>
    </w:tblStylePr>
    <w:tblStylePr w:type="lastRow">
      <w:rPr>
        <w:b/>
        <w:bCs/>
      </w:rPr>
      <w:tblPr/>
      <w:tcPr>
        <w:tcBorders>
          <w:top w:val="double" w:sz="4" w:space="0" w:color="C5B597" w:themeColor="accent4" w:themeTint="99"/>
        </w:tcBorders>
      </w:tcPr>
    </w:tblStylePr>
    <w:tblStylePr w:type="firstCol">
      <w:rPr>
        <w:b/>
        <w:bCs/>
      </w:rPr>
    </w:tblStylePr>
    <w:tblStylePr w:type="lastCol">
      <w:rPr>
        <w:b/>
        <w:bCs/>
      </w:rPr>
    </w:tblStylePr>
    <w:tblStylePr w:type="band1Vert">
      <w:tblPr/>
      <w:tcPr>
        <w:shd w:val="clear" w:color="auto" w:fill="EBE6DC" w:themeFill="accent4" w:themeFillTint="33"/>
      </w:tcPr>
    </w:tblStylePr>
    <w:tblStylePr w:type="band1Horz">
      <w:tblPr/>
      <w:tcPr>
        <w:shd w:val="clear" w:color="auto" w:fill="EBE6DC"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AD6B2" w:themeColor="accent5" w:themeTint="99"/>
        <w:left w:val="single" w:sz="4" w:space="0" w:color="DAD6B2" w:themeColor="accent5" w:themeTint="99"/>
        <w:bottom w:val="single" w:sz="4" w:space="0" w:color="DAD6B2" w:themeColor="accent5" w:themeTint="99"/>
        <w:right w:val="single" w:sz="4" w:space="0" w:color="DAD6B2" w:themeColor="accent5" w:themeTint="99"/>
        <w:insideH w:val="single" w:sz="4" w:space="0" w:color="DAD6B2" w:themeColor="accent5" w:themeTint="99"/>
      </w:tblBorders>
    </w:tblPr>
    <w:tblStylePr w:type="firstRow">
      <w:rPr>
        <w:b/>
        <w:bCs/>
        <w:color w:val="FFFFFF" w:themeColor="background1"/>
      </w:rPr>
      <w:tblPr/>
      <w:tcPr>
        <w:tcBorders>
          <w:top w:val="single" w:sz="4" w:space="0" w:color="C2BC80" w:themeColor="accent5"/>
          <w:left w:val="single" w:sz="4" w:space="0" w:color="C2BC80" w:themeColor="accent5"/>
          <w:bottom w:val="single" w:sz="4" w:space="0" w:color="C2BC80" w:themeColor="accent5"/>
          <w:right w:val="single" w:sz="4" w:space="0" w:color="C2BC80" w:themeColor="accent5"/>
          <w:insideH w:val="nil"/>
        </w:tcBorders>
        <w:shd w:val="clear" w:color="auto" w:fill="C2BC80" w:themeFill="accent5"/>
      </w:tcPr>
    </w:tblStylePr>
    <w:tblStylePr w:type="lastRow">
      <w:rPr>
        <w:b/>
        <w:bCs/>
      </w:rPr>
      <w:tblPr/>
      <w:tcPr>
        <w:tcBorders>
          <w:top w:val="double" w:sz="4" w:space="0" w:color="DAD6B2" w:themeColor="accent5" w:themeTint="99"/>
        </w:tcBorders>
      </w:tcPr>
    </w:tblStylePr>
    <w:tblStylePr w:type="firstCol">
      <w:rPr>
        <w:b/>
        <w:bCs/>
      </w:rPr>
    </w:tblStylePr>
    <w:tblStylePr w:type="lastCol">
      <w:rPr>
        <w:b/>
        <w:bCs/>
      </w:rPr>
    </w:tblStylePr>
    <w:tblStylePr w:type="band1Vert">
      <w:tblPr/>
      <w:tcPr>
        <w:shd w:val="clear" w:color="auto" w:fill="F2F1E5" w:themeFill="accent5" w:themeFillTint="33"/>
      </w:tcPr>
    </w:tblStylePr>
    <w:tblStylePr w:type="band1Horz">
      <w:tblPr/>
      <w:tcPr>
        <w:shd w:val="clear" w:color="auto" w:fill="F2F1E5"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BEC6B7" w:themeColor="accent6" w:themeTint="99"/>
        <w:left w:val="single" w:sz="4" w:space="0" w:color="BEC6B7" w:themeColor="accent6" w:themeTint="99"/>
        <w:bottom w:val="single" w:sz="4" w:space="0" w:color="BEC6B7" w:themeColor="accent6" w:themeTint="99"/>
        <w:right w:val="single" w:sz="4" w:space="0" w:color="BEC6B7" w:themeColor="accent6" w:themeTint="99"/>
        <w:insideH w:val="single" w:sz="4" w:space="0" w:color="BEC6B7" w:themeColor="accent6" w:themeTint="99"/>
      </w:tblBorders>
    </w:tblPr>
    <w:tblStylePr w:type="firstRow">
      <w:rPr>
        <w:b/>
        <w:bCs/>
        <w:color w:val="FFFFFF" w:themeColor="background1"/>
      </w:rPr>
      <w:tblPr/>
      <w:tcPr>
        <w:tcBorders>
          <w:top w:val="single" w:sz="4" w:space="0" w:color="94A088" w:themeColor="accent6"/>
          <w:left w:val="single" w:sz="4" w:space="0" w:color="94A088" w:themeColor="accent6"/>
          <w:bottom w:val="single" w:sz="4" w:space="0" w:color="94A088" w:themeColor="accent6"/>
          <w:right w:val="single" w:sz="4" w:space="0" w:color="94A088" w:themeColor="accent6"/>
          <w:insideH w:val="nil"/>
        </w:tcBorders>
        <w:shd w:val="clear" w:color="auto" w:fill="94A088" w:themeFill="accent6"/>
      </w:tcPr>
    </w:tblStylePr>
    <w:tblStylePr w:type="lastRow">
      <w:rPr>
        <w:b/>
        <w:bCs/>
      </w:rPr>
      <w:tblPr/>
      <w:tcPr>
        <w:tcBorders>
          <w:top w:val="double" w:sz="4" w:space="0" w:color="BEC6B7" w:themeColor="accent6" w:themeTint="99"/>
        </w:tcBorders>
      </w:tcPr>
    </w:tblStylePr>
    <w:tblStylePr w:type="firstCol">
      <w:rPr>
        <w:b/>
        <w:bCs/>
      </w:rPr>
    </w:tblStylePr>
    <w:tblStylePr w:type="lastCol">
      <w:rPr>
        <w:b/>
        <w:bCs/>
      </w:rPr>
    </w:tblStylePr>
    <w:tblStylePr w:type="band1Vert">
      <w:tblPr/>
      <w:tcPr>
        <w:shd w:val="clear" w:color="auto" w:fill="E9ECE7" w:themeFill="accent6" w:themeFillTint="33"/>
      </w:tcPr>
    </w:tblStylePr>
    <w:tblStylePr w:type="band1Horz">
      <w:tblPr/>
      <w:tcPr>
        <w:shd w:val="clear" w:color="auto" w:fill="E9ECE7"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E48312" w:themeColor="accent1"/>
        <w:left w:val="single" w:sz="24" w:space="0" w:color="E48312" w:themeColor="accent1"/>
        <w:bottom w:val="single" w:sz="24" w:space="0" w:color="E48312" w:themeColor="accent1"/>
        <w:right w:val="single" w:sz="24" w:space="0" w:color="E48312" w:themeColor="accent1"/>
      </w:tblBorders>
    </w:tblPr>
    <w:tcPr>
      <w:shd w:val="clear" w:color="auto" w:fill="E4831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BD582C" w:themeColor="accent2"/>
        <w:left w:val="single" w:sz="24" w:space="0" w:color="BD582C" w:themeColor="accent2"/>
        <w:bottom w:val="single" w:sz="24" w:space="0" w:color="BD582C" w:themeColor="accent2"/>
        <w:right w:val="single" w:sz="24" w:space="0" w:color="BD582C" w:themeColor="accent2"/>
      </w:tblBorders>
    </w:tblPr>
    <w:tcPr>
      <w:shd w:val="clear" w:color="auto" w:fill="BD582C"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865640" w:themeColor="accent3"/>
        <w:left w:val="single" w:sz="24" w:space="0" w:color="865640" w:themeColor="accent3"/>
        <w:bottom w:val="single" w:sz="24" w:space="0" w:color="865640" w:themeColor="accent3"/>
        <w:right w:val="single" w:sz="24" w:space="0" w:color="865640" w:themeColor="accent3"/>
      </w:tblBorders>
    </w:tblPr>
    <w:tcPr>
      <w:shd w:val="clear" w:color="auto" w:fill="865640"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9B8357" w:themeColor="accent4"/>
        <w:left w:val="single" w:sz="24" w:space="0" w:color="9B8357" w:themeColor="accent4"/>
        <w:bottom w:val="single" w:sz="24" w:space="0" w:color="9B8357" w:themeColor="accent4"/>
        <w:right w:val="single" w:sz="24" w:space="0" w:color="9B8357" w:themeColor="accent4"/>
      </w:tblBorders>
    </w:tblPr>
    <w:tcPr>
      <w:shd w:val="clear" w:color="auto" w:fill="9B8357"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C2BC80" w:themeColor="accent5"/>
        <w:left w:val="single" w:sz="24" w:space="0" w:color="C2BC80" w:themeColor="accent5"/>
        <w:bottom w:val="single" w:sz="24" w:space="0" w:color="C2BC80" w:themeColor="accent5"/>
        <w:right w:val="single" w:sz="24" w:space="0" w:color="C2BC80" w:themeColor="accent5"/>
      </w:tblBorders>
    </w:tblPr>
    <w:tcPr>
      <w:shd w:val="clear" w:color="auto" w:fill="C2BC80"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94A088" w:themeColor="accent6"/>
        <w:left w:val="single" w:sz="24" w:space="0" w:color="94A088" w:themeColor="accent6"/>
        <w:bottom w:val="single" w:sz="24" w:space="0" w:color="94A088" w:themeColor="accent6"/>
        <w:right w:val="single" w:sz="24" w:space="0" w:color="94A088" w:themeColor="accent6"/>
      </w:tblBorders>
    </w:tblPr>
    <w:tcPr>
      <w:shd w:val="clear" w:color="auto" w:fill="94A08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AA610D" w:themeColor="accent1" w:themeShade="BF"/>
    </w:rPr>
    <w:tblPr>
      <w:tblStyleRowBandSize w:val="1"/>
      <w:tblStyleColBandSize w:val="1"/>
      <w:tblBorders>
        <w:top w:val="single" w:sz="4" w:space="0" w:color="E48312" w:themeColor="accent1"/>
        <w:bottom w:val="single" w:sz="4" w:space="0" w:color="E48312" w:themeColor="accent1"/>
      </w:tblBorders>
    </w:tblPr>
    <w:tblStylePr w:type="firstRow">
      <w:rPr>
        <w:b/>
        <w:bCs/>
      </w:rPr>
      <w:tblPr/>
      <w:tcPr>
        <w:tcBorders>
          <w:bottom w:val="single" w:sz="4" w:space="0" w:color="E48312" w:themeColor="accent1"/>
        </w:tcBorders>
      </w:tcPr>
    </w:tblStylePr>
    <w:tblStylePr w:type="lastRow">
      <w:rPr>
        <w:b/>
        <w:bCs/>
      </w:rPr>
      <w:tblPr/>
      <w:tcPr>
        <w:tcBorders>
          <w:top w:val="double" w:sz="4" w:space="0" w:color="E48312" w:themeColor="accent1"/>
        </w:tcBorders>
      </w:tcPr>
    </w:tblStylePr>
    <w:tblStylePr w:type="firstCol">
      <w:rPr>
        <w:b/>
        <w:bCs/>
      </w:rPr>
    </w:tblStylePr>
    <w:tblStylePr w:type="lastCol">
      <w:rPr>
        <w:b/>
        <w:bCs/>
      </w:rPr>
    </w:tblStylePr>
    <w:tblStylePr w:type="band1Vert">
      <w:tblPr/>
      <w:tcPr>
        <w:shd w:val="clear" w:color="auto" w:fill="FBE6CD" w:themeFill="accent1" w:themeFillTint="33"/>
      </w:tcPr>
    </w:tblStylePr>
    <w:tblStylePr w:type="band1Horz">
      <w:tblPr/>
      <w:tcPr>
        <w:shd w:val="clear" w:color="auto" w:fill="FBE6CD"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8D4121" w:themeColor="accent2" w:themeShade="BF"/>
    </w:rPr>
    <w:tblPr>
      <w:tblStyleRowBandSize w:val="1"/>
      <w:tblStyleColBandSize w:val="1"/>
      <w:tblBorders>
        <w:top w:val="single" w:sz="4" w:space="0" w:color="BD582C" w:themeColor="accent2"/>
        <w:bottom w:val="single" w:sz="4" w:space="0" w:color="BD582C" w:themeColor="accent2"/>
      </w:tblBorders>
    </w:tblPr>
    <w:tblStylePr w:type="firstRow">
      <w:rPr>
        <w:b/>
        <w:bCs/>
      </w:rPr>
      <w:tblPr/>
      <w:tcPr>
        <w:tcBorders>
          <w:bottom w:val="single" w:sz="4" w:space="0" w:color="BD582C" w:themeColor="accent2"/>
        </w:tcBorders>
      </w:tcPr>
    </w:tblStylePr>
    <w:tblStylePr w:type="lastRow">
      <w:rPr>
        <w:b/>
        <w:bCs/>
      </w:rPr>
      <w:tblPr/>
      <w:tcPr>
        <w:tcBorders>
          <w:top w:val="double" w:sz="4" w:space="0" w:color="BD582C" w:themeColor="accent2"/>
        </w:tcBorders>
      </w:tcPr>
    </w:tblStylePr>
    <w:tblStylePr w:type="firstCol">
      <w:rPr>
        <w:b/>
        <w:bCs/>
      </w:rPr>
    </w:tblStylePr>
    <w:tblStylePr w:type="lastCol">
      <w:rPr>
        <w:b/>
        <w:bCs/>
      </w:rPr>
    </w:tblStylePr>
    <w:tblStylePr w:type="band1Vert">
      <w:tblPr/>
      <w:tcPr>
        <w:shd w:val="clear" w:color="auto" w:fill="F4DCD1" w:themeFill="accent2" w:themeFillTint="33"/>
      </w:tcPr>
    </w:tblStylePr>
    <w:tblStylePr w:type="band1Horz">
      <w:tblPr/>
      <w:tcPr>
        <w:shd w:val="clear" w:color="auto" w:fill="F4DCD1"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644030" w:themeColor="accent3" w:themeShade="BF"/>
    </w:rPr>
    <w:tblPr>
      <w:tblStyleRowBandSize w:val="1"/>
      <w:tblStyleColBandSize w:val="1"/>
      <w:tblBorders>
        <w:top w:val="single" w:sz="4" w:space="0" w:color="865640" w:themeColor="accent3"/>
        <w:bottom w:val="single" w:sz="4" w:space="0" w:color="865640" w:themeColor="accent3"/>
      </w:tblBorders>
    </w:tblPr>
    <w:tblStylePr w:type="firstRow">
      <w:rPr>
        <w:b/>
        <w:bCs/>
      </w:rPr>
      <w:tblPr/>
      <w:tcPr>
        <w:tcBorders>
          <w:bottom w:val="single" w:sz="4" w:space="0" w:color="865640" w:themeColor="accent3"/>
        </w:tcBorders>
      </w:tcPr>
    </w:tblStylePr>
    <w:tblStylePr w:type="lastRow">
      <w:rPr>
        <w:b/>
        <w:bCs/>
      </w:rPr>
      <w:tblPr/>
      <w:tcPr>
        <w:tcBorders>
          <w:top w:val="double" w:sz="4" w:space="0" w:color="865640" w:themeColor="accent3"/>
        </w:tcBorders>
      </w:tcPr>
    </w:tblStylePr>
    <w:tblStylePr w:type="firstCol">
      <w:rPr>
        <w:b/>
        <w:bCs/>
      </w:rPr>
    </w:tblStylePr>
    <w:tblStylePr w:type="lastCol">
      <w:rPr>
        <w:b/>
        <w:bCs/>
      </w:rPr>
    </w:tblStylePr>
    <w:tblStylePr w:type="band1Vert">
      <w:tblPr/>
      <w:tcPr>
        <w:shd w:val="clear" w:color="auto" w:fill="EADBD4" w:themeFill="accent3" w:themeFillTint="33"/>
      </w:tcPr>
    </w:tblStylePr>
    <w:tblStylePr w:type="band1Horz">
      <w:tblPr/>
      <w:tcPr>
        <w:shd w:val="clear" w:color="auto" w:fill="EADBD4"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736141" w:themeColor="accent4" w:themeShade="BF"/>
    </w:rPr>
    <w:tblPr>
      <w:tblStyleRowBandSize w:val="1"/>
      <w:tblStyleColBandSize w:val="1"/>
      <w:tblBorders>
        <w:top w:val="single" w:sz="4" w:space="0" w:color="9B8357" w:themeColor="accent4"/>
        <w:bottom w:val="single" w:sz="4" w:space="0" w:color="9B8357" w:themeColor="accent4"/>
      </w:tblBorders>
    </w:tblPr>
    <w:tblStylePr w:type="firstRow">
      <w:rPr>
        <w:b/>
        <w:bCs/>
      </w:rPr>
      <w:tblPr/>
      <w:tcPr>
        <w:tcBorders>
          <w:bottom w:val="single" w:sz="4" w:space="0" w:color="9B8357" w:themeColor="accent4"/>
        </w:tcBorders>
      </w:tcPr>
    </w:tblStylePr>
    <w:tblStylePr w:type="lastRow">
      <w:rPr>
        <w:b/>
        <w:bCs/>
      </w:rPr>
      <w:tblPr/>
      <w:tcPr>
        <w:tcBorders>
          <w:top w:val="double" w:sz="4" w:space="0" w:color="9B8357" w:themeColor="accent4"/>
        </w:tcBorders>
      </w:tcPr>
    </w:tblStylePr>
    <w:tblStylePr w:type="firstCol">
      <w:rPr>
        <w:b/>
        <w:bCs/>
      </w:rPr>
    </w:tblStylePr>
    <w:tblStylePr w:type="lastCol">
      <w:rPr>
        <w:b/>
        <w:bCs/>
      </w:rPr>
    </w:tblStylePr>
    <w:tblStylePr w:type="band1Vert">
      <w:tblPr/>
      <w:tcPr>
        <w:shd w:val="clear" w:color="auto" w:fill="EBE6DC" w:themeFill="accent4" w:themeFillTint="33"/>
      </w:tcPr>
    </w:tblStylePr>
    <w:tblStylePr w:type="band1Horz">
      <w:tblPr/>
      <w:tcPr>
        <w:shd w:val="clear" w:color="auto" w:fill="EBE6DC"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A29A4E" w:themeColor="accent5" w:themeShade="BF"/>
    </w:rPr>
    <w:tblPr>
      <w:tblStyleRowBandSize w:val="1"/>
      <w:tblStyleColBandSize w:val="1"/>
      <w:tblBorders>
        <w:top w:val="single" w:sz="4" w:space="0" w:color="C2BC80" w:themeColor="accent5"/>
        <w:bottom w:val="single" w:sz="4" w:space="0" w:color="C2BC80" w:themeColor="accent5"/>
      </w:tblBorders>
    </w:tblPr>
    <w:tblStylePr w:type="firstRow">
      <w:rPr>
        <w:b/>
        <w:bCs/>
      </w:rPr>
      <w:tblPr/>
      <w:tcPr>
        <w:tcBorders>
          <w:bottom w:val="single" w:sz="4" w:space="0" w:color="C2BC80" w:themeColor="accent5"/>
        </w:tcBorders>
      </w:tcPr>
    </w:tblStylePr>
    <w:tblStylePr w:type="lastRow">
      <w:rPr>
        <w:b/>
        <w:bCs/>
      </w:rPr>
      <w:tblPr/>
      <w:tcPr>
        <w:tcBorders>
          <w:top w:val="double" w:sz="4" w:space="0" w:color="C2BC80" w:themeColor="accent5"/>
        </w:tcBorders>
      </w:tcPr>
    </w:tblStylePr>
    <w:tblStylePr w:type="firstCol">
      <w:rPr>
        <w:b/>
        <w:bCs/>
      </w:rPr>
    </w:tblStylePr>
    <w:tblStylePr w:type="lastCol">
      <w:rPr>
        <w:b/>
        <w:bCs/>
      </w:rPr>
    </w:tblStylePr>
    <w:tblStylePr w:type="band1Vert">
      <w:tblPr/>
      <w:tcPr>
        <w:shd w:val="clear" w:color="auto" w:fill="F2F1E5" w:themeFill="accent5" w:themeFillTint="33"/>
      </w:tcPr>
    </w:tblStylePr>
    <w:tblStylePr w:type="band1Horz">
      <w:tblPr/>
      <w:tcPr>
        <w:shd w:val="clear" w:color="auto" w:fill="F2F1E5"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6E7B62" w:themeColor="accent6" w:themeShade="BF"/>
    </w:rPr>
    <w:tblPr>
      <w:tblStyleRowBandSize w:val="1"/>
      <w:tblStyleColBandSize w:val="1"/>
      <w:tblBorders>
        <w:top w:val="single" w:sz="4" w:space="0" w:color="94A088" w:themeColor="accent6"/>
        <w:bottom w:val="single" w:sz="4" w:space="0" w:color="94A088" w:themeColor="accent6"/>
      </w:tblBorders>
    </w:tblPr>
    <w:tblStylePr w:type="firstRow">
      <w:rPr>
        <w:b/>
        <w:bCs/>
      </w:rPr>
      <w:tblPr/>
      <w:tcPr>
        <w:tcBorders>
          <w:bottom w:val="single" w:sz="4" w:space="0" w:color="94A088" w:themeColor="accent6"/>
        </w:tcBorders>
      </w:tcPr>
    </w:tblStylePr>
    <w:tblStylePr w:type="lastRow">
      <w:rPr>
        <w:b/>
        <w:bCs/>
      </w:rPr>
      <w:tblPr/>
      <w:tcPr>
        <w:tcBorders>
          <w:top w:val="double" w:sz="4" w:space="0" w:color="94A088" w:themeColor="accent6"/>
        </w:tcBorders>
      </w:tcPr>
    </w:tblStylePr>
    <w:tblStylePr w:type="firstCol">
      <w:rPr>
        <w:b/>
        <w:bCs/>
      </w:rPr>
    </w:tblStylePr>
    <w:tblStylePr w:type="lastCol">
      <w:rPr>
        <w:b/>
        <w:bCs/>
      </w:rPr>
    </w:tblStylePr>
    <w:tblStylePr w:type="band1Vert">
      <w:tblPr/>
      <w:tcPr>
        <w:shd w:val="clear" w:color="auto" w:fill="E9ECE7" w:themeFill="accent6" w:themeFillTint="33"/>
      </w:tcPr>
    </w:tblStylePr>
    <w:tblStylePr w:type="band1Horz">
      <w:tblPr/>
      <w:tcPr>
        <w:shd w:val="clear" w:color="auto" w:fill="E9ECE7"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AA610D"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4831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4831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4831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48312" w:themeColor="accent1"/>
        </w:tcBorders>
        <w:shd w:val="clear" w:color="auto" w:fill="FFFFFF" w:themeFill="background1"/>
      </w:tcPr>
    </w:tblStylePr>
    <w:tblStylePr w:type="band1Vert">
      <w:tblPr/>
      <w:tcPr>
        <w:shd w:val="clear" w:color="auto" w:fill="FBE6CD" w:themeFill="accent1" w:themeFillTint="33"/>
      </w:tcPr>
    </w:tblStylePr>
    <w:tblStylePr w:type="band1Horz">
      <w:tblPr/>
      <w:tcPr>
        <w:shd w:val="clear" w:color="auto" w:fill="FBE6CD"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8D412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D582C"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D582C"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D582C"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D582C" w:themeColor="accent2"/>
        </w:tcBorders>
        <w:shd w:val="clear" w:color="auto" w:fill="FFFFFF" w:themeFill="background1"/>
      </w:tcPr>
    </w:tblStylePr>
    <w:tblStylePr w:type="band1Vert">
      <w:tblPr/>
      <w:tcPr>
        <w:shd w:val="clear" w:color="auto" w:fill="F4DCD1" w:themeFill="accent2" w:themeFillTint="33"/>
      </w:tcPr>
    </w:tblStylePr>
    <w:tblStylePr w:type="band1Horz">
      <w:tblPr/>
      <w:tcPr>
        <w:shd w:val="clear" w:color="auto" w:fill="F4DCD1"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64403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65640"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65640"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65640"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65640" w:themeColor="accent3"/>
        </w:tcBorders>
        <w:shd w:val="clear" w:color="auto" w:fill="FFFFFF" w:themeFill="background1"/>
      </w:tcPr>
    </w:tblStylePr>
    <w:tblStylePr w:type="band1Vert">
      <w:tblPr/>
      <w:tcPr>
        <w:shd w:val="clear" w:color="auto" w:fill="EADBD4" w:themeFill="accent3" w:themeFillTint="33"/>
      </w:tcPr>
    </w:tblStylePr>
    <w:tblStylePr w:type="band1Horz">
      <w:tblPr/>
      <w:tcPr>
        <w:shd w:val="clear" w:color="auto" w:fill="EADBD4"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736141"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8357"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8357"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8357"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8357" w:themeColor="accent4"/>
        </w:tcBorders>
        <w:shd w:val="clear" w:color="auto" w:fill="FFFFFF" w:themeFill="background1"/>
      </w:tcPr>
    </w:tblStylePr>
    <w:tblStylePr w:type="band1Vert">
      <w:tblPr/>
      <w:tcPr>
        <w:shd w:val="clear" w:color="auto" w:fill="EBE6DC" w:themeFill="accent4" w:themeFillTint="33"/>
      </w:tcPr>
    </w:tblStylePr>
    <w:tblStylePr w:type="band1Horz">
      <w:tblPr/>
      <w:tcPr>
        <w:shd w:val="clear" w:color="auto" w:fill="EBE6D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A29A4E"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2BC80"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2BC80"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2BC80"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2BC80" w:themeColor="accent5"/>
        </w:tcBorders>
        <w:shd w:val="clear" w:color="auto" w:fill="FFFFFF" w:themeFill="background1"/>
      </w:tcPr>
    </w:tblStylePr>
    <w:tblStylePr w:type="band1Vert">
      <w:tblPr/>
      <w:tcPr>
        <w:shd w:val="clear" w:color="auto" w:fill="F2F1E5" w:themeFill="accent5" w:themeFillTint="33"/>
      </w:tcPr>
    </w:tblStylePr>
    <w:tblStylePr w:type="band1Horz">
      <w:tblPr/>
      <w:tcPr>
        <w:shd w:val="clear" w:color="auto" w:fill="F2F1E5"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6E7B6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4A08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4A08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4A08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4A088" w:themeColor="accent6"/>
        </w:tcBorders>
        <w:shd w:val="clear" w:color="auto" w:fill="FFFFFF" w:themeFill="background1"/>
      </w:tcPr>
    </w:tblStylePr>
    <w:tblStylePr w:type="band1Vert">
      <w:tblPr/>
      <w:tcPr>
        <w:shd w:val="clear" w:color="auto" w:fill="E9ECE7" w:themeFill="accent6" w:themeFillTint="33"/>
      </w:tcPr>
    </w:tblStylePr>
    <w:tblStylePr w:type="band1Horz">
      <w:tblPr/>
      <w:tcPr>
        <w:shd w:val="clear" w:color="auto" w:fill="E9ECE7"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F0A247" w:themeColor="accent1" w:themeTint="BF"/>
        <w:left w:val="single" w:sz="8" w:space="0" w:color="F0A247" w:themeColor="accent1" w:themeTint="BF"/>
        <w:bottom w:val="single" w:sz="8" w:space="0" w:color="F0A247" w:themeColor="accent1" w:themeTint="BF"/>
        <w:right w:val="single" w:sz="8" w:space="0" w:color="F0A247" w:themeColor="accent1" w:themeTint="BF"/>
        <w:insideH w:val="single" w:sz="8" w:space="0" w:color="F0A247" w:themeColor="accent1" w:themeTint="BF"/>
        <w:insideV w:val="single" w:sz="8" w:space="0" w:color="F0A247" w:themeColor="accent1" w:themeTint="BF"/>
      </w:tblBorders>
    </w:tblPr>
    <w:tcPr>
      <w:shd w:val="clear" w:color="auto" w:fill="FAE0C2" w:themeFill="accent1" w:themeFillTint="3F"/>
    </w:tcPr>
    <w:tblStylePr w:type="firstRow">
      <w:rPr>
        <w:b/>
        <w:bCs/>
      </w:rPr>
    </w:tblStylePr>
    <w:tblStylePr w:type="lastRow">
      <w:rPr>
        <w:b/>
        <w:bCs/>
      </w:rPr>
      <w:tblPr/>
      <w:tcPr>
        <w:tcBorders>
          <w:top w:val="single" w:sz="18" w:space="0" w:color="F0A247" w:themeColor="accent1" w:themeTint="BF"/>
        </w:tcBorders>
      </w:tcPr>
    </w:tblStylePr>
    <w:tblStylePr w:type="firstCol">
      <w:rPr>
        <w:b/>
        <w:bCs/>
      </w:rPr>
    </w:tblStylePr>
    <w:tblStylePr w:type="lastCol">
      <w:rPr>
        <w:b/>
        <w:bCs/>
      </w:rPr>
    </w:tblStylePr>
    <w:tblStylePr w:type="band1Vert">
      <w:tblPr/>
      <w:tcPr>
        <w:shd w:val="clear" w:color="auto" w:fill="F5C184" w:themeFill="accent1" w:themeFillTint="7F"/>
      </w:tcPr>
    </w:tblStylePr>
    <w:tblStylePr w:type="band1Horz">
      <w:tblPr/>
      <w:tcPr>
        <w:shd w:val="clear" w:color="auto" w:fill="F5C184"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D77D56" w:themeColor="accent2" w:themeTint="BF"/>
        <w:left w:val="single" w:sz="8" w:space="0" w:color="D77D56" w:themeColor="accent2" w:themeTint="BF"/>
        <w:bottom w:val="single" w:sz="8" w:space="0" w:color="D77D56" w:themeColor="accent2" w:themeTint="BF"/>
        <w:right w:val="single" w:sz="8" w:space="0" w:color="D77D56" w:themeColor="accent2" w:themeTint="BF"/>
        <w:insideH w:val="single" w:sz="8" w:space="0" w:color="D77D56" w:themeColor="accent2" w:themeTint="BF"/>
        <w:insideV w:val="single" w:sz="8" w:space="0" w:color="D77D56" w:themeColor="accent2" w:themeTint="BF"/>
      </w:tblBorders>
    </w:tblPr>
    <w:tcPr>
      <w:shd w:val="clear" w:color="auto" w:fill="F2D4C7" w:themeFill="accent2" w:themeFillTint="3F"/>
    </w:tcPr>
    <w:tblStylePr w:type="firstRow">
      <w:rPr>
        <w:b/>
        <w:bCs/>
      </w:rPr>
    </w:tblStylePr>
    <w:tblStylePr w:type="lastRow">
      <w:rPr>
        <w:b/>
        <w:bCs/>
      </w:rPr>
      <w:tblPr/>
      <w:tcPr>
        <w:tcBorders>
          <w:top w:val="single" w:sz="18" w:space="0" w:color="D77D56" w:themeColor="accent2" w:themeTint="BF"/>
        </w:tcBorders>
      </w:tcPr>
    </w:tblStylePr>
    <w:tblStylePr w:type="firstCol">
      <w:rPr>
        <w:b/>
        <w:bCs/>
      </w:rPr>
    </w:tblStylePr>
    <w:tblStylePr w:type="lastCol">
      <w:rPr>
        <w:b/>
        <w:bCs/>
      </w:rPr>
    </w:tblStylePr>
    <w:tblStylePr w:type="band1Vert">
      <w:tblPr/>
      <w:tcPr>
        <w:shd w:val="clear" w:color="auto" w:fill="E5A88F" w:themeFill="accent2" w:themeFillTint="7F"/>
      </w:tcPr>
    </w:tblStylePr>
    <w:tblStylePr w:type="band1Horz">
      <w:tblPr/>
      <w:tcPr>
        <w:shd w:val="clear" w:color="auto" w:fill="E5A88F"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B37A60" w:themeColor="accent3" w:themeTint="BF"/>
        <w:left w:val="single" w:sz="8" w:space="0" w:color="B37A60" w:themeColor="accent3" w:themeTint="BF"/>
        <w:bottom w:val="single" w:sz="8" w:space="0" w:color="B37A60" w:themeColor="accent3" w:themeTint="BF"/>
        <w:right w:val="single" w:sz="8" w:space="0" w:color="B37A60" w:themeColor="accent3" w:themeTint="BF"/>
        <w:insideH w:val="single" w:sz="8" w:space="0" w:color="B37A60" w:themeColor="accent3" w:themeTint="BF"/>
        <w:insideV w:val="single" w:sz="8" w:space="0" w:color="B37A60" w:themeColor="accent3" w:themeTint="BF"/>
      </w:tblBorders>
    </w:tblPr>
    <w:tcPr>
      <w:shd w:val="clear" w:color="auto" w:fill="E6D3CA" w:themeFill="accent3" w:themeFillTint="3F"/>
    </w:tcPr>
    <w:tblStylePr w:type="firstRow">
      <w:rPr>
        <w:b/>
        <w:bCs/>
      </w:rPr>
    </w:tblStylePr>
    <w:tblStylePr w:type="lastRow">
      <w:rPr>
        <w:b/>
        <w:bCs/>
      </w:rPr>
      <w:tblPr/>
      <w:tcPr>
        <w:tcBorders>
          <w:top w:val="single" w:sz="18" w:space="0" w:color="B37A60" w:themeColor="accent3" w:themeTint="BF"/>
        </w:tcBorders>
      </w:tcPr>
    </w:tblStylePr>
    <w:tblStylePr w:type="firstCol">
      <w:rPr>
        <w:b/>
        <w:bCs/>
      </w:rPr>
    </w:tblStylePr>
    <w:tblStylePr w:type="lastCol">
      <w:rPr>
        <w:b/>
        <w:bCs/>
      </w:rPr>
    </w:tblStylePr>
    <w:tblStylePr w:type="band1Vert">
      <w:tblPr/>
      <w:tcPr>
        <w:shd w:val="clear" w:color="auto" w:fill="CCA695" w:themeFill="accent3" w:themeFillTint="7F"/>
      </w:tcPr>
    </w:tblStylePr>
    <w:tblStylePr w:type="band1Horz">
      <w:tblPr/>
      <w:tcPr>
        <w:shd w:val="clear" w:color="auto" w:fill="CCA69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B6A27E" w:themeColor="accent4" w:themeTint="BF"/>
        <w:left w:val="single" w:sz="8" w:space="0" w:color="B6A27E" w:themeColor="accent4" w:themeTint="BF"/>
        <w:bottom w:val="single" w:sz="8" w:space="0" w:color="B6A27E" w:themeColor="accent4" w:themeTint="BF"/>
        <w:right w:val="single" w:sz="8" w:space="0" w:color="B6A27E" w:themeColor="accent4" w:themeTint="BF"/>
        <w:insideH w:val="single" w:sz="8" w:space="0" w:color="B6A27E" w:themeColor="accent4" w:themeTint="BF"/>
        <w:insideV w:val="single" w:sz="8" w:space="0" w:color="B6A27E" w:themeColor="accent4" w:themeTint="BF"/>
      </w:tblBorders>
    </w:tblPr>
    <w:tcPr>
      <w:shd w:val="clear" w:color="auto" w:fill="E7E0D4" w:themeFill="accent4" w:themeFillTint="3F"/>
    </w:tcPr>
    <w:tblStylePr w:type="firstRow">
      <w:rPr>
        <w:b/>
        <w:bCs/>
      </w:rPr>
    </w:tblStylePr>
    <w:tblStylePr w:type="lastRow">
      <w:rPr>
        <w:b/>
        <w:bCs/>
      </w:rPr>
      <w:tblPr/>
      <w:tcPr>
        <w:tcBorders>
          <w:top w:val="single" w:sz="18" w:space="0" w:color="B6A27E" w:themeColor="accent4" w:themeTint="BF"/>
        </w:tcBorders>
      </w:tcPr>
    </w:tblStylePr>
    <w:tblStylePr w:type="firstCol">
      <w:rPr>
        <w:b/>
        <w:bCs/>
      </w:rPr>
    </w:tblStylePr>
    <w:tblStylePr w:type="lastCol">
      <w:rPr>
        <w:b/>
        <w:bCs/>
      </w:rPr>
    </w:tblStylePr>
    <w:tblStylePr w:type="band1Vert">
      <w:tblPr/>
      <w:tcPr>
        <w:shd w:val="clear" w:color="auto" w:fill="CFC1A9" w:themeFill="accent4" w:themeFillTint="7F"/>
      </w:tcPr>
    </w:tblStylePr>
    <w:tblStylePr w:type="band1Horz">
      <w:tblPr/>
      <w:tcPr>
        <w:shd w:val="clear" w:color="auto" w:fill="CFC1A9"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D1CC9F" w:themeColor="accent5" w:themeTint="BF"/>
        <w:left w:val="single" w:sz="8" w:space="0" w:color="D1CC9F" w:themeColor="accent5" w:themeTint="BF"/>
        <w:bottom w:val="single" w:sz="8" w:space="0" w:color="D1CC9F" w:themeColor="accent5" w:themeTint="BF"/>
        <w:right w:val="single" w:sz="8" w:space="0" w:color="D1CC9F" w:themeColor="accent5" w:themeTint="BF"/>
        <w:insideH w:val="single" w:sz="8" w:space="0" w:color="D1CC9F" w:themeColor="accent5" w:themeTint="BF"/>
        <w:insideV w:val="single" w:sz="8" w:space="0" w:color="D1CC9F" w:themeColor="accent5" w:themeTint="BF"/>
      </w:tblBorders>
    </w:tblPr>
    <w:tcPr>
      <w:shd w:val="clear" w:color="auto" w:fill="F0EEDF" w:themeFill="accent5" w:themeFillTint="3F"/>
    </w:tcPr>
    <w:tblStylePr w:type="firstRow">
      <w:rPr>
        <w:b/>
        <w:bCs/>
      </w:rPr>
    </w:tblStylePr>
    <w:tblStylePr w:type="lastRow">
      <w:rPr>
        <w:b/>
        <w:bCs/>
      </w:rPr>
      <w:tblPr/>
      <w:tcPr>
        <w:tcBorders>
          <w:top w:val="single" w:sz="18" w:space="0" w:color="D1CC9F" w:themeColor="accent5" w:themeTint="BF"/>
        </w:tcBorders>
      </w:tcPr>
    </w:tblStylePr>
    <w:tblStylePr w:type="firstCol">
      <w:rPr>
        <w:b/>
        <w:bCs/>
      </w:rPr>
    </w:tblStylePr>
    <w:tblStylePr w:type="lastCol">
      <w:rPr>
        <w:b/>
        <w:bCs/>
      </w:rPr>
    </w:tblStylePr>
    <w:tblStylePr w:type="band1Vert">
      <w:tblPr/>
      <w:tcPr>
        <w:shd w:val="clear" w:color="auto" w:fill="E0DDBF" w:themeFill="accent5" w:themeFillTint="7F"/>
      </w:tcPr>
    </w:tblStylePr>
    <w:tblStylePr w:type="band1Horz">
      <w:tblPr/>
      <w:tcPr>
        <w:shd w:val="clear" w:color="auto" w:fill="E0DDBF"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AEB7A5" w:themeColor="accent6" w:themeTint="BF"/>
        <w:left w:val="single" w:sz="8" w:space="0" w:color="AEB7A5" w:themeColor="accent6" w:themeTint="BF"/>
        <w:bottom w:val="single" w:sz="8" w:space="0" w:color="AEB7A5" w:themeColor="accent6" w:themeTint="BF"/>
        <w:right w:val="single" w:sz="8" w:space="0" w:color="AEB7A5" w:themeColor="accent6" w:themeTint="BF"/>
        <w:insideH w:val="single" w:sz="8" w:space="0" w:color="AEB7A5" w:themeColor="accent6" w:themeTint="BF"/>
        <w:insideV w:val="single" w:sz="8" w:space="0" w:color="AEB7A5" w:themeColor="accent6" w:themeTint="BF"/>
      </w:tblBorders>
    </w:tblPr>
    <w:tcPr>
      <w:shd w:val="clear" w:color="auto" w:fill="E4E7E1" w:themeFill="accent6" w:themeFillTint="3F"/>
    </w:tcPr>
    <w:tblStylePr w:type="firstRow">
      <w:rPr>
        <w:b/>
        <w:bCs/>
      </w:rPr>
    </w:tblStylePr>
    <w:tblStylePr w:type="lastRow">
      <w:rPr>
        <w:b/>
        <w:bCs/>
      </w:rPr>
      <w:tblPr/>
      <w:tcPr>
        <w:tcBorders>
          <w:top w:val="single" w:sz="18" w:space="0" w:color="AEB7A5" w:themeColor="accent6" w:themeTint="BF"/>
        </w:tcBorders>
      </w:tcPr>
    </w:tblStylePr>
    <w:tblStylePr w:type="firstCol">
      <w:rPr>
        <w:b/>
        <w:bCs/>
      </w:rPr>
    </w:tblStylePr>
    <w:tblStylePr w:type="lastCol">
      <w:rPr>
        <w:b/>
        <w:bCs/>
      </w:rPr>
    </w:tblStylePr>
    <w:tblStylePr w:type="band1Vert">
      <w:tblPr/>
      <w:tcPr>
        <w:shd w:val="clear" w:color="auto" w:fill="C9CFC3" w:themeFill="accent6" w:themeFillTint="7F"/>
      </w:tcPr>
    </w:tblStylePr>
    <w:tblStylePr w:type="band1Horz">
      <w:tblPr/>
      <w:tcPr>
        <w:shd w:val="clear" w:color="auto" w:fill="C9CFC3"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48312" w:themeColor="accent1"/>
        <w:left w:val="single" w:sz="8" w:space="0" w:color="E48312" w:themeColor="accent1"/>
        <w:bottom w:val="single" w:sz="8" w:space="0" w:color="E48312" w:themeColor="accent1"/>
        <w:right w:val="single" w:sz="8" w:space="0" w:color="E48312" w:themeColor="accent1"/>
        <w:insideH w:val="single" w:sz="8" w:space="0" w:color="E48312" w:themeColor="accent1"/>
        <w:insideV w:val="single" w:sz="8" w:space="0" w:color="E48312" w:themeColor="accent1"/>
      </w:tblBorders>
    </w:tblPr>
    <w:tcPr>
      <w:shd w:val="clear" w:color="auto" w:fill="FAE0C2" w:themeFill="accent1" w:themeFillTint="3F"/>
    </w:tcPr>
    <w:tblStylePr w:type="firstRow">
      <w:rPr>
        <w:b/>
        <w:bCs/>
        <w:color w:val="000000" w:themeColor="text1"/>
      </w:rPr>
      <w:tblPr/>
      <w:tcPr>
        <w:shd w:val="clear" w:color="auto" w:fill="FDF2E6"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6CD" w:themeFill="accent1" w:themeFillTint="33"/>
      </w:tcPr>
    </w:tblStylePr>
    <w:tblStylePr w:type="band1Vert">
      <w:tblPr/>
      <w:tcPr>
        <w:shd w:val="clear" w:color="auto" w:fill="F5C184" w:themeFill="accent1" w:themeFillTint="7F"/>
      </w:tcPr>
    </w:tblStylePr>
    <w:tblStylePr w:type="band1Horz">
      <w:tblPr/>
      <w:tcPr>
        <w:tcBorders>
          <w:insideH w:val="single" w:sz="6" w:space="0" w:color="E48312" w:themeColor="accent1"/>
          <w:insideV w:val="single" w:sz="6" w:space="0" w:color="E48312" w:themeColor="accent1"/>
        </w:tcBorders>
        <w:shd w:val="clear" w:color="auto" w:fill="F5C184"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D582C" w:themeColor="accent2"/>
        <w:left w:val="single" w:sz="8" w:space="0" w:color="BD582C" w:themeColor="accent2"/>
        <w:bottom w:val="single" w:sz="8" w:space="0" w:color="BD582C" w:themeColor="accent2"/>
        <w:right w:val="single" w:sz="8" w:space="0" w:color="BD582C" w:themeColor="accent2"/>
        <w:insideH w:val="single" w:sz="8" w:space="0" w:color="BD582C" w:themeColor="accent2"/>
        <w:insideV w:val="single" w:sz="8" w:space="0" w:color="BD582C" w:themeColor="accent2"/>
      </w:tblBorders>
    </w:tblPr>
    <w:tcPr>
      <w:shd w:val="clear" w:color="auto" w:fill="F2D4C7" w:themeFill="accent2" w:themeFillTint="3F"/>
    </w:tcPr>
    <w:tblStylePr w:type="firstRow">
      <w:rPr>
        <w:b/>
        <w:bCs/>
        <w:color w:val="000000" w:themeColor="text1"/>
      </w:rPr>
      <w:tblPr/>
      <w:tcPr>
        <w:shd w:val="clear" w:color="auto" w:fill="FAEDE8"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4DCD1" w:themeFill="accent2" w:themeFillTint="33"/>
      </w:tcPr>
    </w:tblStylePr>
    <w:tblStylePr w:type="band1Vert">
      <w:tblPr/>
      <w:tcPr>
        <w:shd w:val="clear" w:color="auto" w:fill="E5A88F" w:themeFill="accent2" w:themeFillTint="7F"/>
      </w:tcPr>
    </w:tblStylePr>
    <w:tblStylePr w:type="band1Horz">
      <w:tblPr/>
      <w:tcPr>
        <w:tcBorders>
          <w:insideH w:val="single" w:sz="6" w:space="0" w:color="BD582C" w:themeColor="accent2"/>
          <w:insideV w:val="single" w:sz="6" w:space="0" w:color="BD582C" w:themeColor="accent2"/>
        </w:tcBorders>
        <w:shd w:val="clear" w:color="auto" w:fill="E5A88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65640" w:themeColor="accent3"/>
        <w:left w:val="single" w:sz="8" w:space="0" w:color="865640" w:themeColor="accent3"/>
        <w:bottom w:val="single" w:sz="8" w:space="0" w:color="865640" w:themeColor="accent3"/>
        <w:right w:val="single" w:sz="8" w:space="0" w:color="865640" w:themeColor="accent3"/>
        <w:insideH w:val="single" w:sz="8" w:space="0" w:color="865640" w:themeColor="accent3"/>
        <w:insideV w:val="single" w:sz="8" w:space="0" w:color="865640" w:themeColor="accent3"/>
      </w:tblBorders>
    </w:tblPr>
    <w:tcPr>
      <w:shd w:val="clear" w:color="auto" w:fill="E6D3CA" w:themeFill="accent3" w:themeFillTint="3F"/>
    </w:tcPr>
    <w:tblStylePr w:type="firstRow">
      <w:rPr>
        <w:b/>
        <w:bCs/>
        <w:color w:val="000000" w:themeColor="text1"/>
      </w:rPr>
      <w:tblPr/>
      <w:tcPr>
        <w:shd w:val="clear" w:color="auto" w:fill="F5EDEA"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DBD4" w:themeFill="accent3" w:themeFillTint="33"/>
      </w:tcPr>
    </w:tblStylePr>
    <w:tblStylePr w:type="band1Vert">
      <w:tblPr/>
      <w:tcPr>
        <w:shd w:val="clear" w:color="auto" w:fill="CCA695" w:themeFill="accent3" w:themeFillTint="7F"/>
      </w:tcPr>
    </w:tblStylePr>
    <w:tblStylePr w:type="band1Horz">
      <w:tblPr/>
      <w:tcPr>
        <w:tcBorders>
          <w:insideH w:val="single" w:sz="6" w:space="0" w:color="865640" w:themeColor="accent3"/>
          <w:insideV w:val="single" w:sz="6" w:space="0" w:color="865640" w:themeColor="accent3"/>
        </w:tcBorders>
        <w:shd w:val="clear" w:color="auto" w:fill="CCA69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8357" w:themeColor="accent4"/>
        <w:left w:val="single" w:sz="8" w:space="0" w:color="9B8357" w:themeColor="accent4"/>
        <w:bottom w:val="single" w:sz="8" w:space="0" w:color="9B8357" w:themeColor="accent4"/>
        <w:right w:val="single" w:sz="8" w:space="0" w:color="9B8357" w:themeColor="accent4"/>
        <w:insideH w:val="single" w:sz="8" w:space="0" w:color="9B8357" w:themeColor="accent4"/>
        <w:insideV w:val="single" w:sz="8" w:space="0" w:color="9B8357" w:themeColor="accent4"/>
      </w:tblBorders>
    </w:tblPr>
    <w:tcPr>
      <w:shd w:val="clear" w:color="auto" w:fill="E7E0D4" w:themeFill="accent4" w:themeFillTint="3F"/>
    </w:tcPr>
    <w:tblStylePr w:type="firstRow">
      <w:rPr>
        <w:b/>
        <w:bCs/>
        <w:color w:val="000000" w:themeColor="text1"/>
      </w:rPr>
      <w:tblPr/>
      <w:tcPr>
        <w:shd w:val="clear" w:color="auto" w:fill="F5F2EE"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BE6DC" w:themeFill="accent4" w:themeFillTint="33"/>
      </w:tcPr>
    </w:tblStylePr>
    <w:tblStylePr w:type="band1Vert">
      <w:tblPr/>
      <w:tcPr>
        <w:shd w:val="clear" w:color="auto" w:fill="CFC1A9" w:themeFill="accent4" w:themeFillTint="7F"/>
      </w:tcPr>
    </w:tblStylePr>
    <w:tblStylePr w:type="band1Horz">
      <w:tblPr/>
      <w:tcPr>
        <w:tcBorders>
          <w:insideH w:val="single" w:sz="6" w:space="0" w:color="9B8357" w:themeColor="accent4"/>
          <w:insideV w:val="single" w:sz="6" w:space="0" w:color="9B8357" w:themeColor="accent4"/>
        </w:tcBorders>
        <w:shd w:val="clear" w:color="auto" w:fill="CFC1A9"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2BC80" w:themeColor="accent5"/>
        <w:left w:val="single" w:sz="8" w:space="0" w:color="C2BC80" w:themeColor="accent5"/>
        <w:bottom w:val="single" w:sz="8" w:space="0" w:color="C2BC80" w:themeColor="accent5"/>
        <w:right w:val="single" w:sz="8" w:space="0" w:color="C2BC80" w:themeColor="accent5"/>
        <w:insideH w:val="single" w:sz="8" w:space="0" w:color="C2BC80" w:themeColor="accent5"/>
        <w:insideV w:val="single" w:sz="8" w:space="0" w:color="C2BC80" w:themeColor="accent5"/>
      </w:tblBorders>
    </w:tblPr>
    <w:tcPr>
      <w:shd w:val="clear" w:color="auto" w:fill="F0EEDF" w:themeFill="accent5" w:themeFillTint="3F"/>
    </w:tcPr>
    <w:tblStylePr w:type="firstRow">
      <w:rPr>
        <w:b/>
        <w:bCs/>
        <w:color w:val="000000" w:themeColor="text1"/>
      </w:rPr>
      <w:tblPr/>
      <w:tcPr>
        <w:shd w:val="clear" w:color="auto" w:fill="F9F8F2"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F1E5" w:themeFill="accent5" w:themeFillTint="33"/>
      </w:tcPr>
    </w:tblStylePr>
    <w:tblStylePr w:type="band1Vert">
      <w:tblPr/>
      <w:tcPr>
        <w:shd w:val="clear" w:color="auto" w:fill="E0DDBF" w:themeFill="accent5" w:themeFillTint="7F"/>
      </w:tcPr>
    </w:tblStylePr>
    <w:tblStylePr w:type="band1Horz">
      <w:tblPr/>
      <w:tcPr>
        <w:tcBorders>
          <w:insideH w:val="single" w:sz="6" w:space="0" w:color="C2BC80" w:themeColor="accent5"/>
          <w:insideV w:val="single" w:sz="6" w:space="0" w:color="C2BC80" w:themeColor="accent5"/>
        </w:tcBorders>
        <w:shd w:val="clear" w:color="auto" w:fill="E0DDB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4A088" w:themeColor="accent6"/>
        <w:left w:val="single" w:sz="8" w:space="0" w:color="94A088" w:themeColor="accent6"/>
        <w:bottom w:val="single" w:sz="8" w:space="0" w:color="94A088" w:themeColor="accent6"/>
        <w:right w:val="single" w:sz="8" w:space="0" w:color="94A088" w:themeColor="accent6"/>
        <w:insideH w:val="single" w:sz="8" w:space="0" w:color="94A088" w:themeColor="accent6"/>
        <w:insideV w:val="single" w:sz="8" w:space="0" w:color="94A088" w:themeColor="accent6"/>
      </w:tblBorders>
    </w:tblPr>
    <w:tcPr>
      <w:shd w:val="clear" w:color="auto" w:fill="E4E7E1" w:themeFill="accent6" w:themeFillTint="3F"/>
    </w:tcPr>
    <w:tblStylePr w:type="firstRow">
      <w:rPr>
        <w:b/>
        <w:bCs/>
        <w:color w:val="000000" w:themeColor="text1"/>
      </w:rPr>
      <w:tblPr/>
      <w:tcPr>
        <w:shd w:val="clear" w:color="auto" w:fill="F4F5F3"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9ECE7" w:themeFill="accent6" w:themeFillTint="33"/>
      </w:tcPr>
    </w:tblStylePr>
    <w:tblStylePr w:type="band1Vert">
      <w:tblPr/>
      <w:tcPr>
        <w:shd w:val="clear" w:color="auto" w:fill="C9CFC3" w:themeFill="accent6" w:themeFillTint="7F"/>
      </w:tcPr>
    </w:tblStylePr>
    <w:tblStylePr w:type="band1Horz">
      <w:tblPr/>
      <w:tcPr>
        <w:tcBorders>
          <w:insideH w:val="single" w:sz="6" w:space="0" w:color="94A088" w:themeColor="accent6"/>
          <w:insideV w:val="single" w:sz="6" w:space="0" w:color="94A088" w:themeColor="accent6"/>
        </w:tcBorders>
        <w:shd w:val="clear" w:color="auto" w:fill="C9CFC3"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E0C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4831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4831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4831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4831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C184"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C184"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2D4C7"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D582C"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D582C"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D582C"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D582C"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5A88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5A88F"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D3C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65640"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65640"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65640"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65640"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CA69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CA69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E0D4"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8357"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8357"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8357"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8357"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FC1A9"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FC1A9"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0EED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2BC80"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2BC80"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2BC80"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2BC80"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0DDB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0DDBF"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4E7E1"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4A08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4A08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4A08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4A08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9CFC3"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9CFC3"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637052"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48312" w:themeColor="accent1"/>
        <w:bottom w:val="single" w:sz="8" w:space="0" w:color="E48312" w:themeColor="accent1"/>
      </w:tblBorders>
    </w:tblPr>
    <w:tblStylePr w:type="firstRow">
      <w:rPr>
        <w:rFonts w:asciiTheme="majorHAnsi" w:eastAsiaTheme="majorEastAsia" w:hAnsiTheme="majorHAnsi" w:cstheme="majorBidi"/>
      </w:rPr>
      <w:tblPr/>
      <w:tcPr>
        <w:tcBorders>
          <w:top w:val="nil"/>
          <w:bottom w:val="single" w:sz="8" w:space="0" w:color="E48312" w:themeColor="accent1"/>
        </w:tcBorders>
      </w:tcPr>
    </w:tblStylePr>
    <w:tblStylePr w:type="lastRow">
      <w:rPr>
        <w:b/>
        <w:bCs/>
        <w:color w:val="637052" w:themeColor="text2"/>
      </w:rPr>
      <w:tblPr/>
      <w:tcPr>
        <w:tcBorders>
          <w:top w:val="single" w:sz="8" w:space="0" w:color="E48312" w:themeColor="accent1"/>
          <w:bottom w:val="single" w:sz="8" w:space="0" w:color="E48312" w:themeColor="accent1"/>
        </w:tcBorders>
      </w:tcPr>
    </w:tblStylePr>
    <w:tblStylePr w:type="firstCol">
      <w:rPr>
        <w:b/>
        <w:bCs/>
      </w:rPr>
    </w:tblStylePr>
    <w:tblStylePr w:type="lastCol">
      <w:rPr>
        <w:b/>
        <w:bCs/>
      </w:rPr>
      <w:tblPr/>
      <w:tcPr>
        <w:tcBorders>
          <w:top w:val="single" w:sz="8" w:space="0" w:color="E48312" w:themeColor="accent1"/>
          <w:bottom w:val="single" w:sz="8" w:space="0" w:color="E48312" w:themeColor="accent1"/>
        </w:tcBorders>
      </w:tcPr>
    </w:tblStylePr>
    <w:tblStylePr w:type="band1Vert">
      <w:tblPr/>
      <w:tcPr>
        <w:shd w:val="clear" w:color="auto" w:fill="FAE0C2" w:themeFill="accent1" w:themeFillTint="3F"/>
      </w:tcPr>
    </w:tblStylePr>
    <w:tblStylePr w:type="band1Horz">
      <w:tblPr/>
      <w:tcPr>
        <w:shd w:val="clear" w:color="auto" w:fill="FAE0C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BD582C" w:themeColor="accent2"/>
        <w:bottom w:val="single" w:sz="8" w:space="0" w:color="BD582C" w:themeColor="accent2"/>
      </w:tblBorders>
    </w:tblPr>
    <w:tblStylePr w:type="firstRow">
      <w:rPr>
        <w:rFonts w:asciiTheme="majorHAnsi" w:eastAsiaTheme="majorEastAsia" w:hAnsiTheme="majorHAnsi" w:cstheme="majorBidi"/>
      </w:rPr>
      <w:tblPr/>
      <w:tcPr>
        <w:tcBorders>
          <w:top w:val="nil"/>
          <w:bottom w:val="single" w:sz="8" w:space="0" w:color="BD582C" w:themeColor="accent2"/>
        </w:tcBorders>
      </w:tcPr>
    </w:tblStylePr>
    <w:tblStylePr w:type="lastRow">
      <w:rPr>
        <w:b/>
        <w:bCs/>
        <w:color w:val="637052" w:themeColor="text2"/>
      </w:rPr>
      <w:tblPr/>
      <w:tcPr>
        <w:tcBorders>
          <w:top w:val="single" w:sz="8" w:space="0" w:color="BD582C" w:themeColor="accent2"/>
          <w:bottom w:val="single" w:sz="8" w:space="0" w:color="BD582C" w:themeColor="accent2"/>
        </w:tcBorders>
      </w:tcPr>
    </w:tblStylePr>
    <w:tblStylePr w:type="firstCol">
      <w:rPr>
        <w:b/>
        <w:bCs/>
      </w:rPr>
    </w:tblStylePr>
    <w:tblStylePr w:type="lastCol">
      <w:rPr>
        <w:b/>
        <w:bCs/>
      </w:rPr>
      <w:tblPr/>
      <w:tcPr>
        <w:tcBorders>
          <w:top w:val="single" w:sz="8" w:space="0" w:color="BD582C" w:themeColor="accent2"/>
          <w:bottom w:val="single" w:sz="8" w:space="0" w:color="BD582C" w:themeColor="accent2"/>
        </w:tcBorders>
      </w:tcPr>
    </w:tblStylePr>
    <w:tblStylePr w:type="band1Vert">
      <w:tblPr/>
      <w:tcPr>
        <w:shd w:val="clear" w:color="auto" w:fill="F2D4C7" w:themeFill="accent2" w:themeFillTint="3F"/>
      </w:tcPr>
    </w:tblStylePr>
    <w:tblStylePr w:type="band1Horz">
      <w:tblPr/>
      <w:tcPr>
        <w:shd w:val="clear" w:color="auto" w:fill="F2D4C7"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865640" w:themeColor="accent3"/>
        <w:bottom w:val="single" w:sz="8" w:space="0" w:color="865640" w:themeColor="accent3"/>
      </w:tblBorders>
    </w:tblPr>
    <w:tblStylePr w:type="firstRow">
      <w:rPr>
        <w:rFonts w:asciiTheme="majorHAnsi" w:eastAsiaTheme="majorEastAsia" w:hAnsiTheme="majorHAnsi" w:cstheme="majorBidi"/>
      </w:rPr>
      <w:tblPr/>
      <w:tcPr>
        <w:tcBorders>
          <w:top w:val="nil"/>
          <w:bottom w:val="single" w:sz="8" w:space="0" w:color="865640" w:themeColor="accent3"/>
        </w:tcBorders>
      </w:tcPr>
    </w:tblStylePr>
    <w:tblStylePr w:type="lastRow">
      <w:rPr>
        <w:b/>
        <w:bCs/>
        <w:color w:val="637052" w:themeColor="text2"/>
      </w:rPr>
      <w:tblPr/>
      <w:tcPr>
        <w:tcBorders>
          <w:top w:val="single" w:sz="8" w:space="0" w:color="865640" w:themeColor="accent3"/>
          <w:bottom w:val="single" w:sz="8" w:space="0" w:color="865640" w:themeColor="accent3"/>
        </w:tcBorders>
      </w:tcPr>
    </w:tblStylePr>
    <w:tblStylePr w:type="firstCol">
      <w:rPr>
        <w:b/>
        <w:bCs/>
      </w:rPr>
    </w:tblStylePr>
    <w:tblStylePr w:type="lastCol">
      <w:rPr>
        <w:b/>
        <w:bCs/>
      </w:rPr>
      <w:tblPr/>
      <w:tcPr>
        <w:tcBorders>
          <w:top w:val="single" w:sz="8" w:space="0" w:color="865640" w:themeColor="accent3"/>
          <w:bottom w:val="single" w:sz="8" w:space="0" w:color="865640" w:themeColor="accent3"/>
        </w:tcBorders>
      </w:tcPr>
    </w:tblStylePr>
    <w:tblStylePr w:type="band1Vert">
      <w:tblPr/>
      <w:tcPr>
        <w:shd w:val="clear" w:color="auto" w:fill="E6D3CA" w:themeFill="accent3" w:themeFillTint="3F"/>
      </w:tcPr>
    </w:tblStylePr>
    <w:tblStylePr w:type="band1Horz">
      <w:tblPr/>
      <w:tcPr>
        <w:shd w:val="clear" w:color="auto" w:fill="E6D3C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9B8357" w:themeColor="accent4"/>
        <w:bottom w:val="single" w:sz="8" w:space="0" w:color="9B8357" w:themeColor="accent4"/>
      </w:tblBorders>
    </w:tblPr>
    <w:tblStylePr w:type="firstRow">
      <w:rPr>
        <w:rFonts w:asciiTheme="majorHAnsi" w:eastAsiaTheme="majorEastAsia" w:hAnsiTheme="majorHAnsi" w:cstheme="majorBidi"/>
      </w:rPr>
      <w:tblPr/>
      <w:tcPr>
        <w:tcBorders>
          <w:top w:val="nil"/>
          <w:bottom w:val="single" w:sz="8" w:space="0" w:color="9B8357" w:themeColor="accent4"/>
        </w:tcBorders>
      </w:tcPr>
    </w:tblStylePr>
    <w:tblStylePr w:type="lastRow">
      <w:rPr>
        <w:b/>
        <w:bCs/>
        <w:color w:val="637052" w:themeColor="text2"/>
      </w:rPr>
      <w:tblPr/>
      <w:tcPr>
        <w:tcBorders>
          <w:top w:val="single" w:sz="8" w:space="0" w:color="9B8357" w:themeColor="accent4"/>
          <w:bottom w:val="single" w:sz="8" w:space="0" w:color="9B8357" w:themeColor="accent4"/>
        </w:tcBorders>
      </w:tcPr>
    </w:tblStylePr>
    <w:tblStylePr w:type="firstCol">
      <w:rPr>
        <w:b/>
        <w:bCs/>
      </w:rPr>
    </w:tblStylePr>
    <w:tblStylePr w:type="lastCol">
      <w:rPr>
        <w:b/>
        <w:bCs/>
      </w:rPr>
      <w:tblPr/>
      <w:tcPr>
        <w:tcBorders>
          <w:top w:val="single" w:sz="8" w:space="0" w:color="9B8357" w:themeColor="accent4"/>
          <w:bottom w:val="single" w:sz="8" w:space="0" w:color="9B8357" w:themeColor="accent4"/>
        </w:tcBorders>
      </w:tcPr>
    </w:tblStylePr>
    <w:tblStylePr w:type="band1Vert">
      <w:tblPr/>
      <w:tcPr>
        <w:shd w:val="clear" w:color="auto" w:fill="E7E0D4" w:themeFill="accent4" w:themeFillTint="3F"/>
      </w:tcPr>
    </w:tblStylePr>
    <w:tblStylePr w:type="band1Horz">
      <w:tblPr/>
      <w:tcPr>
        <w:shd w:val="clear" w:color="auto" w:fill="E7E0D4"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C2BC80" w:themeColor="accent5"/>
        <w:bottom w:val="single" w:sz="8" w:space="0" w:color="C2BC80" w:themeColor="accent5"/>
      </w:tblBorders>
    </w:tblPr>
    <w:tblStylePr w:type="firstRow">
      <w:rPr>
        <w:rFonts w:asciiTheme="majorHAnsi" w:eastAsiaTheme="majorEastAsia" w:hAnsiTheme="majorHAnsi" w:cstheme="majorBidi"/>
      </w:rPr>
      <w:tblPr/>
      <w:tcPr>
        <w:tcBorders>
          <w:top w:val="nil"/>
          <w:bottom w:val="single" w:sz="8" w:space="0" w:color="C2BC80" w:themeColor="accent5"/>
        </w:tcBorders>
      </w:tcPr>
    </w:tblStylePr>
    <w:tblStylePr w:type="lastRow">
      <w:rPr>
        <w:b/>
        <w:bCs/>
        <w:color w:val="637052" w:themeColor="text2"/>
      </w:rPr>
      <w:tblPr/>
      <w:tcPr>
        <w:tcBorders>
          <w:top w:val="single" w:sz="8" w:space="0" w:color="C2BC80" w:themeColor="accent5"/>
          <w:bottom w:val="single" w:sz="8" w:space="0" w:color="C2BC80" w:themeColor="accent5"/>
        </w:tcBorders>
      </w:tcPr>
    </w:tblStylePr>
    <w:tblStylePr w:type="firstCol">
      <w:rPr>
        <w:b/>
        <w:bCs/>
      </w:rPr>
    </w:tblStylePr>
    <w:tblStylePr w:type="lastCol">
      <w:rPr>
        <w:b/>
        <w:bCs/>
      </w:rPr>
      <w:tblPr/>
      <w:tcPr>
        <w:tcBorders>
          <w:top w:val="single" w:sz="8" w:space="0" w:color="C2BC80" w:themeColor="accent5"/>
          <w:bottom w:val="single" w:sz="8" w:space="0" w:color="C2BC80" w:themeColor="accent5"/>
        </w:tcBorders>
      </w:tcPr>
    </w:tblStylePr>
    <w:tblStylePr w:type="band1Vert">
      <w:tblPr/>
      <w:tcPr>
        <w:shd w:val="clear" w:color="auto" w:fill="F0EEDF" w:themeFill="accent5" w:themeFillTint="3F"/>
      </w:tcPr>
    </w:tblStylePr>
    <w:tblStylePr w:type="band1Horz">
      <w:tblPr/>
      <w:tcPr>
        <w:shd w:val="clear" w:color="auto" w:fill="F0EEDF"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94A088" w:themeColor="accent6"/>
        <w:bottom w:val="single" w:sz="8" w:space="0" w:color="94A088" w:themeColor="accent6"/>
      </w:tblBorders>
    </w:tblPr>
    <w:tblStylePr w:type="firstRow">
      <w:rPr>
        <w:rFonts w:asciiTheme="majorHAnsi" w:eastAsiaTheme="majorEastAsia" w:hAnsiTheme="majorHAnsi" w:cstheme="majorBidi"/>
      </w:rPr>
      <w:tblPr/>
      <w:tcPr>
        <w:tcBorders>
          <w:top w:val="nil"/>
          <w:bottom w:val="single" w:sz="8" w:space="0" w:color="94A088" w:themeColor="accent6"/>
        </w:tcBorders>
      </w:tcPr>
    </w:tblStylePr>
    <w:tblStylePr w:type="lastRow">
      <w:rPr>
        <w:b/>
        <w:bCs/>
        <w:color w:val="637052" w:themeColor="text2"/>
      </w:rPr>
      <w:tblPr/>
      <w:tcPr>
        <w:tcBorders>
          <w:top w:val="single" w:sz="8" w:space="0" w:color="94A088" w:themeColor="accent6"/>
          <w:bottom w:val="single" w:sz="8" w:space="0" w:color="94A088" w:themeColor="accent6"/>
        </w:tcBorders>
      </w:tcPr>
    </w:tblStylePr>
    <w:tblStylePr w:type="firstCol">
      <w:rPr>
        <w:b/>
        <w:bCs/>
      </w:rPr>
    </w:tblStylePr>
    <w:tblStylePr w:type="lastCol">
      <w:rPr>
        <w:b/>
        <w:bCs/>
      </w:rPr>
      <w:tblPr/>
      <w:tcPr>
        <w:tcBorders>
          <w:top w:val="single" w:sz="8" w:space="0" w:color="94A088" w:themeColor="accent6"/>
          <w:bottom w:val="single" w:sz="8" w:space="0" w:color="94A088" w:themeColor="accent6"/>
        </w:tcBorders>
      </w:tcPr>
    </w:tblStylePr>
    <w:tblStylePr w:type="band1Vert">
      <w:tblPr/>
      <w:tcPr>
        <w:shd w:val="clear" w:color="auto" w:fill="E4E7E1" w:themeFill="accent6" w:themeFillTint="3F"/>
      </w:tcPr>
    </w:tblStylePr>
    <w:tblStylePr w:type="band1Horz">
      <w:tblPr/>
      <w:tcPr>
        <w:shd w:val="clear" w:color="auto" w:fill="E4E7E1"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48312" w:themeColor="accent1"/>
        <w:left w:val="single" w:sz="8" w:space="0" w:color="E48312" w:themeColor="accent1"/>
        <w:bottom w:val="single" w:sz="8" w:space="0" w:color="E48312" w:themeColor="accent1"/>
        <w:right w:val="single" w:sz="8" w:space="0" w:color="E48312" w:themeColor="accent1"/>
      </w:tblBorders>
    </w:tblPr>
    <w:tblStylePr w:type="firstRow">
      <w:rPr>
        <w:sz w:val="24"/>
        <w:szCs w:val="24"/>
      </w:rPr>
      <w:tblPr/>
      <w:tcPr>
        <w:tcBorders>
          <w:top w:val="nil"/>
          <w:left w:val="nil"/>
          <w:bottom w:val="single" w:sz="24" w:space="0" w:color="E48312" w:themeColor="accent1"/>
          <w:right w:val="nil"/>
          <w:insideH w:val="nil"/>
          <w:insideV w:val="nil"/>
        </w:tcBorders>
        <w:shd w:val="clear" w:color="auto" w:fill="FFFFFF" w:themeFill="background1"/>
      </w:tcPr>
    </w:tblStylePr>
    <w:tblStylePr w:type="lastRow">
      <w:tblPr/>
      <w:tcPr>
        <w:tcBorders>
          <w:top w:val="single" w:sz="8" w:space="0" w:color="E4831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48312" w:themeColor="accent1"/>
          <w:insideH w:val="nil"/>
          <w:insideV w:val="nil"/>
        </w:tcBorders>
        <w:shd w:val="clear" w:color="auto" w:fill="FFFFFF" w:themeFill="background1"/>
      </w:tcPr>
    </w:tblStylePr>
    <w:tblStylePr w:type="lastCol">
      <w:tblPr/>
      <w:tcPr>
        <w:tcBorders>
          <w:top w:val="nil"/>
          <w:left w:val="single" w:sz="8" w:space="0" w:color="E4831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E0C2" w:themeFill="accent1" w:themeFillTint="3F"/>
      </w:tcPr>
    </w:tblStylePr>
    <w:tblStylePr w:type="band1Horz">
      <w:tblPr/>
      <w:tcPr>
        <w:tcBorders>
          <w:top w:val="nil"/>
          <w:bottom w:val="nil"/>
          <w:insideH w:val="nil"/>
          <w:insideV w:val="nil"/>
        </w:tcBorders>
        <w:shd w:val="clear" w:color="auto" w:fill="FAE0C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D582C" w:themeColor="accent2"/>
        <w:left w:val="single" w:sz="8" w:space="0" w:color="BD582C" w:themeColor="accent2"/>
        <w:bottom w:val="single" w:sz="8" w:space="0" w:color="BD582C" w:themeColor="accent2"/>
        <w:right w:val="single" w:sz="8" w:space="0" w:color="BD582C" w:themeColor="accent2"/>
      </w:tblBorders>
    </w:tblPr>
    <w:tblStylePr w:type="firstRow">
      <w:rPr>
        <w:sz w:val="24"/>
        <w:szCs w:val="24"/>
      </w:rPr>
      <w:tblPr/>
      <w:tcPr>
        <w:tcBorders>
          <w:top w:val="nil"/>
          <w:left w:val="nil"/>
          <w:bottom w:val="single" w:sz="24" w:space="0" w:color="BD582C" w:themeColor="accent2"/>
          <w:right w:val="nil"/>
          <w:insideH w:val="nil"/>
          <w:insideV w:val="nil"/>
        </w:tcBorders>
        <w:shd w:val="clear" w:color="auto" w:fill="FFFFFF" w:themeFill="background1"/>
      </w:tcPr>
    </w:tblStylePr>
    <w:tblStylePr w:type="lastRow">
      <w:tblPr/>
      <w:tcPr>
        <w:tcBorders>
          <w:top w:val="single" w:sz="8" w:space="0" w:color="BD582C"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BD582C" w:themeColor="accent2"/>
          <w:insideH w:val="nil"/>
          <w:insideV w:val="nil"/>
        </w:tcBorders>
        <w:shd w:val="clear" w:color="auto" w:fill="FFFFFF" w:themeFill="background1"/>
      </w:tcPr>
    </w:tblStylePr>
    <w:tblStylePr w:type="lastCol">
      <w:tblPr/>
      <w:tcPr>
        <w:tcBorders>
          <w:top w:val="nil"/>
          <w:left w:val="single" w:sz="8" w:space="0" w:color="BD582C"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2D4C7" w:themeFill="accent2" w:themeFillTint="3F"/>
      </w:tcPr>
    </w:tblStylePr>
    <w:tblStylePr w:type="band1Horz">
      <w:tblPr/>
      <w:tcPr>
        <w:tcBorders>
          <w:top w:val="nil"/>
          <w:bottom w:val="nil"/>
          <w:insideH w:val="nil"/>
          <w:insideV w:val="nil"/>
        </w:tcBorders>
        <w:shd w:val="clear" w:color="auto" w:fill="F2D4C7"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65640" w:themeColor="accent3"/>
        <w:left w:val="single" w:sz="8" w:space="0" w:color="865640" w:themeColor="accent3"/>
        <w:bottom w:val="single" w:sz="8" w:space="0" w:color="865640" w:themeColor="accent3"/>
        <w:right w:val="single" w:sz="8" w:space="0" w:color="865640" w:themeColor="accent3"/>
      </w:tblBorders>
    </w:tblPr>
    <w:tblStylePr w:type="firstRow">
      <w:rPr>
        <w:sz w:val="24"/>
        <w:szCs w:val="24"/>
      </w:rPr>
      <w:tblPr/>
      <w:tcPr>
        <w:tcBorders>
          <w:top w:val="nil"/>
          <w:left w:val="nil"/>
          <w:bottom w:val="single" w:sz="24" w:space="0" w:color="865640" w:themeColor="accent3"/>
          <w:right w:val="nil"/>
          <w:insideH w:val="nil"/>
          <w:insideV w:val="nil"/>
        </w:tcBorders>
        <w:shd w:val="clear" w:color="auto" w:fill="FFFFFF" w:themeFill="background1"/>
      </w:tcPr>
    </w:tblStylePr>
    <w:tblStylePr w:type="lastRow">
      <w:tblPr/>
      <w:tcPr>
        <w:tcBorders>
          <w:top w:val="single" w:sz="8" w:space="0" w:color="865640"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65640" w:themeColor="accent3"/>
          <w:insideH w:val="nil"/>
          <w:insideV w:val="nil"/>
        </w:tcBorders>
        <w:shd w:val="clear" w:color="auto" w:fill="FFFFFF" w:themeFill="background1"/>
      </w:tcPr>
    </w:tblStylePr>
    <w:tblStylePr w:type="lastCol">
      <w:tblPr/>
      <w:tcPr>
        <w:tcBorders>
          <w:top w:val="nil"/>
          <w:left w:val="single" w:sz="8" w:space="0" w:color="865640"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D3CA" w:themeFill="accent3" w:themeFillTint="3F"/>
      </w:tcPr>
    </w:tblStylePr>
    <w:tblStylePr w:type="band1Horz">
      <w:tblPr/>
      <w:tcPr>
        <w:tcBorders>
          <w:top w:val="nil"/>
          <w:bottom w:val="nil"/>
          <w:insideH w:val="nil"/>
          <w:insideV w:val="nil"/>
        </w:tcBorders>
        <w:shd w:val="clear" w:color="auto" w:fill="E6D3C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8357" w:themeColor="accent4"/>
        <w:left w:val="single" w:sz="8" w:space="0" w:color="9B8357" w:themeColor="accent4"/>
        <w:bottom w:val="single" w:sz="8" w:space="0" w:color="9B8357" w:themeColor="accent4"/>
        <w:right w:val="single" w:sz="8" w:space="0" w:color="9B8357" w:themeColor="accent4"/>
      </w:tblBorders>
    </w:tblPr>
    <w:tblStylePr w:type="firstRow">
      <w:rPr>
        <w:sz w:val="24"/>
        <w:szCs w:val="24"/>
      </w:rPr>
      <w:tblPr/>
      <w:tcPr>
        <w:tcBorders>
          <w:top w:val="nil"/>
          <w:left w:val="nil"/>
          <w:bottom w:val="single" w:sz="24" w:space="0" w:color="9B8357" w:themeColor="accent4"/>
          <w:right w:val="nil"/>
          <w:insideH w:val="nil"/>
          <w:insideV w:val="nil"/>
        </w:tcBorders>
        <w:shd w:val="clear" w:color="auto" w:fill="FFFFFF" w:themeFill="background1"/>
      </w:tcPr>
    </w:tblStylePr>
    <w:tblStylePr w:type="lastRow">
      <w:tblPr/>
      <w:tcPr>
        <w:tcBorders>
          <w:top w:val="single" w:sz="8" w:space="0" w:color="9B8357"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8357" w:themeColor="accent4"/>
          <w:insideH w:val="nil"/>
          <w:insideV w:val="nil"/>
        </w:tcBorders>
        <w:shd w:val="clear" w:color="auto" w:fill="FFFFFF" w:themeFill="background1"/>
      </w:tcPr>
    </w:tblStylePr>
    <w:tblStylePr w:type="lastCol">
      <w:tblPr/>
      <w:tcPr>
        <w:tcBorders>
          <w:top w:val="nil"/>
          <w:left w:val="single" w:sz="8" w:space="0" w:color="9B8357"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E0D4" w:themeFill="accent4" w:themeFillTint="3F"/>
      </w:tcPr>
    </w:tblStylePr>
    <w:tblStylePr w:type="band1Horz">
      <w:tblPr/>
      <w:tcPr>
        <w:tcBorders>
          <w:top w:val="nil"/>
          <w:bottom w:val="nil"/>
          <w:insideH w:val="nil"/>
          <w:insideV w:val="nil"/>
        </w:tcBorders>
        <w:shd w:val="clear" w:color="auto" w:fill="E7E0D4"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2BC80" w:themeColor="accent5"/>
        <w:left w:val="single" w:sz="8" w:space="0" w:color="C2BC80" w:themeColor="accent5"/>
        <w:bottom w:val="single" w:sz="8" w:space="0" w:color="C2BC80" w:themeColor="accent5"/>
        <w:right w:val="single" w:sz="8" w:space="0" w:color="C2BC80" w:themeColor="accent5"/>
      </w:tblBorders>
    </w:tblPr>
    <w:tblStylePr w:type="firstRow">
      <w:rPr>
        <w:sz w:val="24"/>
        <w:szCs w:val="24"/>
      </w:rPr>
      <w:tblPr/>
      <w:tcPr>
        <w:tcBorders>
          <w:top w:val="nil"/>
          <w:left w:val="nil"/>
          <w:bottom w:val="single" w:sz="24" w:space="0" w:color="C2BC80" w:themeColor="accent5"/>
          <w:right w:val="nil"/>
          <w:insideH w:val="nil"/>
          <w:insideV w:val="nil"/>
        </w:tcBorders>
        <w:shd w:val="clear" w:color="auto" w:fill="FFFFFF" w:themeFill="background1"/>
      </w:tcPr>
    </w:tblStylePr>
    <w:tblStylePr w:type="lastRow">
      <w:tblPr/>
      <w:tcPr>
        <w:tcBorders>
          <w:top w:val="single" w:sz="8" w:space="0" w:color="C2BC80"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2BC80" w:themeColor="accent5"/>
          <w:insideH w:val="nil"/>
          <w:insideV w:val="nil"/>
        </w:tcBorders>
        <w:shd w:val="clear" w:color="auto" w:fill="FFFFFF" w:themeFill="background1"/>
      </w:tcPr>
    </w:tblStylePr>
    <w:tblStylePr w:type="lastCol">
      <w:tblPr/>
      <w:tcPr>
        <w:tcBorders>
          <w:top w:val="nil"/>
          <w:left w:val="single" w:sz="8" w:space="0" w:color="C2BC80"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0EEDF" w:themeFill="accent5" w:themeFillTint="3F"/>
      </w:tcPr>
    </w:tblStylePr>
    <w:tblStylePr w:type="band1Horz">
      <w:tblPr/>
      <w:tcPr>
        <w:tcBorders>
          <w:top w:val="nil"/>
          <w:bottom w:val="nil"/>
          <w:insideH w:val="nil"/>
          <w:insideV w:val="nil"/>
        </w:tcBorders>
        <w:shd w:val="clear" w:color="auto" w:fill="F0EED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4A088" w:themeColor="accent6"/>
        <w:left w:val="single" w:sz="8" w:space="0" w:color="94A088" w:themeColor="accent6"/>
        <w:bottom w:val="single" w:sz="8" w:space="0" w:color="94A088" w:themeColor="accent6"/>
        <w:right w:val="single" w:sz="8" w:space="0" w:color="94A088" w:themeColor="accent6"/>
      </w:tblBorders>
    </w:tblPr>
    <w:tblStylePr w:type="firstRow">
      <w:rPr>
        <w:sz w:val="24"/>
        <w:szCs w:val="24"/>
      </w:rPr>
      <w:tblPr/>
      <w:tcPr>
        <w:tcBorders>
          <w:top w:val="nil"/>
          <w:left w:val="nil"/>
          <w:bottom w:val="single" w:sz="24" w:space="0" w:color="94A088" w:themeColor="accent6"/>
          <w:right w:val="nil"/>
          <w:insideH w:val="nil"/>
          <w:insideV w:val="nil"/>
        </w:tcBorders>
        <w:shd w:val="clear" w:color="auto" w:fill="FFFFFF" w:themeFill="background1"/>
      </w:tcPr>
    </w:tblStylePr>
    <w:tblStylePr w:type="lastRow">
      <w:tblPr/>
      <w:tcPr>
        <w:tcBorders>
          <w:top w:val="single" w:sz="8" w:space="0" w:color="94A088"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4A088" w:themeColor="accent6"/>
          <w:insideH w:val="nil"/>
          <w:insideV w:val="nil"/>
        </w:tcBorders>
        <w:shd w:val="clear" w:color="auto" w:fill="FFFFFF" w:themeFill="background1"/>
      </w:tcPr>
    </w:tblStylePr>
    <w:tblStylePr w:type="lastCol">
      <w:tblPr/>
      <w:tcPr>
        <w:tcBorders>
          <w:top w:val="nil"/>
          <w:left w:val="single" w:sz="8" w:space="0" w:color="94A088"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4E7E1" w:themeFill="accent6" w:themeFillTint="3F"/>
      </w:tcPr>
    </w:tblStylePr>
    <w:tblStylePr w:type="band1Horz">
      <w:tblPr/>
      <w:tcPr>
        <w:tcBorders>
          <w:top w:val="nil"/>
          <w:bottom w:val="nil"/>
          <w:insideH w:val="nil"/>
          <w:insideV w:val="nil"/>
        </w:tcBorders>
        <w:shd w:val="clear" w:color="auto" w:fill="E4E7E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F0A247" w:themeColor="accent1" w:themeTint="BF"/>
        <w:left w:val="single" w:sz="8" w:space="0" w:color="F0A247" w:themeColor="accent1" w:themeTint="BF"/>
        <w:bottom w:val="single" w:sz="8" w:space="0" w:color="F0A247" w:themeColor="accent1" w:themeTint="BF"/>
        <w:right w:val="single" w:sz="8" w:space="0" w:color="F0A247" w:themeColor="accent1" w:themeTint="BF"/>
        <w:insideH w:val="single" w:sz="8" w:space="0" w:color="F0A247" w:themeColor="accent1" w:themeTint="BF"/>
      </w:tblBorders>
    </w:tblPr>
    <w:tblStylePr w:type="firstRow">
      <w:pPr>
        <w:spacing w:before="0" w:after="0" w:line="240" w:lineRule="auto"/>
      </w:pPr>
      <w:rPr>
        <w:b/>
        <w:bCs/>
        <w:color w:val="FFFFFF" w:themeColor="background1"/>
      </w:rPr>
      <w:tblPr/>
      <w:tcPr>
        <w:tcBorders>
          <w:top w:val="single" w:sz="8" w:space="0" w:color="F0A247" w:themeColor="accent1" w:themeTint="BF"/>
          <w:left w:val="single" w:sz="8" w:space="0" w:color="F0A247" w:themeColor="accent1" w:themeTint="BF"/>
          <w:bottom w:val="single" w:sz="8" w:space="0" w:color="F0A247" w:themeColor="accent1" w:themeTint="BF"/>
          <w:right w:val="single" w:sz="8" w:space="0" w:color="F0A247" w:themeColor="accent1" w:themeTint="BF"/>
          <w:insideH w:val="nil"/>
          <w:insideV w:val="nil"/>
        </w:tcBorders>
        <w:shd w:val="clear" w:color="auto" w:fill="E48312" w:themeFill="accent1"/>
      </w:tcPr>
    </w:tblStylePr>
    <w:tblStylePr w:type="lastRow">
      <w:pPr>
        <w:spacing w:before="0" w:after="0" w:line="240" w:lineRule="auto"/>
      </w:pPr>
      <w:rPr>
        <w:b/>
        <w:bCs/>
      </w:rPr>
      <w:tblPr/>
      <w:tcPr>
        <w:tcBorders>
          <w:top w:val="double" w:sz="6" w:space="0" w:color="F0A247" w:themeColor="accent1" w:themeTint="BF"/>
          <w:left w:val="single" w:sz="8" w:space="0" w:color="F0A247" w:themeColor="accent1" w:themeTint="BF"/>
          <w:bottom w:val="single" w:sz="8" w:space="0" w:color="F0A247" w:themeColor="accent1" w:themeTint="BF"/>
          <w:right w:val="single" w:sz="8" w:space="0" w:color="F0A247" w:themeColor="accent1" w:themeTint="BF"/>
          <w:insideH w:val="nil"/>
          <w:insideV w:val="nil"/>
        </w:tcBorders>
      </w:tcPr>
    </w:tblStylePr>
    <w:tblStylePr w:type="firstCol">
      <w:rPr>
        <w:b/>
        <w:bCs/>
      </w:rPr>
    </w:tblStylePr>
    <w:tblStylePr w:type="lastCol">
      <w:rPr>
        <w:b/>
        <w:bCs/>
      </w:rPr>
    </w:tblStylePr>
    <w:tblStylePr w:type="band1Vert">
      <w:tblPr/>
      <w:tcPr>
        <w:shd w:val="clear" w:color="auto" w:fill="FAE0C2" w:themeFill="accent1" w:themeFillTint="3F"/>
      </w:tcPr>
    </w:tblStylePr>
    <w:tblStylePr w:type="band1Horz">
      <w:tblPr/>
      <w:tcPr>
        <w:tcBorders>
          <w:insideH w:val="nil"/>
          <w:insideV w:val="nil"/>
        </w:tcBorders>
        <w:shd w:val="clear" w:color="auto" w:fill="FAE0C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D77D56" w:themeColor="accent2" w:themeTint="BF"/>
        <w:left w:val="single" w:sz="8" w:space="0" w:color="D77D56" w:themeColor="accent2" w:themeTint="BF"/>
        <w:bottom w:val="single" w:sz="8" w:space="0" w:color="D77D56" w:themeColor="accent2" w:themeTint="BF"/>
        <w:right w:val="single" w:sz="8" w:space="0" w:color="D77D56" w:themeColor="accent2" w:themeTint="BF"/>
        <w:insideH w:val="single" w:sz="8" w:space="0" w:color="D77D56" w:themeColor="accent2" w:themeTint="BF"/>
      </w:tblBorders>
    </w:tblPr>
    <w:tblStylePr w:type="firstRow">
      <w:pPr>
        <w:spacing w:before="0" w:after="0" w:line="240" w:lineRule="auto"/>
      </w:pPr>
      <w:rPr>
        <w:b/>
        <w:bCs/>
        <w:color w:val="FFFFFF" w:themeColor="background1"/>
      </w:rPr>
      <w:tblPr/>
      <w:tcPr>
        <w:tcBorders>
          <w:top w:val="single" w:sz="8" w:space="0" w:color="D77D56" w:themeColor="accent2" w:themeTint="BF"/>
          <w:left w:val="single" w:sz="8" w:space="0" w:color="D77D56" w:themeColor="accent2" w:themeTint="BF"/>
          <w:bottom w:val="single" w:sz="8" w:space="0" w:color="D77D56" w:themeColor="accent2" w:themeTint="BF"/>
          <w:right w:val="single" w:sz="8" w:space="0" w:color="D77D56" w:themeColor="accent2" w:themeTint="BF"/>
          <w:insideH w:val="nil"/>
          <w:insideV w:val="nil"/>
        </w:tcBorders>
        <w:shd w:val="clear" w:color="auto" w:fill="BD582C" w:themeFill="accent2"/>
      </w:tcPr>
    </w:tblStylePr>
    <w:tblStylePr w:type="lastRow">
      <w:pPr>
        <w:spacing w:before="0" w:after="0" w:line="240" w:lineRule="auto"/>
      </w:pPr>
      <w:rPr>
        <w:b/>
        <w:bCs/>
      </w:rPr>
      <w:tblPr/>
      <w:tcPr>
        <w:tcBorders>
          <w:top w:val="double" w:sz="6" w:space="0" w:color="D77D56" w:themeColor="accent2" w:themeTint="BF"/>
          <w:left w:val="single" w:sz="8" w:space="0" w:color="D77D56" w:themeColor="accent2" w:themeTint="BF"/>
          <w:bottom w:val="single" w:sz="8" w:space="0" w:color="D77D56" w:themeColor="accent2" w:themeTint="BF"/>
          <w:right w:val="single" w:sz="8" w:space="0" w:color="D77D56" w:themeColor="accent2" w:themeTint="BF"/>
          <w:insideH w:val="nil"/>
          <w:insideV w:val="nil"/>
        </w:tcBorders>
      </w:tcPr>
    </w:tblStylePr>
    <w:tblStylePr w:type="firstCol">
      <w:rPr>
        <w:b/>
        <w:bCs/>
      </w:rPr>
    </w:tblStylePr>
    <w:tblStylePr w:type="lastCol">
      <w:rPr>
        <w:b/>
        <w:bCs/>
      </w:rPr>
    </w:tblStylePr>
    <w:tblStylePr w:type="band1Vert">
      <w:tblPr/>
      <w:tcPr>
        <w:shd w:val="clear" w:color="auto" w:fill="F2D4C7" w:themeFill="accent2" w:themeFillTint="3F"/>
      </w:tcPr>
    </w:tblStylePr>
    <w:tblStylePr w:type="band1Horz">
      <w:tblPr/>
      <w:tcPr>
        <w:tcBorders>
          <w:insideH w:val="nil"/>
          <w:insideV w:val="nil"/>
        </w:tcBorders>
        <w:shd w:val="clear" w:color="auto" w:fill="F2D4C7"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B37A60" w:themeColor="accent3" w:themeTint="BF"/>
        <w:left w:val="single" w:sz="8" w:space="0" w:color="B37A60" w:themeColor="accent3" w:themeTint="BF"/>
        <w:bottom w:val="single" w:sz="8" w:space="0" w:color="B37A60" w:themeColor="accent3" w:themeTint="BF"/>
        <w:right w:val="single" w:sz="8" w:space="0" w:color="B37A60" w:themeColor="accent3" w:themeTint="BF"/>
        <w:insideH w:val="single" w:sz="8" w:space="0" w:color="B37A60" w:themeColor="accent3" w:themeTint="BF"/>
      </w:tblBorders>
    </w:tblPr>
    <w:tblStylePr w:type="firstRow">
      <w:pPr>
        <w:spacing w:before="0" w:after="0" w:line="240" w:lineRule="auto"/>
      </w:pPr>
      <w:rPr>
        <w:b/>
        <w:bCs/>
        <w:color w:val="FFFFFF" w:themeColor="background1"/>
      </w:rPr>
      <w:tblPr/>
      <w:tcPr>
        <w:tcBorders>
          <w:top w:val="single" w:sz="8" w:space="0" w:color="B37A60" w:themeColor="accent3" w:themeTint="BF"/>
          <w:left w:val="single" w:sz="8" w:space="0" w:color="B37A60" w:themeColor="accent3" w:themeTint="BF"/>
          <w:bottom w:val="single" w:sz="8" w:space="0" w:color="B37A60" w:themeColor="accent3" w:themeTint="BF"/>
          <w:right w:val="single" w:sz="8" w:space="0" w:color="B37A60" w:themeColor="accent3" w:themeTint="BF"/>
          <w:insideH w:val="nil"/>
          <w:insideV w:val="nil"/>
        </w:tcBorders>
        <w:shd w:val="clear" w:color="auto" w:fill="865640" w:themeFill="accent3"/>
      </w:tcPr>
    </w:tblStylePr>
    <w:tblStylePr w:type="lastRow">
      <w:pPr>
        <w:spacing w:before="0" w:after="0" w:line="240" w:lineRule="auto"/>
      </w:pPr>
      <w:rPr>
        <w:b/>
        <w:bCs/>
      </w:rPr>
      <w:tblPr/>
      <w:tcPr>
        <w:tcBorders>
          <w:top w:val="double" w:sz="6" w:space="0" w:color="B37A60" w:themeColor="accent3" w:themeTint="BF"/>
          <w:left w:val="single" w:sz="8" w:space="0" w:color="B37A60" w:themeColor="accent3" w:themeTint="BF"/>
          <w:bottom w:val="single" w:sz="8" w:space="0" w:color="B37A60" w:themeColor="accent3" w:themeTint="BF"/>
          <w:right w:val="single" w:sz="8" w:space="0" w:color="B37A6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D3CA" w:themeFill="accent3" w:themeFillTint="3F"/>
      </w:tcPr>
    </w:tblStylePr>
    <w:tblStylePr w:type="band1Horz">
      <w:tblPr/>
      <w:tcPr>
        <w:tcBorders>
          <w:insideH w:val="nil"/>
          <w:insideV w:val="nil"/>
        </w:tcBorders>
        <w:shd w:val="clear" w:color="auto" w:fill="E6D3C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B6A27E" w:themeColor="accent4" w:themeTint="BF"/>
        <w:left w:val="single" w:sz="8" w:space="0" w:color="B6A27E" w:themeColor="accent4" w:themeTint="BF"/>
        <w:bottom w:val="single" w:sz="8" w:space="0" w:color="B6A27E" w:themeColor="accent4" w:themeTint="BF"/>
        <w:right w:val="single" w:sz="8" w:space="0" w:color="B6A27E" w:themeColor="accent4" w:themeTint="BF"/>
        <w:insideH w:val="single" w:sz="8" w:space="0" w:color="B6A27E" w:themeColor="accent4" w:themeTint="BF"/>
      </w:tblBorders>
    </w:tblPr>
    <w:tblStylePr w:type="firstRow">
      <w:pPr>
        <w:spacing w:before="0" w:after="0" w:line="240" w:lineRule="auto"/>
      </w:pPr>
      <w:rPr>
        <w:b/>
        <w:bCs/>
        <w:color w:val="FFFFFF" w:themeColor="background1"/>
      </w:rPr>
      <w:tblPr/>
      <w:tcPr>
        <w:tcBorders>
          <w:top w:val="single" w:sz="8" w:space="0" w:color="B6A27E" w:themeColor="accent4" w:themeTint="BF"/>
          <w:left w:val="single" w:sz="8" w:space="0" w:color="B6A27E" w:themeColor="accent4" w:themeTint="BF"/>
          <w:bottom w:val="single" w:sz="8" w:space="0" w:color="B6A27E" w:themeColor="accent4" w:themeTint="BF"/>
          <w:right w:val="single" w:sz="8" w:space="0" w:color="B6A27E" w:themeColor="accent4" w:themeTint="BF"/>
          <w:insideH w:val="nil"/>
          <w:insideV w:val="nil"/>
        </w:tcBorders>
        <w:shd w:val="clear" w:color="auto" w:fill="9B8357" w:themeFill="accent4"/>
      </w:tcPr>
    </w:tblStylePr>
    <w:tblStylePr w:type="lastRow">
      <w:pPr>
        <w:spacing w:before="0" w:after="0" w:line="240" w:lineRule="auto"/>
      </w:pPr>
      <w:rPr>
        <w:b/>
        <w:bCs/>
      </w:rPr>
      <w:tblPr/>
      <w:tcPr>
        <w:tcBorders>
          <w:top w:val="double" w:sz="6" w:space="0" w:color="B6A27E" w:themeColor="accent4" w:themeTint="BF"/>
          <w:left w:val="single" w:sz="8" w:space="0" w:color="B6A27E" w:themeColor="accent4" w:themeTint="BF"/>
          <w:bottom w:val="single" w:sz="8" w:space="0" w:color="B6A27E" w:themeColor="accent4" w:themeTint="BF"/>
          <w:right w:val="single" w:sz="8" w:space="0" w:color="B6A27E" w:themeColor="accent4" w:themeTint="BF"/>
          <w:insideH w:val="nil"/>
          <w:insideV w:val="nil"/>
        </w:tcBorders>
      </w:tcPr>
    </w:tblStylePr>
    <w:tblStylePr w:type="firstCol">
      <w:rPr>
        <w:b/>
        <w:bCs/>
      </w:rPr>
    </w:tblStylePr>
    <w:tblStylePr w:type="lastCol">
      <w:rPr>
        <w:b/>
        <w:bCs/>
      </w:rPr>
    </w:tblStylePr>
    <w:tblStylePr w:type="band1Vert">
      <w:tblPr/>
      <w:tcPr>
        <w:shd w:val="clear" w:color="auto" w:fill="E7E0D4" w:themeFill="accent4" w:themeFillTint="3F"/>
      </w:tcPr>
    </w:tblStylePr>
    <w:tblStylePr w:type="band1Horz">
      <w:tblPr/>
      <w:tcPr>
        <w:tcBorders>
          <w:insideH w:val="nil"/>
          <w:insideV w:val="nil"/>
        </w:tcBorders>
        <w:shd w:val="clear" w:color="auto" w:fill="E7E0D4"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D1CC9F" w:themeColor="accent5" w:themeTint="BF"/>
        <w:left w:val="single" w:sz="8" w:space="0" w:color="D1CC9F" w:themeColor="accent5" w:themeTint="BF"/>
        <w:bottom w:val="single" w:sz="8" w:space="0" w:color="D1CC9F" w:themeColor="accent5" w:themeTint="BF"/>
        <w:right w:val="single" w:sz="8" w:space="0" w:color="D1CC9F" w:themeColor="accent5" w:themeTint="BF"/>
        <w:insideH w:val="single" w:sz="8" w:space="0" w:color="D1CC9F" w:themeColor="accent5" w:themeTint="BF"/>
      </w:tblBorders>
    </w:tblPr>
    <w:tblStylePr w:type="firstRow">
      <w:pPr>
        <w:spacing w:before="0" w:after="0" w:line="240" w:lineRule="auto"/>
      </w:pPr>
      <w:rPr>
        <w:b/>
        <w:bCs/>
        <w:color w:val="FFFFFF" w:themeColor="background1"/>
      </w:rPr>
      <w:tblPr/>
      <w:tcPr>
        <w:tcBorders>
          <w:top w:val="single" w:sz="8" w:space="0" w:color="D1CC9F" w:themeColor="accent5" w:themeTint="BF"/>
          <w:left w:val="single" w:sz="8" w:space="0" w:color="D1CC9F" w:themeColor="accent5" w:themeTint="BF"/>
          <w:bottom w:val="single" w:sz="8" w:space="0" w:color="D1CC9F" w:themeColor="accent5" w:themeTint="BF"/>
          <w:right w:val="single" w:sz="8" w:space="0" w:color="D1CC9F" w:themeColor="accent5" w:themeTint="BF"/>
          <w:insideH w:val="nil"/>
          <w:insideV w:val="nil"/>
        </w:tcBorders>
        <w:shd w:val="clear" w:color="auto" w:fill="C2BC80" w:themeFill="accent5"/>
      </w:tcPr>
    </w:tblStylePr>
    <w:tblStylePr w:type="lastRow">
      <w:pPr>
        <w:spacing w:before="0" w:after="0" w:line="240" w:lineRule="auto"/>
      </w:pPr>
      <w:rPr>
        <w:b/>
        <w:bCs/>
      </w:rPr>
      <w:tblPr/>
      <w:tcPr>
        <w:tcBorders>
          <w:top w:val="double" w:sz="6" w:space="0" w:color="D1CC9F" w:themeColor="accent5" w:themeTint="BF"/>
          <w:left w:val="single" w:sz="8" w:space="0" w:color="D1CC9F" w:themeColor="accent5" w:themeTint="BF"/>
          <w:bottom w:val="single" w:sz="8" w:space="0" w:color="D1CC9F" w:themeColor="accent5" w:themeTint="BF"/>
          <w:right w:val="single" w:sz="8" w:space="0" w:color="D1CC9F" w:themeColor="accent5" w:themeTint="BF"/>
          <w:insideH w:val="nil"/>
          <w:insideV w:val="nil"/>
        </w:tcBorders>
      </w:tcPr>
    </w:tblStylePr>
    <w:tblStylePr w:type="firstCol">
      <w:rPr>
        <w:b/>
        <w:bCs/>
      </w:rPr>
    </w:tblStylePr>
    <w:tblStylePr w:type="lastCol">
      <w:rPr>
        <w:b/>
        <w:bCs/>
      </w:rPr>
    </w:tblStylePr>
    <w:tblStylePr w:type="band1Vert">
      <w:tblPr/>
      <w:tcPr>
        <w:shd w:val="clear" w:color="auto" w:fill="F0EEDF" w:themeFill="accent5" w:themeFillTint="3F"/>
      </w:tcPr>
    </w:tblStylePr>
    <w:tblStylePr w:type="band1Horz">
      <w:tblPr/>
      <w:tcPr>
        <w:tcBorders>
          <w:insideH w:val="nil"/>
          <w:insideV w:val="nil"/>
        </w:tcBorders>
        <w:shd w:val="clear" w:color="auto" w:fill="F0EED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AEB7A5" w:themeColor="accent6" w:themeTint="BF"/>
        <w:left w:val="single" w:sz="8" w:space="0" w:color="AEB7A5" w:themeColor="accent6" w:themeTint="BF"/>
        <w:bottom w:val="single" w:sz="8" w:space="0" w:color="AEB7A5" w:themeColor="accent6" w:themeTint="BF"/>
        <w:right w:val="single" w:sz="8" w:space="0" w:color="AEB7A5" w:themeColor="accent6" w:themeTint="BF"/>
        <w:insideH w:val="single" w:sz="8" w:space="0" w:color="AEB7A5" w:themeColor="accent6" w:themeTint="BF"/>
      </w:tblBorders>
    </w:tblPr>
    <w:tblStylePr w:type="firstRow">
      <w:pPr>
        <w:spacing w:before="0" w:after="0" w:line="240" w:lineRule="auto"/>
      </w:pPr>
      <w:rPr>
        <w:b/>
        <w:bCs/>
        <w:color w:val="FFFFFF" w:themeColor="background1"/>
      </w:rPr>
      <w:tblPr/>
      <w:tcPr>
        <w:tcBorders>
          <w:top w:val="single" w:sz="8" w:space="0" w:color="AEB7A5" w:themeColor="accent6" w:themeTint="BF"/>
          <w:left w:val="single" w:sz="8" w:space="0" w:color="AEB7A5" w:themeColor="accent6" w:themeTint="BF"/>
          <w:bottom w:val="single" w:sz="8" w:space="0" w:color="AEB7A5" w:themeColor="accent6" w:themeTint="BF"/>
          <w:right w:val="single" w:sz="8" w:space="0" w:color="AEB7A5" w:themeColor="accent6" w:themeTint="BF"/>
          <w:insideH w:val="nil"/>
          <w:insideV w:val="nil"/>
        </w:tcBorders>
        <w:shd w:val="clear" w:color="auto" w:fill="94A088" w:themeFill="accent6"/>
      </w:tcPr>
    </w:tblStylePr>
    <w:tblStylePr w:type="lastRow">
      <w:pPr>
        <w:spacing w:before="0" w:after="0" w:line="240" w:lineRule="auto"/>
      </w:pPr>
      <w:rPr>
        <w:b/>
        <w:bCs/>
      </w:rPr>
      <w:tblPr/>
      <w:tcPr>
        <w:tcBorders>
          <w:top w:val="double" w:sz="6" w:space="0" w:color="AEB7A5" w:themeColor="accent6" w:themeTint="BF"/>
          <w:left w:val="single" w:sz="8" w:space="0" w:color="AEB7A5" w:themeColor="accent6" w:themeTint="BF"/>
          <w:bottom w:val="single" w:sz="8" w:space="0" w:color="AEB7A5" w:themeColor="accent6" w:themeTint="BF"/>
          <w:right w:val="single" w:sz="8" w:space="0" w:color="AEB7A5" w:themeColor="accent6" w:themeTint="BF"/>
          <w:insideH w:val="nil"/>
          <w:insideV w:val="nil"/>
        </w:tcBorders>
      </w:tcPr>
    </w:tblStylePr>
    <w:tblStylePr w:type="firstCol">
      <w:rPr>
        <w:b/>
        <w:bCs/>
      </w:rPr>
    </w:tblStylePr>
    <w:tblStylePr w:type="lastCol">
      <w:rPr>
        <w:b/>
        <w:bCs/>
      </w:rPr>
    </w:tblStylePr>
    <w:tblStylePr w:type="band1Vert">
      <w:tblPr/>
      <w:tcPr>
        <w:shd w:val="clear" w:color="auto" w:fill="E4E7E1" w:themeFill="accent6" w:themeFillTint="3F"/>
      </w:tcPr>
    </w:tblStylePr>
    <w:tblStylePr w:type="band1Horz">
      <w:tblPr/>
      <w:tcPr>
        <w:tcBorders>
          <w:insideH w:val="nil"/>
          <w:insideV w:val="nil"/>
        </w:tcBorders>
        <w:shd w:val="clear" w:color="auto" w:fill="E4E7E1"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4831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48312" w:themeFill="accent1"/>
      </w:tcPr>
    </w:tblStylePr>
    <w:tblStylePr w:type="lastCol">
      <w:rPr>
        <w:b/>
        <w:bCs/>
        <w:color w:val="FFFFFF" w:themeColor="background1"/>
      </w:rPr>
      <w:tblPr/>
      <w:tcPr>
        <w:tcBorders>
          <w:left w:val="nil"/>
          <w:right w:val="nil"/>
          <w:insideH w:val="nil"/>
          <w:insideV w:val="nil"/>
        </w:tcBorders>
        <w:shd w:val="clear" w:color="auto" w:fill="E4831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D582C"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D582C" w:themeFill="accent2"/>
      </w:tcPr>
    </w:tblStylePr>
    <w:tblStylePr w:type="lastCol">
      <w:rPr>
        <w:b/>
        <w:bCs/>
        <w:color w:val="FFFFFF" w:themeColor="background1"/>
      </w:rPr>
      <w:tblPr/>
      <w:tcPr>
        <w:tcBorders>
          <w:left w:val="nil"/>
          <w:right w:val="nil"/>
          <w:insideH w:val="nil"/>
          <w:insideV w:val="nil"/>
        </w:tcBorders>
        <w:shd w:val="clear" w:color="auto" w:fill="BD582C"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65640"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65640" w:themeFill="accent3"/>
      </w:tcPr>
    </w:tblStylePr>
    <w:tblStylePr w:type="lastCol">
      <w:rPr>
        <w:b/>
        <w:bCs/>
        <w:color w:val="FFFFFF" w:themeColor="background1"/>
      </w:rPr>
      <w:tblPr/>
      <w:tcPr>
        <w:tcBorders>
          <w:left w:val="nil"/>
          <w:right w:val="nil"/>
          <w:insideH w:val="nil"/>
          <w:insideV w:val="nil"/>
        </w:tcBorders>
        <w:shd w:val="clear" w:color="auto" w:fill="865640"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8357"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8357" w:themeFill="accent4"/>
      </w:tcPr>
    </w:tblStylePr>
    <w:tblStylePr w:type="lastCol">
      <w:rPr>
        <w:b/>
        <w:bCs/>
        <w:color w:val="FFFFFF" w:themeColor="background1"/>
      </w:rPr>
      <w:tblPr/>
      <w:tcPr>
        <w:tcBorders>
          <w:left w:val="nil"/>
          <w:right w:val="nil"/>
          <w:insideH w:val="nil"/>
          <w:insideV w:val="nil"/>
        </w:tcBorders>
        <w:shd w:val="clear" w:color="auto" w:fill="9B8357"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2BC80"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2BC80" w:themeFill="accent5"/>
      </w:tcPr>
    </w:tblStylePr>
    <w:tblStylePr w:type="lastCol">
      <w:rPr>
        <w:b/>
        <w:bCs/>
        <w:color w:val="FFFFFF" w:themeColor="background1"/>
      </w:rPr>
      <w:tblPr/>
      <w:tcPr>
        <w:tcBorders>
          <w:left w:val="nil"/>
          <w:right w:val="nil"/>
          <w:insideH w:val="nil"/>
          <w:insideV w:val="nil"/>
        </w:tcBorders>
        <w:shd w:val="clear" w:color="auto" w:fill="C2BC80"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4A08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4A088" w:themeFill="accent6"/>
      </w:tcPr>
    </w:tblStylePr>
    <w:tblStylePr w:type="lastCol">
      <w:rPr>
        <w:b/>
        <w:bCs/>
        <w:color w:val="FFFFFF" w:themeColor="background1"/>
      </w:rPr>
      <w:tblPr/>
      <w:tcPr>
        <w:tcBorders>
          <w:left w:val="nil"/>
          <w:right w:val="nil"/>
          <w:insideH w:val="nil"/>
          <w:insideV w:val="nil"/>
        </w:tcBorders>
        <w:shd w:val="clear" w:color="auto" w:fill="94A08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Hyperlink">
    <w:name w:val="Hyperlink"/>
    <w:basedOn w:val="DefaultParagraphFont"/>
    <w:uiPriority w:val="99"/>
    <w:unhideWhenUsed/>
    <w:rsid w:val="00A55982"/>
    <w:rPr>
      <w:color w:val="2998E3" w:themeColor="hyperlink"/>
      <w:u w:val="single"/>
    </w:rPr>
  </w:style>
  <w:style w:type="character" w:styleId="UnresolvedMention">
    <w:name w:val="Unresolved Mention"/>
    <w:basedOn w:val="DefaultParagraphFont"/>
    <w:uiPriority w:val="99"/>
    <w:semiHidden/>
    <w:unhideWhenUsed/>
    <w:rsid w:val="00A55982"/>
    <w:rPr>
      <w:color w:val="605E5C"/>
      <w:shd w:val="clear" w:color="auto" w:fill="E1DFDD"/>
    </w:rPr>
  </w:style>
  <w:style w:type="character" w:styleId="Strong">
    <w:name w:val="Strong"/>
    <w:uiPriority w:val="22"/>
    <w:qFormat/>
    <w:rsid w:val="00A55982"/>
    <w:rPr>
      <w:b/>
      <w:bCs/>
    </w:rPr>
  </w:style>
  <w:style w:type="character" w:styleId="Emphasis">
    <w:name w:val="Emphasis"/>
    <w:uiPriority w:val="20"/>
    <w:qFormat/>
    <w:rsid w:val="00A55982"/>
    <w:rPr>
      <w:caps/>
      <w:color w:val="714109" w:themeColor="accent1" w:themeShade="7F"/>
      <w:spacing w:val="5"/>
    </w:rPr>
  </w:style>
  <w:style w:type="character" w:styleId="SubtleEmphasis">
    <w:name w:val="Subtle Emphasis"/>
    <w:uiPriority w:val="19"/>
    <w:qFormat/>
    <w:rsid w:val="00A55982"/>
    <w:rPr>
      <w:i/>
      <w:iCs/>
      <w:color w:val="714109" w:themeColor="accent1" w:themeShade="7F"/>
    </w:rPr>
  </w:style>
  <w:style w:type="character" w:styleId="SubtleReference">
    <w:name w:val="Subtle Reference"/>
    <w:uiPriority w:val="31"/>
    <w:qFormat/>
    <w:rsid w:val="00A55982"/>
    <w:rPr>
      <w:b/>
      <w:bCs/>
      <w:color w:val="E48312" w:themeColor="accent1"/>
    </w:rPr>
  </w:style>
  <w:style w:type="character" w:styleId="BookTitle">
    <w:name w:val="Book Title"/>
    <w:uiPriority w:val="33"/>
    <w:qFormat/>
    <w:rsid w:val="00A55982"/>
    <w:rPr>
      <w:b/>
      <w:bCs/>
      <w:i/>
      <w:iCs/>
      <w:spacing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allthingspg.org" TargetMode="External"/><Relationship Id="rId21" Type="http://schemas.openxmlformats.org/officeDocument/2006/relationships/hyperlink" Target="https://www.allthingspg.org/support-groups" TargetMode="External"/><Relationship Id="rId34" Type="http://schemas.openxmlformats.org/officeDocument/2006/relationships/hyperlink" Target="https://www.allthingspg.org/support-groups" TargetMode="External"/><Relationship Id="rId42" Type="http://schemas.openxmlformats.org/officeDocument/2006/relationships/hyperlink" Target="https://www.allthingspg.org/what-is-pg" TargetMode="External"/><Relationship Id="rId47" Type="http://schemas.openxmlformats.org/officeDocument/2006/relationships/hyperlink" Target="https://www.allthingspg.org/donate" TargetMode="External"/><Relationship Id="rId50" Type="http://schemas.openxmlformats.org/officeDocument/2006/relationships/hyperlink" Target="https://www.allthingspg.org" TargetMode="External"/><Relationship Id="rId55" Type="http://schemas.openxmlformats.org/officeDocument/2006/relationships/hyperlink" Target="https://www.allthingspg.org/pyoderma-gangrenosum-clinic-finder" TargetMode="External"/><Relationship Id="rId63" Type="http://schemas.openxmlformats.org/officeDocument/2006/relationships/hyperlink" Target="https://allthingspg.org/news-and-events" TargetMode="External"/><Relationship Id="rId68" Type="http://schemas.openxmlformats.org/officeDocument/2006/relationships/theme" Target="theme/theme1.xml"/><Relationship Id="rId7" Type="http://schemas.openxmlformats.org/officeDocument/2006/relationships/hyperlink" Target="https://www.allthingspg.org/support-groups" TargetMode="External"/><Relationship Id="rId2" Type="http://schemas.openxmlformats.org/officeDocument/2006/relationships/styles" Target="styles.xml"/><Relationship Id="rId16" Type="http://schemas.openxmlformats.org/officeDocument/2006/relationships/hyperlink" Target="https://www.allthingspg.org/subscribe" TargetMode="External"/><Relationship Id="rId29" Type="http://schemas.openxmlformats.org/officeDocument/2006/relationships/hyperlink" Target="https://www.allthingspg.org/pyoderma-gangrenosum-clinic-finder" TargetMode="External"/><Relationship Id="rId11" Type="http://schemas.openxmlformats.org/officeDocument/2006/relationships/hyperlink" Target="https://www.allthingspg.org" TargetMode="External"/><Relationship Id="rId24" Type="http://schemas.openxmlformats.org/officeDocument/2006/relationships/hyperlink" Target="https://www.allthingspg.org/what-is-pg" TargetMode="External"/><Relationship Id="rId32" Type="http://schemas.openxmlformats.org/officeDocument/2006/relationships/hyperlink" Target="https://allthingspg.org/news-and-events" TargetMode="External"/><Relationship Id="rId37" Type="http://schemas.openxmlformats.org/officeDocument/2006/relationships/hyperlink" Target="https://www.allthingspg.org/what-is-pg" TargetMode="External"/><Relationship Id="rId40" Type="http://schemas.openxmlformats.org/officeDocument/2006/relationships/hyperlink" Target="https://allthingspg.org/news-and-events" TargetMode="External"/><Relationship Id="rId45" Type="http://schemas.openxmlformats.org/officeDocument/2006/relationships/hyperlink" Target="https://allthingspg.org/news-and-events" TargetMode="External"/><Relationship Id="rId53" Type="http://schemas.openxmlformats.org/officeDocument/2006/relationships/hyperlink" Target="https://allthingspg.org/news-and-events" TargetMode="External"/><Relationship Id="rId58" Type="http://schemas.openxmlformats.org/officeDocument/2006/relationships/hyperlink" Target="https://www.allthingspg.org/our-people" TargetMode="External"/><Relationship Id="rId66" Type="http://schemas.openxmlformats.org/officeDocument/2006/relationships/hyperlink" Target="https://www.allthingspg.org" TargetMode="External"/><Relationship Id="rId5" Type="http://schemas.openxmlformats.org/officeDocument/2006/relationships/hyperlink" Target="https://www.allthingspg.org" TargetMode="External"/><Relationship Id="rId61" Type="http://schemas.openxmlformats.org/officeDocument/2006/relationships/hyperlink" Target="https://allthingspg.org/news-and-events" TargetMode="External"/><Relationship Id="rId19" Type="http://schemas.openxmlformats.org/officeDocument/2006/relationships/hyperlink" Target="https://www.allthingspg.org/support-groups" TargetMode="External"/><Relationship Id="rId14" Type="http://schemas.openxmlformats.org/officeDocument/2006/relationships/hyperlink" Target="https://allthingspg.org/news-and-events" TargetMode="External"/><Relationship Id="rId22" Type="http://schemas.openxmlformats.org/officeDocument/2006/relationships/hyperlink" Target="https://www.allthingspg.org/pfac" TargetMode="External"/><Relationship Id="rId27" Type="http://schemas.openxmlformats.org/officeDocument/2006/relationships/hyperlink" Target="https://www.allthingspg.org" TargetMode="External"/><Relationship Id="rId30" Type="http://schemas.openxmlformats.org/officeDocument/2006/relationships/hyperlink" Target="https://allthingspg.org/news-and-events" TargetMode="External"/><Relationship Id="rId35" Type="http://schemas.openxmlformats.org/officeDocument/2006/relationships/hyperlink" Target="https://allthingspg.org/news-and-events" TargetMode="External"/><Relationship Id="rId43" Type="http://schemas.openxmlformats.org/officeDocument/2006/relationships/hyperlink" Target="https://www.allthingspg.org/pyoderma-gangrenosum-clinic-finder" TargetMode="External"/><Relationship Id="rId48" Type="http://schemas.openxmlformats.org/officeDocument/2006/relationships/hyperlink" Target="https://allthingspg.org/news-and-events" TargetMode="External"/><Relationship Id="rId56" Type="http://schemas.openxmlformats.org/officeDocument/2006/relationships/hyperlink" Target="https://www.allthingspg.org/pyoderma-gangrenosum-clinic-finder" TargetMode="External"/><Relationship Id="rId64" Type="http://schemas.openxmlformats.org/officeDocument/2006/relationships/hyperlink" Target="https://www.allthingspg.org/subscribe" TargetMode="External"/><Relationship Id="rId8" Type="http://schemas.openxmlformats.org/officeDocument/2006/relationships/hyperlink" Target="https://www.allthingspg.org/talking-about-pg" TargetMode="External"/><Relationship Id="rId51" Type="http://schemas.openxmlformats.org/officeDocument/2006/relationships/hyperlink" Target="https://www.allthingspg.org/support-groups" TargetMode="External"/><Relationship Id="rId3" Type="http://schemas.openxmlformats.org/officeDocument/2006/relationships/settings" Target="settings.xml"/><Relationship Id="rId12" Type="http://schemas.openxmlformats.org/officeDocument/2006/relationships/hyperlink" Target="https://www.allthingspg.org/subscribe" TargetMode="External"/><Relationship Id="rId17" Type="http://schemas.openxmlformats.org/officeDocument/2006/relationships/hyperlink" Target="https://www.allthingspg.org/our-people" TargetMode="External"/><Relationship Id="rId25" Type="http://schemas.openxmlformats.org/officeDocument/2006/relationships/hyperlink" Target="https://www.allthingspg.org" TargetMode="External"/><Relationship Id="rId33" Type="http://schemas.openxmlformats.org/officeDocument/2006/relationships/hyperlink" Target="https://www.allthingspg.org" TargetMode="External"/><Relationship Id="rId38" Type="http://schemas.openxmlformats.org/officeDocument/2006/relationships/hyperlink" Target="https://www.allthingspg.org/support-groups" TargetMode="External"/><Relationship Id="rId46" Type="http://schemas.openxmlformats.org/officeDocument/2006/relationships/hyperlink" Target="https://www.allthingspg.org/subscribe" TargetMode="External"/><Relationship Id="rId59" Type="http://schemas.openxmlformats.org/officeDocument/2006/relationships/hyperlink" Target="https://www.allthingspg.org/our-people" TargetMode="External"/><Relationship Id="rId67" Type="http://schemas.openxmlformats.org/officeDocument/2006/relationships/fontTable" Target="fontTable.xml"/><Relationship Id="rId20" Type="http://schemas.openxmlformats.org/officeDocument/2006/relationships/hyperlink" Target="https://www.allthingspg.org/pyoderma-gangrenosum-clinic-finder" TargetMode="External"/><Relationship Id="rId41" Type="http://schemas.openxmlformats.org/officeDocument/2006/relationships/hyperlink" Target="https://www.allthingspg.org/pg-symptoms" TargetMode="External"/><Relationship Id="rId54" Type="http://schemas.openxmlformats.org/officeDocument/2006/relationships/hyperlink" Target="https://allthingspg.org/news-and-events" TargetMode="External"/><Relationship Id="rId62" Type="http://schemas.openxmlformats.org/officeDocument/2006/relationships/hyperlink" Target="https://allthingspg.org/news-and-events" TargetMode="External"/><Relationship Id="rId1" Type="http://schemas.openxmlformats.org/officeDocument/2006/relationships/numbering" Target="numbering.xml"/><Relationship Id="rId6" Type="http://schemas.openxmlformats.org/officeDocument/2006/relationships/hyperlink" Target="https://www.allthingspg.org" TargetMode="External"/><Relationship Id="rId15" Type="http://schemas.openxmlformats.org/officeDocument/2006/relationships/hyperlink" Target="https://www.allthingspg.org/pyoderma-gangrenosum-clinic-finder" TargetMode="External"/><Relationship Id="rId23" Type="http://schemas.openxmlformats.org/officeDocument/2006/relationships/hyperlink" Target="https://www.allthingspg.org/pyoderma-gangrenosum-clinic-finder" TargetMode="External"/><Relationship Id="rId28" Type="http://schemas.openxmlformats.org/officeDocument/2006/relationships/hyperlink" Target="https://www.allthingspg.org/support-groups" TargetMode="External"/><Relationship Id="rId36" Type="http://schemas.openxmlformats.org/officeDocument/2006/relationships/hyperlink" Target="https://www.allthingspg.org" TargetMode="External"/><Relationship Id="rId49" Type="http://schemas.openxmlformats.org/officeDocument/2006/relationships/hyperlink" Target="https://allthingspg.org/news-and-events" TargetMode="External"/><Relationship Id="rId57" Type="http://schemas.openxmlformats.org/officeDocument/2006/relationships/hyperlink" Target="https://www.allthingspg.org/donate" TargetMode="External"/><Relationship Id="rId10" Type="http://schemas.openxmlformats.org/officeDocument/2006/relationships/hyperlink" Target="https://www.allthingspg.org/pyoderma-gangrenosum-clinic-finder" TargetMode="External"/><Relationship Id="rId31" Type="http://schemas.openxmlformats.org/officeDocument/2006/relationships/hyperlink" Target="https://www.allthingspg.org" TargetMode="External"/><Relationship Id="rId44" Type="http://schemas.openxmlformats.org/officeDocument/2006/relationships/hyperlink" Target="https://www.allthingspg.org/pyoderma-gangrenosum-clinic-finder" TargetMode="External"/><Relationship Id="rId52" Type="http://schemas.openxmlformats.org/officeDocument/2006/relationships/hyperlink" Target="https://www.allthingspg.org/pyoderma-gangrenosum-clinic-finder" TargetMode="External"/><Relationship Id="rId60" Type="http://schemas.openxmlformats.org/officeDocument/2006/relationships/hyperlink" Target="https://www.allthingspg.org/talking-about-pg" TargetMode="External"/><Relationship Id="rId65" Type="http://schemas.openxmlformats.org/officeDocument/2006/relationships/hyperlink" Target="https://www.allthingspg.org/our-people" TargetMode="External"/><Relationship Id="rId4" Type="http://schemas.openxmlformats.org/officeDocument/2006/relationships/webSettings" Target="webSettings.xml"/><Relationship Id="rId9" Type="http://schemas.openxmlformats.org/officeDocument/2006/relationships/hyperlink" Target="https://www.allthingspg.org/talking-about-pg" TargetMode="External"/><Relationship Id="rId13" Type="http://schemas.openxmlformats.org/officeDocument/2006/relationships/hyperlink" Target="https://allthingspg.org/news-and-events" TargetMode="External"/><Relationship Id="rId18" Type="http://schemas.openxmlformats.org/officeDocument/2006/relationships/hyperlink" Target="https://www.allthingspg.org" TargetMode="External"/><Relationship Id="rId39" Type="http://schemas.openxmlformats.org/officeDocument/2006/relationships/hyperlink" Target="https://www.allthingspg.org/talking-about-pg" TargetMode="External"/></Relationships>
</file>

<file path=word/theme/theme1.xml><?xml version="1.0" encoding="utf-8"?>
<a:theme xmlns:a="http://schemas.openxmlformats.org/drawingml/2006/main" name="Office Theme">
  <a:themeElements>
    <a:clrScheme name="Orange">
      <a:dk1>
        <a:srgbClr val="000000"/>
      </a:dk1>
      <a:lt1>
        <a:sysClr val="window" lastClr="FFFFFF"/>
      </a:lt1>
      <a:dk2>
        <a:srgbClr val="637052"/>
      </a:dk2>
      <a:lt2>
        <a:srgbClr val="CCDDEA"/>
      </a:lt2>
      <a:accent1>
        <a:srgbClr val="E48312"/>
      </a:accent1>
      <a:accent2>
        <a:srgbClr val="BD582C"/>
      </a:accent2>
      <a:accent3>
        <a:srgbClr val="865640"/>
      </a:accent3>
      <a:accent4>
        <a:srgbClr val="9B8357"/>
      </a:accent4>
      <a:accent5>
        <a:srgbClr val="C2BC80"/>
      </a:accent5>
      <a:accent6>
        <a:srgbClr val="94A088"/>
      </a:accent6>
      <a:hlink>
        <a:srgbClr val="2998E3"/>
      </a:hlink>
      <a:folHlink>
        <a:srgbClr val="8C8C8C"/>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14</Pages>
  <Words>6769</Words>
  <Characters>43865</Characters>
  <Application>Microsoft Office Word</Application>
  <DocSecurity>0</DocSecurity>
  <Lines>1415</Lines>
  <Paragraphs>1150</Paragraphs>
  <ScaleCrop>false</ScaleCrop>
  <Company/>
  <LinksUpToDate>false</LinksUpToDate>
  <CharactersWithSpaces>49484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Dave DePottie</cp:lastModifiedBy>
  <cp:revision>2</cp:revision>
  <dcterms:created xsi:type="dcterms:W3CDTF">2026-06-05T14:08:00Z</dcterms:created>
  <dcterms:modified xsi:type="dcterms:W3CDTF">2026-06-05T14:08:00Z</dcterms:modified>
</cp:coreProperties>
</file>