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ED94F" w14:textId="349F77E2" w:rsidR="00D71F21" w:rsidRDefault="004139D5" w:rsidP="00F55E8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MYAMBUTOL 4</w:t>
      </w:r>
      <w:r w:rsidR="00480A36">
        <w:rPr>
          <w:b/>
          <w:bCs/>
          <w:color w:val="FF0000"/>
        </w:rPr>
        <w:t>00mg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</w:tblGrid>
      <w:tr w:rsidR="004139D5" w:rsidRPr="004139D5" w14:paraId="6A804058" w14:textId="77777777" w:rsidTr="004139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272F1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FORMES et PRÉSENTATIONS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55316408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i/>
          <w:iCs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i/>
          <w:iCs/>
          <w:color w:val="333333"/>
          <w:kern w:val="0"/>
          <w:sz w:val="19"/>
          <w:szCs w:val="19"/>
          <w:lang w:eastAsia="fr-FR"/>
          <w14:ligatures w14:val="none"/>
        </w:rPr>
        <w:t>Comprimé pelliculé sécable.</w:t>
      </w:r>
    </w:p>
    <w:p w14:paraId="62D76E9B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</w:tblGrid>
      <w:tr w:rsidR="004139D5" w:rsidRPr="004139D5" w14:paraId="0DC00B9D" w14:textId="77777777" w:rsidTr="004139D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B1921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COMPOSITION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1B8A4CFF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Chlorhydrate d'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………………………………………………………………</w:t>
      </w: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…….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.400,00 mg</w:t>
      </w:r>
    </w:p>
    <w:p w14:paraId="23B886A4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Pour un comprimé pelliculé sécable</w:t>
      </w:r>
    </w:p>
    <w:p w14:paraId="7911F74C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414927E1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u w:val="single"/>
          <w:lang w:eastAsia="fr-FR"/>
          <w14:ligatures w14:val="none"/>
        </w:rPr>
        <w:t>Excipients :</w:t>
      </w:r>
    </w:p>
    <w:p w14:paraId="2E8BB396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Sucre glace, sucre cristallisé, gélatine, sorbitol à 70 % (cristallisable), stéarate de magnésium, acide stéarique, OPADRY OY-S-6425, paraffine liquide légère.</w:t>
      </w:r>
    </w:p>
    <w:p w14:paraId="40755AF5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712F3E32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504"/>
      </w:tblGrid>
      <w:tr w:rsidR="004139D5" w:rsidRPr="004139D5" w14:paraId="63DEDD3F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1F229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3DB3E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INDICATIONS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77DAA050" w14:textId="77777777" w:rsidR="004139D5" w:rsidRPr="004139D5" w:rsidRDefault="004139D5" w:rsidP="004139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Tuberculose 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pleuro-pulmonaire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récente ou invétérée, rechute de tuberculose, primo-infection.</w:t>
      </w:r>
    </w:p>
    <w:p w14:paraId="19450285" w14:textId="77777777" w:rsidR="004139D5" w:rsidRPr="004139D5" w:rsidRDefault="004139D5" w:rsidP="004139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Tuberculose extra-pulmonaire : méningée, génito-urinaire, ostéo-articulaire, ganglionnaire, etc...</w:t>
      </w:r>
    </w:p>
    <w:p w14:paraId="077E59B3" w14:textId="77777777" w:rsidR="004139D5" w:rsidRPr="004139D5" w:rsidRDefault="004139D5" w:rsidP="004139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Affections à mycobactéries atypiques.</w:t>
      </w:r>
    </w:p>
    <w:p w14:paraId="1543D00B" w14:textId="77777777" w:rsidR="004139D5" w:rsidRPr="004139D5" w:rsidRDefault="004139D5" w:rsidP="004139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Chimioprophylaxie : uniquement en association avec un autre antituberculeux</w:t>
      </w:r>
    </w:p>
    <w:p w14:paraId="6590E952" w14:textId="77777777" w:rsidR="004139D5" w:rsidRPr="004139D5" w:rsidRDefault="004139D5" w:rsidP="004139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virage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isolé des réactions cutanées tuberculiniques,</w:t>
      </w:r>
    </w:p>
    <w:p w14:paraId="0353D8E4" w14:textId="77777777" w:rsidR="004139D5" w:rsidRPr="004139D5" w:rsidRDefault="004139D5" w:rsidP="004139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sujet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à réaction tuberculinique négative ayant eu un contact avec des tuberculeux bacillaires,</w:t>
      </w:r>
    </w:p>
    <w:p w14:paraId="42B45E19" w14:textId="77777777" w:rsidR="004139D5" w:rsidRPr="004139D5" w:rsidRDefault="004139D5" w:rsidP="004139D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patients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immunodéprimés en présence d'un contact infectant ou susceptibles d'un réveil tuberculeux.</w:t>
      </w:r>
    </w:p>
    <w:p w14:paraId="1C8AB290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0FF101C0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616"/>
      </w:tblGrid>
      <w:tr w:rsidR="004139D5" w:rsidRPr="004139D5" w14:paraId="62C47FBC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DCE883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0A130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POSOLOGIE ET MODE D'ADMINISTRATION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27652C36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1) 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u w:val="single"/>
          <w:lang w:eastAsia="fr-FR"/>
          <w14:ligatures w14:val="none"/>
        </w:rPr>
        <w:t>Principes de traitement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de la tuberculose</w:t>
      </w:r>
    </w:p>
    <w:p w14:paraId="6F5DD015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La notion de traitement correct et bien suivi est, avec la négativation durable des examens bactériologiques, le critère de guérison essentiel.</w:t>
      </w:r>
    </w:p>
    <w:p w14:paraId="7D04A5DE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Quelque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soit le contexte, on ne commencera le traitement qu'une fois obtenue la preuve bactériologique de la tuberculose. L'examen bactériologique comprend systématiquement l'examen direct, la mise en culture et l'antibiogramme.</w:t>
      </w:r>
    </w:p>
    <w:p w14:paraId="365C39BF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Toutefois, s'il y a urgence ou si les lésions sont typiques et la 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bacilloscopie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négative, malgré sa répétition (4 à 6 prélèvements), le traitement peut être constitué et sera reconsidéré lorsque l'on déposera des résultats de la culture.</w:t>
      </w:r>
    </w:p>
    <w:p w14:paraId="0B203738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Pour être efficace, ce traitement doit :</w:t>
      </w:r>
    </w:p>
    <w:p w14:paraId="6DF32938" w14:textId="77777777" w:rsidR="004139D5" w:rsidRPr="004139D5" w:rsidRDefault="004139D5" w:rsidP="00413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associer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plusieurs antituberculeux :</w:t>
      </w:r>
    </w:p>
    <w:p w14:paraId="24814D4B" w14:textId="77777777" w:rsidR="004139D5" w:rsidRPr="004139D5" w:rsidRDefault="004139D5" w:rsidP="004139D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trois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ou quatre jusqu'aux résultats de l'antibiogramme pour tenir compte d'une éventuelle résistance primaire (et, de toute façon, pendant au moins 2 mois),</w:t>
      </w:r>
    </w:p>
    <w:p w14:paraId="0F7F0B25" w14:textId="77777777" w:rsidR="004139D5" w:rsidRPr="004139D5" w:rsidRDefault="004139D5" w:rsidP="004139D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au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moins deux ensuite, pour éviter l'apparition d'une résistance acquise.</w:t>
      </w:r>
    </w:p>
    <w:p w14:paraId="17DB3634" w14:textId="77777777" w:rsidR="004139D5" w:rsidRPr="004139D5" w:rsidRDefault="004139D5" w:rsidP="00413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utiliser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les antituberculeux les plus actifs (bactéricides), à des doses efficaces (mais adaptées pour éviter tout surdosage),</w:t>
      </w:r>
    </w:p>
    <w:p w14:paraId="4FBB1F5D" w14:textId="77777777" w:rsidR="004139D5" w:rsidRPr="004139D5" w:rsidRDefault="004139D5" w:rsidP="004139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être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administré en une seule prise quotidienne, de manière continue et pendant 6 mois en cas de quadrithérapie initiale de 2 mois, de 9 mois en cas de trithérapie initiale de 2 mois.</w:t>
      </w:r>
    </w:p>
    <w:p w14:paraId="58AF0EA5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lastRenderedPageBreak/>
        <w:t>2) 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u w:val="single"/>
          <w:lang w:eastAsia="fr-FR"/>
          <w14:ligatures w14:val="none"/>
        </w:rPr>
        <w:t>Posologie</w:t>
      </w:r>
    </w:p>
    <w:p w14:paraId="4ED1C44E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Chez l'adulte</w:t>
      </w: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lang w:eastAsia="fr-FR"/>
          <w14:ligatures w14:val="none"/>
        </w:rPr>
        <w:t> :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20 mg/kg/jour en 1 prise.</w:t>
      </w:r>
    </w:p>
    <w:p w14:paraId="6064C18C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La posologie peut être portée à 25 mg/kg/jour :</w:t>
      </w:r>
    </w:p>
    <w:p w14:paraId="1461F034" w14:textId="77777777" w:rsidR="004139D5" w:rsidRPr="004139D5" w:rsidRDefault="004139D5" w:rsidP="00413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en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cas de rechute,</w:t>
      </w:r>
    </w:p>
    <w:p w14:paraId="0C48B44A" w14:textId="77777777" w:rsidR="004139D5" w:rsidRPr="004139D5" w:rsidRDefault="004139D5" w:rsidP="004139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en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cas de résistance du bacille de Koch aux autres antibiotiques.</w:t>
      </w:r>
    </w:p>
    <w:p w14:paraId="5C39339A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Cette dose ne doit être prescrite que pendant une courte durée (2 mois) et nécessite une surveillance accrue du patient (</w:t>
      </w:r>
      <w:hyperlink r:id="rId5" w:anchor="mises_en_garde_et_precautions_d_emploi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Mises en garde et précautions d'emploi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rubrique </w:t>
      </w:r>
      <w:hyperlink r:id="rId6" w:anchor="mises_en_garde_et_precautions_d_emploi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Mises en garde et précautions d'emploi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).</w:t>
      </w:r>
    </w:p>
    <w:p w14:paraId="197D880B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Chez l'insuffisant rénal</w:t>
      </w: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lang w:eastAsia="fr-FR"/>
          <w14:ligatures w14:val="none"/>
        </w:rPr>
        <w:t> :</w:t>
      </w:r>
    </w:p>
    <w:tbl>
      <w:tblPr>
        <w:tblW w:w="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1510"/>
        <w:gridCol w:w="2013"/>
      </w:tblGrid>
      <w:tr w:rsidR="004139D5" w:rsidRPr="004139D5" w14:paraId="66DB7B5E" w14:textId="77777777" w:rsidTr="004139D5">
        <w:trPr>
          <w:tblHeader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8D373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Clairance de la créatinine ml/min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4F197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Dose mg/kg/jour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50FC9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Espacement des prises</w:t>
            </w:r>
          </w:p>
        </w:tc>
      </w:tr>
      <w:tr w:rsidR="004139D5" w:rsidRPr="004139D5" w14:paraId="476B06B0" w14:textId="77777777" w:rsidTr="004139D5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8ADD4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&gt; 100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70 à 100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&lt; 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147FB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20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15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FDFD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C310DF" w14:textId="77777777" w:rsidR="004139D5" w:rsidRPr="004139D5" w:rsidRDefault="004139D5" w:rsidP="004139D5">
            <w:pPr>
              <w:spacing w:before="150" w:after="150" w:line="240" w:lineRule="auto"/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t>24 H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24 H</w:t>
            </w:r>
            <w:r w:rsidRPr="004139D5">
              <w:rPr>
                <w:rFonts w:ascii="Roboto" w:eastAsia="Times New Roman" w:hAnsi="Roboto" w:cs="Times New Roman"/>
                <w:b/>
                <w:bCs/>
                <w:kern w:val="0"/>
                <w:sz w:val="18"/>
                <w:szCs w:val="18"/>
                <w:lang w:eastAsia="fr-FR"/>
                <w14:ligatures w14:val="none"/>
              </w:rPr>
              <w:br/>
              <w:t>24 H</w:t>
            </w:r>
          </w:p>
        </w:tc>
      </w:tr>
    </w:tbl>
    <w:p w14:paraId="6FEC794F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On adaptera, au besoin chez ces malades, la posologie en s'aidant de la mesure des taux sériques de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.</w:t>
      </w:r>
    </w:p>
    <w:p w14:paraId="5DF6B0B3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Chez un sujet sous hémodialyse, la dose sera de 5 mg/kg/jour sauf le jour de l'hémodialyse où cette dose sera portée à 7,5 mg/kg/jour.</w:t>
      </w:r>
    </w:p>
    <w:p w14:paraId="5BE5BD89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3) 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u w:val="single"/>
          <w:lang w:eastAsia="fr-FR"/>
          <w14:ligatures w14:val="none"/>
        </w:rPr>
        <w:t>Chimioprophylaxie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:</w:t>
      </w:r>
    </w:p>
    <w:p w14:paraId="17A509F0" w14:textId="77777777" w:rsidR="004139D5" w:rsidRPr="004139D5" w:rsidRDefault="004139D5" w:rsidP="004139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en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bithérapie pendant 6 à 12 mois,</w:t>
      </w:r>
    </w:p>
    <w:p w14:paraId="317AF582" w14:textId="77777777" w:rsidR="004139D5" w:rsidRPr="004139D5" w:rsidRDefault="004139D5" w:rsidP="004139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proofErr w:type="gram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la</w:t>
      </w:r>
      <w:proofErr w:type="gram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posologie est la même qu'en cas de tuberculose avérée.</w:t>
      </w:r>
    </w:p>
    <w:p w14:paraId="55295457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2D957ED3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491"/>
      </w:tblGrid>
      <w:tr w:rsidR="004139D5" w:rsidRPr="004139D5" w14:paraId="12E11018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2F29BC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0FD45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CONTRE-INDICATIONS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5F331BE5" w14:textId="77777777" w:rsidR="004139D5" w:rsidRPr="004139D5" w:rsidRDefault="004139D5" w:rsidP="004139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Hypersensibilité connue à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.</w:t>
      </w:r>
    </w:p>
    <w:p w14:paraId="46C1FC5A" w14:textId="77777777" w:rsidR="004139D5" w:rsidRPr="004139D5" w:rsidRDefault="004139D5" w:rsidP="004139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Névrite optique.</w:t>
      </w:r>
    </w:p>
    <w:p w14:paraId="1AFAF292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283897C4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5037"/>
      </w:tblGrid>
      <w:tr w:rsidR="004139D5" w:rsidRPr="004139D5" w14:paraId="10606884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23140B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4BBAB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MISES EN GARDE et PRÉCAUTIONS D'EMPLOI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5D9637D0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Mise en garde</w:t>
      </w:r>
    </w:p>
    <w:p w14:paraId="66E818AD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En cas d'insuffisance rénale, adapter la posologie en raison du risque de surdosage par accumulation, en fonction de la clairance de la créatinine (</w:t>
      </w:r>
      <w:hyperlink r:id="rId7" w:anchor="posologie_et_mode_d_administration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Posologie et mode d'administration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rubrique </w:t>
      </w:r>
      <w:hyperlink r:id="rId8" w:anchor="posologie_et_mode_d_administration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Posologie et mode d'administration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).</w:t>
      </w:r>
    </w:p>
    <w:p w14:paraId="71079730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Précautions d'emploi</w:t>
      </w:r>
    </w:p>
    <w:p w14:paraId="4B3FED52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bookmarkStart w:id="0" w:name="Rcp_4_4_MisesEnGarde_2"/>
      <w:bookmarkEnd w:id="0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La prescription d'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devra toujours être précédée d'un examen ophtalmologique comportant une étude de l'acuité visuelle, du champ visuel, de la vision des couleurs et du fond de l'œil.</w:t>
      </w:r>
    </w:p>
    <w:p w14:paraId="6E803761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Un deuxième examen oculaire sera pratiqué entre le 15e et le 21e jour de traitement, un troisième au deuxième mois, puis tous les deux mois.</w:t>
      </w:r>
    </w:p>
    <w:p w14:paraId="47D98736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Le moindre signe de névrite optique exigera la suspension immédiate du traitement par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 ; dans ce cas les troubles visuels régressent habituellement en quelques mois. On surveillera tout particulièrement les 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lastRenderedPageBreak/>
        <w:t>porteurs de lésions oculaires antérieures, les alcoolo-tabagiques, les diabétiques, les malades traités conjointement par le disulfirame, les anti-inflammatoires, les antipaludéens de synthèse.</w:t>
      </w:r>
    </w:p>
    <w:p w14:paraId="7F250FEF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Il faut savoir que l'insuffisance rénale et le surdosage sont les deux facteurs essentiels dans la genèse des névrites optiques de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. Il convient donc de vérifier la posologie prescrite et d'adapter éventuellement en fonction du bilan rénal (urée, créatininémie, clairance de la créatinine (</w:t>
      </w:r>
      <w:hyperlink r:id="rId9" w:anchor="posologie_et_mode_d_administration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Posologie et mode d'administration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rubrique </w:t>
      </w:r>
      <w:hyperlink r:id="rId10" w:anchor="posologie_et_mode_d_administration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Posologie et mode d'administration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)). Le bilan rénal sera fait avant le début du traitement.</w:t>
      </w:r>
    </w:p>
    <w:p w14:paraId="4BE1448D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1C0FB176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09"/>
      </w:tblGrid>
      <w:tr w:rsidR="004139D5" w:rsidRPr="004139D5" w14:paraId="16FA2D67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17C659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10CF0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INTERACTIONS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16AC9692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Associations faisant l'objet de précautions d'emploi</w:t>
      </w:r>
    </w:p>
    <w:p w14:paraId="761923D2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lang w:eastAsia="fr-FR"/>
          <w14:ligatures w14:val="none"/>
        </w:rPr>
        <w:t xml:space="preserve">+ Topiques gastro-intestinaux, </w:t>
      </w:r>
      <w:proofErr w:type="spellStart"/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lang w:eastAsia="fr-FR"/>
          <w14:ligatures w14:val="none"/>
        </w:rPr>
        <w:t>anti-acides</w:t>
      </w:r>
      <w:proofErr w:type="spellEnd"/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lang w:eastAsia="fr-FR"/>
          <w14:ligatures w14:val="none"/>
        </w:rPr>
        <w:t xml:space="preserve"> et adsorbants :</w:t>
      </w:r>
    </w:p>
    <w:p w14:paraId="3D8025C0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Diminution de l'absorption digestive de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. Prendre les topiques gastro-intestinaux et 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anti-acides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à distance de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(plus de 2 heures, si possible).</w:t>
      </w:r>
    </w:p>
    <w:p w14:paraId="78351754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27CCF6E4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40"/>
      </w:tblGrid>
      <w:tr w:rsidR="004139D5" w:rsidRPr="004139D5" w14:paraId="783F5255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284897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5B8CD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FERTILITÉ/GROSSESSE/ALLAITEMENT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30467A1F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Grossesse</w:t>
      </w:r>
    </w:p>
    <w:p w14:paraId="1AC7B8D4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L'expérimentation animale a mis en évidence un effet tératogène.</w:t>
      </w:r>
    </w:p>
    <w:p w14:paraId="7B0A4E04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Dans l'espèce humaine, aucune étude épidémiologique n'a été effectuée en cours de grossesse. Cependant, à ce jour, aucun effet néfaste particulier n'a été relevé.</w:t>
      </w:r>
    </w:p>
    <w:p w14:paraId="555FE7B6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Aucun obstacle à la prescription en cours de grossesse ne doit être soulevé si le traitement s'avère indispensable.</w:t>
      </w:r>
    </w:p>
    <w:p w14:paraId="5B491F7C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1F49C73E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620"/>
      </w:tblGrid>
      <w:tr w:rsidR="004139D5" w:rsidRPr="004139D5" w14:paraId="73A556F8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6D5E47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6B1F2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CONDUITE et UTILISATION DE MACHINES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290661EE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Aucun incident n'a jamais été signalé au cours des traitements par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pour la conduite des véhicules ou l'utilisation de machines. Toutefois, la possibilité de troubles visuels associant une baisse d'acuité, une diminution du champ visuel et une dyschromatopsie d'axe rouge-vert, devront conduire à pratiquer systématiquement les examens ophtalmologiques de contrôle.</w:t>
      </w:r>
    </w:p>
    <w:p w14:paraId="74E7A86C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76352394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2529"/>
      </w:tblGrid>
      <w:tr w:rsidR="004139D5" w:rsidRPr="004139D5" w14:paraId="1C677EC9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A2D7C7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CE69A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EFFETS INDÉSIRABLES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49779A85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Rarement :</w:t>
      </w:r>
    </w:p>
    <w:p w14:paraId="0C6FAE52" w14:textId="77777777" w:rsidR="004139D5" w:rsidRPr="004139D5" w:rsidRDefault="004139D5" w:rsidP="004139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peut être responsable de troubles oculaires à type de névrite optique axiale plus souvent que 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périaxiale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, avec baisse de l'acuité visuelle, scotome central et dyschromatopsie pour le vert et le rouge (</w:t>
      </w:r>
      <w:hyperlink r:id="rId11" w:anchor="mises_en_garde_et_precautions_d_emploi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Mises en garde et précautions d'emploi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 rubrique </w:t>
      </w:r>
      <w:hyperlink r:id="rId12" w:anchor="interactions" w:history="1">
        <w:r w:rsidRPr="004139D5">
          <w:rPr>
            <w:rFonts w:ascii="Roboto" w:eastAsia="Times New Roman" w:hAnsi="Roboto" w:cs="Times New Roman"/>
            <w:color w:val="843D93"/>
            <w:kern w:val="0"/>
            <w:sz w:val="18"/>
            <w:szCs w:val="18"/>
            <w:u w:val="single"/>
            <w:lang w:eastAsia="fr-FR"/>
            <w14:ligatures w14:val="none"/>
          </w:rPr>
          <w:t>Interactions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).</w:t>
      </w:r>
    </w:p>
    <w:p w14:paraId="337F36A3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Exceptionnellement :</w:t>
      </w:r>
    </w:p>
    <w:p w14:paraId="325FE38E" w14:textId="77777777" w:rsidR="004139D5" w:rsidRPr="004139D5" w:rsidRDefault="004139D5" w:rsidP="004139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Rashs cutanés allergiques, hyperuricémie, leucopénie, vertiges, confusion.</w:t>
      </w:r>
    </w:p>
    <w:p w14:paraId="23A99E59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b/>
          <w:bCs/>
          <w:color w:val="333333"/>
          <w:kern w:val="0"/>
          <w:sz w:val="19"/>
          <w:szCs w:val="19"/>
          <w:u w:val="single"/>
          <w:lang w:eastAsia="fr-FR"/>
          <w14:ligatures w14:val="none"/>
        </w:rPr>
        <w:t>Déclaration des effets indésirables suspectés</w:t>
      </w:r>
    </w:p>
    <w:p w14:paraId="3D2C750E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La déclaration des effets indésirables suspectés après autorisation du médicament est importante. Elle permet une surveillance continue du rapport bénéfice/risque du médicament. Les professionnels de santé déclarent tout effet indésirable suspecté via le système national de déclaration : Agence nationale de sécurité </w:t>
      </w: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lastRenderedPageBreak/>
        <w:t>du médicament et des produits de santé (ANSM) et réseau des Centres Régionaux de Pharmacovigilance - Site internet :</w:t>
      </w:r>
      <w:hyperlink r:id="rId13" w:history="1">
        <w:r w:rsidRPr="004139D5">
          <w:rPr>
            <w:rFonts w:ascii="Roboto" w:eastAsia="Times New Roman" w:hAnsi="Roboto" w:cs="Times New Roman"/>
            <w:color w:val="6D3179"/>
            <w:kern w:val="0"/>
            <w:sz w:val="18"/>
            <w:szCs w:val="18"/>
            <w:u w:val="single"/>
            <w:lang w:eastAsia="fr-FR"/>
            <w14:ligatures w14:val="none"/>
          </w:rPr>
          <w:t>www.signalement-sante.gouv.fr</w:t>
        </w:r>
      </w:hyperlink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.</w:t>
      </w:r>
    </w:p>
    <w:p w14:paraId="6D9360D1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p w14:paraId="49F61DBF" w14:textId="77777777" w:rsidR="004139D5" w:rsidRPr="004139D5" w:rsidRDefault="004139D5" w:rsidP="004139D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412"/>
      </w:tblGrid>
      <w:tr w:rsidR="004139D5" w:rsidRPr="004139D5" w14:paraId="698A30FC" w14:textId="77777777" w:rsidTr="004139D5">
        <w:tc>
          <w:tcPr>
            <w:tcW w:w="0" w:type="auto"/>
            <w:shd w:val="clear" w:color="auto" w:fill="CC3300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E010EA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olor w:val="FFFFFF"/>
                <w:kern w:val="0"/>
                <w:sz w:val="21"/>
                <w:szCs w:val="21"/>
                <w:lang w:eastAsia="fr-FR"/>
                <w14:ligatures w14:val="none"/>
              </w:rPr>
              <w:t>DC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5A366" w14:textId="77777777" w:rsidR="004139D5" w:rsidRPr="004139D5" w:rsidRDefault="004139D5" w:rsidP="004139D5">
            <w:pPr>
              <w:spacing w:after="105" w:line="240" w:lineRule="auto"/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139D5">
              <w:rPr>
                <w:rFonts w:ascii="Roboto" w:eastAsia="Times New Roman" w:hAnsi="Roboto" w:cs="Times New Roman"/>
                <w:b/>
                <w:bCs/>
                <w:caps/>
                <w:color w:val="C70036"/>
                <w:kern w:val="0"/>
                <w:lang w:eastAsia="fr-FR"/>
                <w14:ligatures w14:val="none"/>
              </w:rPr>
              <w:t>SURDOSAGE</w:t>
            </w:r>
            <w:r w:rsidRPr="004139D5">
              <w:rPr>
                <w:rFonts w:ascii="Roboto" w:eastAsia="Times New Roman" w:hAnsi="Roboto" w:cs="Times New Roman"/>
                <w:kern w:val="0"/>
                <w:sz w:val="18"/>
                <w:szCs w:val="18"/>
                <w:lang w:eastAsia="fr-FR"/>
                <w14:ligatures w14:val="none"/>
              </w:rPr>
              <w:t> </w:t>
            </w:r>
          </w:p>
        </w:tc>
      </w:tr>
    </w:tbl>
    <w:p w14:paraId="75861577" w14:textId="77777777" w:rsidR="004139D5" w:rsidRPr="004139D5" w:rsidRDefault="004139D5" w:rsidP="004139D5">
      <w:pPr>
        <w:shd w:val="clear" w:color="auto" w:fill="FFFFFF"/>
        <w:spacing w:before="150" w:after="150" w:line="240" w:lineRule="auto"/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</w:pPr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Des signes en rapport avec une intoxication aigüe n'ont jamais été décrits. En cas de surdosage, l'</w:t>
      </w:r>
      <w:proofErr w:type="spellStart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>éthambutol</w:t>
      </w:r>
      <w:proofErr w:type="spellEnd"/>
      <w:r w:rsidRPr="004139D5">
        <w:rPr>
          <w:rFonts w:ascii="Roboto" w:eastAsia="Times New Roman" w:hAnsi="Roboto" w:cs="Times New Roman"/>
          <w:color w:val="333333"/>
          <w:kern w:val="0"/>
          <w:sz w:val="19"/>
          <w:szCs w:val="19"/>
          <w:lang w:eastAsia="fr-FR"/>
          <w14:ligatures w14:val="none"/>
        </w:rPr>
        <w:t xml:space="preserve"> est dialysable.</w:t>
      </w:r>
    </w:p>
    <w:p w14:paraId="5E76F6F4" w14:textId="77777777" w:rsidR="00480A36" w:rsidRPr="00F55E88" w:rsidRDefault="00480A36" w:rsidP="00480A36">
      <w:pPr>
        <w:rPr>
          <w:b/>
          <w:bCs/>
          <w:color w:val="FF0000"/>
        </w:rPr>
      </w:pPr>
    </w:p>
    <w:sectPr w:rsidR="00480A36" w:rsidRPr="00F55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53A2"/>
    <w:multiLevelType w:val="multilevel"/>
    <w:tmpl w:val="6FE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775AF"/>
    <w:multiLevelType w:val="multilevel"/>
    <w:tmpl w:val="19F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C16DD0"/>
    <w:multiLevelType w:val="multilevel"/>
    <w:tmpl w:val="389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40AAD"/>
    <w:multiLevelType w:val="multilevel"/>
    <w:tmpl w:val="743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7B0063"/>
    <w:multiLevelType w:val="multilevel"/>
    <w:tmpl w:val="E3F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B3FF1"/>
    <w:multiLevelType w:val="multilevel"/>
    <w:tmpl w:val="9A9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0A5160"/>
    <w:multiLevelType w:val="multilevel"/>
    <w:tmpl w:val="26DE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3624E4"/>
    <w:multiLevelType w:val="multilevel"/>
    <w:tmpl w:val="F32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6F433E"/>
    <w:multiLevelType w:val="multilevel"/>
    <w:tmpl w:val="B88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7E7A16"/>
    <w:multiLevelType w:val="multilevel"/>
    <w:tmpl w:val="E69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E63EE9"/>
    <w:multiLevelType w:val="multilevel"/>
    <w:tmpl w:val="806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9182317">
    <w:abstractNumId w:val="2"/>
  </w:num>
  <w:num w:numId="2" w16cid:durableId="560403149">
    <w:abstractNumId w:val="9"/>
  </w:num>
  <w:num w:numId="3" w16cid:durableId="1714815012">
    <w:abstractNumId w:val="10"/>
  </w:num>
  <w:num w:numId="4" w16cid:durableId="992875322">
    <w:abstractNumId w:val="7"/>
  </w:num>
  <w:num w:numId="5" w16cid:durableId="574821565">
    <w:abstractNumId w:val="6"/>
  </w:num>
  <w:num w:numId="6" w16cid:durableId="1550533765">
    <w:abstractNumId w:val="0"/>
  </w:num>
  <w:num w:numId="7" w16cid:durableId="1416971116">
    <w:abstractNumId w:val="8"/>
  </w:num>
  <w:num w:numId="8" w16cid:durableId="1295940484">
    <w:abstractNumId w:val="4"/>
  </w:num>
  <w:num w:numId="9" w16cid:durableId="1459180826">
    <w:abstractNumId w:val="5"/>
  </w:num>
  <w:num w:numId="10" w16cid:durableId="1211768958">
    <w:abstractNumId w:val="1"/>
  </w:num>
  <w:num w:numId="11" w16cid:durableId="1534534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2"/>
    <w:rsid w:val="0010672F"/>
    <w:rsid w:val="004139D5"/>
    <w:rsid w:val="00480A36"/>
    <w:rsid w:val="004A0C20"/>
    <w:rsid w:val="005F74D2"/>
    <w:rsid w:val="00CE05AA"/>
    <w:rsid w:val="00D71F21"/>
    <w:rsid w:val="00E93289"/>
    <w:rsid w:val="00F5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4A45"/>
  <w15:chartTrackingRefBased/>
  <w15:docId w15:val="{E2DA14FF-5B74-4AD6-87C7-E91FCD7E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7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4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4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4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4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4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4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4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4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4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4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idal.vidal.fr/medicament/myambutol_400_mg_cp_pellic_sec-11373.html" TargetMode="External"/><Relationship Id="rId13" Type="http://schemas.openxmlformats.org/officeDocument/2006/relationships/hyperlink" Target="http://www.signalement-sante.gouv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idal.vidal.fr/medicament/myambutol_400_mg_cp_pellic_sec-11373.html" TargetMode="External"/><Relationship Id="rId12" Type="http://schemas.openxmlformats.org/officeDocument/2006/relationships/hyperlink" Target="https://evidal.vidal.fr/medicament/myambutol_400_mg_cp_pellic_sec-113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idal.vidal.fr/medicament/myambutol_400_mg_cp_pellic_sec-11373.html" TargetMode="External"/><Relationship Id="rId11" Type="http://schemas.openxmlformats.org/officeDocument/2006/relationships/hyperlink" Target="https://evidal.vidal.fr/medicament/myambutol_400_mg_cp_pellic_sec-11373.html" TargetMode="External"/><Relationship Id="rId5" Type="http://schemas.openxmlformats.org/officeDocument/2006/relationships/hyperlink" Target="https://evidal.vidal.fr/medicament/myambutol_400_mg_cp_pellic_sec-11373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vidal.vidal.fr/medicament/myambutol_400_mg_cp_pellic_sec-1137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idal.vidal.fr/medicament/myambutol_400_mg_cp_pellic_sec-1137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1232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CRESPEL</dc:creator>
  <cp:keywords/>
  <dc:description/>
  <cp:lastModifiedBy>Audrey CRESPEL</cp:lastModifiedBy>
  <cp:revision>2</cp:revision>
  <dcterms:created xsi:type="dcterms:W3CDTF">2025-03-27T09:09:00Z</dcterms:created>
  <dcterms:modified xsi:type="dcterms:W3CDTF">2025-03-27T09:09:00Z</dcterms:modified>
</cp:coreProperties>
</file>