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907150" w14:textId="575014A3" w:rsidR="00D268E4" w:rsidRDefault="006A7047" w:rsidP="006A7047">
      <w:pPr>
        <w:jc w:val="center"/>
        <w:rPr>
          <w:b/>
          <w:bCs/>
          <w:color w:val="FF0000"/>
        </w:rPr>
      </w:pPr>
      <w:r w:rsidRPr="006A7047">
        <w:rPr>
          <w:b/>
          <w:bCs/>
          <w:color w:val="FF0000"/>
        </w:rPr>
        <w:t>RIFA</w:t>
      </w:r>
      <w:r w:rsidR="00C15DED">
        <w:rPr>
          <w:b/>
          <w:bCs/>
          <w:color w:val="FF0000"/>
        </w:rPr>
        <w:t>TER</w:t>
      </w:r>
    </w:p>
    <w:p w14:paraId="17999757" w14:textId="77777777" w:rsidR="00C15DED" w:rsidRDefault="00C15DED" w:rsidP="00C15DED">
      <w:pPr>
        <w:rPr>
          <w:b/>
          <w:bCs/>
          <w:color w:val="FF0000"/>
        </w:rPr>
      </w:pPr>
    </w:p>
    <w:tbl>
      <w:tblPr>
        <w:tblW w:w="0" w:type="auto"/>
        <w:tblCellMar>
          <w:top w:w="15" w:type="dxa"/>
          <w:left w:w="15" w:type="dxa"/>
          <w:bottom w:w="15" w:type="dxa"/>
          <w:right w:w="15" w:type="dxa"/>
        </w:tblCellMar>
        <w:tblLook w:val="04A0" w:firstRow="1" w:lastRow="0" w:firstColumn="1" w:lastColumn="0" w:noHBand="0" w:noVBand="1"/>
      </w:tblPr>
      <w:tblGrid>
        <w:gridCol w:w="3251"/>
      </w:tblGrid>
      <w:tr w:rsidR="00C15DED" w:rsidRPr="00C15DED" w14:paraId="02F099A9" w14:textId="77777777" w:rsidTr="00C15DED">
        <w:tc>
          <w:tcPr>
            <w:tcW w:w="0" w:type="auto"/>
            <w:shd w:val="clear" w:color="auto" w:fill="auto"/>
            <w:tcMar>
              <w:top w:w="0" w:type="dxa"/>
              <w:left w:w="0" w:type="dxa"/>
              <w:bottom w:w="0" w:type="dxa"/>
              <w:right w:w="0" w:type="dxa"/>
            </w:tcMar>
            <w:vAlign w:val="center"/>
            <w:hideMark/>
          </w:tcPr>
          <w:p w14:paraId="10435A6C" w14:textId="77777777" w:rsidR="00C15DED" w:rsidRPr="00C15DED" w:rsidRDefault="00C15DED" w:rsidP="00C15DED">
            <w:pPr>
              <w:spacing w:after="105" w:line="240" w:lineRule="auto"/>
              <w:rPr>
                <w:rFonts w:ascii="Roboto" w:eastAsia="Times New Roman" w:hAnsi="Roboto" w:cs="Times New Roman"/>
                <w:kern w:val="0"/>
                <w:sz w:val="18"/>
                <w:szCs w:val="18"/>
                <w:lang w:eastAsia="fr-FR"/>
                <w14:ligatures w14:val="none"/>
              </w:rPr>
            </w:pPr>
            <w:r w:rsidRPr="00C15DED">
              <w:rPr>
                <w:rFonts w:ascii="Roboto" w:eastAsia="Times New Roman" w:hAnsi="Roboto" w:cs="Times New Roman"/>
                <w:b/>
                <w:bCs/>
                <w:caps/>
                <w:color w:val="C70036"/>
                <w:kern w:val="0"/>
                <w:lang w:eastAsia="fr-FR"/>
                <w14:ligatures w14:val="none"/>
              </w:rPr>
              <w:t>FORMES et PRÉSENTATIONS</w:t>
            </w:r>
            <w:r w:rsidRPr="00C15DED">
              <w:rPr>
                <w:rFonts w:ascii="Roboto" w:eastAsia="Times New Roman" w:hAnsi="Roboto" w:cs="Times New Roman"/>
                <w:kern w:val="0"/>
                <w:sz w:val="18"/>
                <w:szCs w:val="18"/>
                <w:lang w:eastAsia="fr-FR"/>
                <w14:ligatures w14:val="none"/>
              </w:rPr>
              <w:t> </w:t>
            </w:r>
          </w:p>
        </w:tc>
      </w:tr>
    </w:tbl>
    <w:p w14:paraId="6343934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Comprimé enrobé (rose pâle).</w:t>
      </w:r>
      <w:r w:rsidRPr="00C15DED">
        <w:rPr>
          <w:rFonts w:ascii="Roboto" w:eastAsia="Times New Roman" w:hAnsi="Roboto" w:cs="Times New Roman"/>
          <w:color w:val="333333"/>
          <w:kern w:val="0"/>
          <w:sz w:val="19"/>
          <w:szCs w:val="19"/>
          <w:lang w:eastAsia="fr-FR"/>
          <w14:ligatures w14:val="none"/>
        </w:rPr>
        <w:br/>
        <w:t>Boîte de 60, sous plaquettes.</w:t>
      </w:r>
    </w:p>
    <w:p w14:paraId="3274FA8F"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45"/>
      </w:tblGrid>
      <w:tr w:rsidR="00C15DED" w:rsidRPr="00C15DED" w14:paraId="0D3CEFF0" w14:textId="77777777" w:rsidTr="00C15DED">
        <w:tc>
          <w:tcPr>
            <w:tcW w:w="0" w:type="auto"/>
            <w:shd w:val="clear" w:color="auto" w:fill="auto"/>
            <w:tcMar>
              <w:top w:w="0" w:type="dxa"/>
              <w:left w:w="0" w:type="dxa"/>
              <w:bottom w:w="0" w:type="dxa"/>
              <w:right w:w="0" w:type="dxa"/>
            </w:tcMar>
            <w:vAlign w:val="center"/>
            <w:hideMark/>
          </w:tcPr>
          <w:p w14:paraId="4CBD178A" w14:textId="77777777" w:rsidR="00C15DED" w:rsidRPr="00C15DED" w:rsidRDefault="00C15DED" w:rsidP="00C15DED">
            <w:pPr>
              <w:spacing w:after="105" w:line="240" w:lineRule="auto"/>
              <w:rPr>
                <w:rFonts w:ascii="Roboto" w:eastAsia="Times New Roman" w:hAnsi="Roboto" w:cs="Times New Roman"/>
                <w:kern w:val="0"/>
                <w:sz w:val="18"/>
                <w:szCs w:val="18"/>
                <w:lang w:eastAsia="fr-FR"/>
                <w14:ligatures w14:val="none"/>
              </w:rPr>
            </w:pPr>
            <w:r w:rsidRPr="00C15DED">
              <w:rPr>
                <w:rFonts w:ascii="Roboto" w:eastAsia="Times New Roman" w:hAnsi="Roboto" w:cs="Times New Roman"/>
                <w:b/>
                <w:bCs/>
                <w:caps/>
                <w:color w:val="C70036"/>
                <w:kern w:val="0"/>
                <w:lang w:eastAsia="fr-FR"/>
                <w14:ligatures w14:val="none"/>
              </w:rPr>
              <w:t>COMPOSITION</w:t>
            </w:r>
            <w:r w:rsidRPr="00C15DED">
              <w:rPr>
                <w:rFonts w:ascii="Roboto" w:eastAsia="Times New Roman" w:hAnsi="Roboto" w:cs="Times New Roman"/>
                <w:kern w:val="0"/>
                <w:sz w:val="18"/>
                <w:szCs w:val="18"/>
                <w:lang w:eastAsia="fr-FR"/>
                <w14:ligatures w14:val="none"/>
              </w:rPr>
              <w:t> </w:t>
            </w:r>
          </w:p>
        </w:tc>
      </w:tr>
    </w:tbl>
    <w:p w14:paraId="75CD85C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u w:val="single"/>
          <w:lang w:eastAsia="fr-FR"/>
          <w14:ligatures w14:val="none"/>
        </w:rPr>
        <w:t>Pour un comprimé enrobé :</w:t>
      </w:r>
    </w:p>
    <w:p w14:paraId="6891267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Rifampicine : 120 mg</w:t>
      </w:r>
      <w:r w:rsidRPr="00C15DED">
        <w:rPr>
          <w:rFonts w:ascii="Roboto" w:eastAsia="Times New Roman" w:hAnsi="Roboto" w:cs="Times New Roman"/>
          <w:color w:val="333333"/>
          <w:kern w:val="0"/>
          <w:sz w:val="19"/>
          <w:szCs w:val="19"/>
          <w:lang w:eastAsia="fr-FR"/>
          <w14:ligatures w14:val="none"/>
        </w:rPr>
        <w:br/>
        <w:t>Isoniazide : 50 mg</w:t>
      </w:r>
      <w:r w:rsidRPr="00C15DED">
        <w:rPr>
          <w:rFonts w:ascii="Roboto" w:eastAsia="Times New Roman" w:hAnsi="Roboto" w:cs="Times New Roman"/>
          <w:color w:val="333333"/>
          <w:kern w:val="0"/>
          <w:sz w:val="19"/>
          <w:szCs w:val="19"/>
          <w:lang w:eastAsia="fr-FR"/>
          <w14:ligatures w14:val="none"/>
        </w:rPr>
        <w:br/>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r w:rsidRPr="00C15DED">
        <w:rPr>
          <w:rFonts w:ascii="Roboto" w:eastAsia="Times New Roman" w:hAnsi="Roboto" w:cs="Times New Roman"/>
          <w:color w:val="333333"/>
          <w:kern w:val="0"/>
          <w:sz w:val="19"/>
          <w:szCs w:val="19"/>
          <w:lang w:eastAsia="fr-FR"/>
          <w14:ligatures w14:val="none"/>
        </w:rPr>
        <w:t> : 300 mg</w:t>
      </w:r>
    </w:p>
    <w:p w14:paraId="237D65B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u w:val="single"/>
          <w:lang w:eastAsia="fr-FR"/>
          <w14:ligatures w14:val="none"/>
        </w:rPr>
        <w:t>Excipient à effet notoire :</w:t>
      </w:r>
      <w:r w:rsidRPr="00C15DED">
        <w:rPr>
          <w:rFonts w:ascii="Roboto" w:eastAsia="Times New Roman" w:hAnsi="Roboto" w:cs="Times New Roman"/>
          <w:color w:val="333333"/>
          <w:kern w:val="0"/>
          <w:sz w:val="19"/>
          <w:szCs w:val="19"/>
          <w:lang w:eastAsia="fr-FR"/>
          <w14:ligatures w14:val="none"/>
        </w:rPr>
        <w:t> saccharose</w:t>
      </w:r>
    </w:p>
    <w:p w14:paraId="1CB31590"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1D4EFC1F"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u w:val="single"/>
          <w:lang w:eastAsia="fr-FR"/>
          <w14:ligatures w14:val="none"/>
        </w:rPr>
        <w:t>Excipients :</w:t>
      </w:r>
    </w:p>
    <w:p w14:paraId="7A2AFDA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Povidone, </w:t>
      </w:r>
      <w:proofErr w:type="spellStart"/>
      <w:r w:rsidRPr="00C15DED">
        <w:rPr>
          <w:rFonts w:ascii="Roboto" w:eastAsia="Times New Roman" w:hAnsi="Roboto" w:cs="Times New Roman"/>
          <w:color w:val="333333"/>
          <w:kern w:val="0"/>
          <w:sz w:val="19"/>
          <w:szCs w:val="19"/>
          <w:lang w:eastAsia="fr-FR"/>
          <w14:ligatures w14:val="none"/>
        </w:rPr>
        <w:t>carmellose</w:t>
      </w:r>
      <w:proofErr w:type="spellEnd"/>
      <w:r w:rsidRPr="00C15DED">
        <w:rPr>
          <w:rFonts w:ascii="Roboto" w:eastAsia="Times New Roman" w:hAnsi="Roboto" w:cs="Times New Roman"/>
          <w:color w:val="333333"/>
          <w:kern w:val="0"/>
          <w:sz w:val="19"/>
          <w:szCs w:val="19"/>
          <w:lang w:eastAsia="fr-FR"/>
          <w14:ligatures w14:val="none"/>
        </w:rPr>
        <w:t xml:space="preserve"> sodique, stéarate de calcium, </w:t>
      </w:r>
      <w:proofErr w:type="spellStart"/>
      <w:r w:rsidRPr="00C15DED">
        <w:rPr>
          <w:rFonts w:ascii="Roboto" w:eastAsia="Times New Roman" w:hAnsi="Roboto" w:cs="Times New Roman"/>
          <w:color w:val="333333"/>
          <w:kern w:val="0"/>
          <w:sz w:val="19"/>
          <w:szCs w:val="19"/>
          <w:lang w:eastAsia="fr-FR"/>
          <w14:ligatures w14:val="none"/>
        </w:rPr>
        <w:t>laurylsulfate</w:t>
      </w:r>
      <w:proofErr w:type="spellEnd"/>
      <w:r w:rsidRPr="00C15DED">
        <w:rPr>
          <w:rFonts w:ascii="Roboto" w:eastAsia="Times New Roman" w:hAnsi="Roboto" w:cs="Times New Roman"/>
          <w:color w:val="333333"/>
          <w:kern w:val="0"/>
          <w:sz w:val="19"/>
          <w:szCs w:val="19"/>
          <w:lang w:eastAsia="fr-FR"/>
          <w14:ligatures w14:val="none"/>
        </w:rPr>
        <w:t xml:space="preserve"> de sodium.</w:t>
      </w:r>
    </w:p>
    <w:p w14:paraId="5E532D4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u w:val="single"/>
          <w:lang w:eastAsia="fr-FR"/>
          <w14:ligatures w14:val="none"/>
        </w:rPr>
        <w:t>Enrobage</w:t>
      </w:r>
      <w:r w:rsidRPr="00C15DED">
        <w:rPr>
          <w:rFonts w:ascii="Roboto" w:eastAsia="Times New Roman" w:hAnsi="Roboto" w:cs="Times New Roman"/>
          <w:color w:val="333333"/>
          <w:kern w:val="0"/>
          <w:sz w:val="19"/>
          <w:szCs w:val="19"/>
          <w:lang w:eastAsia="fr-FR"/>
          <w14:ligatures w14:val="none"/>
        </w:rPr>
        <w:t> : gomme arabique, carbonate de magnésium léger, dioxyde de titane (E171), kaolin, talc, saccharose, povidone, silice colloïdale anhydre, oxyde d'aluminium hydraté, oxyde de fer rouge (E172).</w:t>
      </w:r>
    </w:p>
    <w:p w14:paraId="37FC6BEF"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69C58EAE"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504"/>
      </w:tblGrid>
      <w:tr w:rsidR="00C15DED" w:rsidRPr="00C15DED" w14:paraId="06ACB982" w14:textId="77777777" w:rsidTr="00C15DED">
        <w:tc>
          <w:tcPr>
            <w:tcW w:w="0" w:type="auto"/>
            <w:shd w:val="clear" w:color="auto" w:fill="CC3300"/>
            <w:tcMar>
              <w:top w:w="0" w:type="dxa"/>
              <w:left w:w="75" w:type="dxa"/>
              <w:bottom w:w="0" w:type="dxa"/>
              <w:right w:w="75" w:type="dxa"/>
            </w:tcMar>
            <w:vAlign w:val="center"/>
            <w:hideMark/>
          </w:tcPr>
          <w:p w14:paraId="5AFFA7C3" w14:textId="77777777" w:rsidR="00C15DED" w:rsidRPr="00C15DED" w:rsidRDefault="00C15DED" w:rsidP="00C15DED">
            <w:pPr>
              <w:spacing w:after="105" w:line="240" w:lineRule="auto"/>
              <w:rPr>
                <w:rFonts w:ascii="Roboto" w:eastAsia="Times New Roman" w:hAnsi="Roboto" w:cs="Times New Roman"/>
                <w:b/>
                <w:bCs/>
                <w:color w:val="FFFFFF"/>
                <w:kern w:val="0"/>
                <w:sz w:val="21"/>
                <w:szCs w:val="21"/>
                <w:lang w:eastAsia="fr-FR"/>
                <w14:ligatures w14:val="none"/>
              </w:rPr>
            </w:pPr>
            <w:r w:rsidRPr="00C15DED">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1CD3DC07" w14:textId="77777777" w:rsidR="00C15DED" w:rsidRPr="00C15DED" w:rsidRDefault="00C15DED" w:rsidP="00C15DED">
            <w:pPr>
              <w:spacing w:after="105" w:line="240" w:lineRule="auto"/>
              <w:rPr>
                <w:rFonts w:ascii="Roboto" w:eastAsia="Times New Roman" w:hAnsi="Roboto" w:cs="Times New Roman"/>
                <w:kern w:val="0"/>
                <w:sz w:val="18"/>
                <w:szCs w:val="18"/>
                <w:lang w:eastAsia="fr-FR"/>
                <w14:ligatures w14:val="none"/>
              </w:rPr>
            </w:pPr>
            <w:r w:rsidRPr="00C15DED">
              <w:rPr>
                <w:rFonts w:ascii="Roboto" w:eastAsia="Times New Roman" w:hAnsi="Roboto" w:cs="Times New Roman"/>
                <w:b/>
                <w:bCs/>
                <w:caps/>
                <w:color w:val="C70036"/>
                <w:kern w:val="0"/>
                <w:lang w:eastAsia="fr-FR"/>
                <w14:ligatures w14:val="none"/>
              </w:rPr>
              <w:t>INDICATIONS</w:t>
            </w:r>
            <w:r w:rsidRPr="00C15DED">
              <w:rPr>
                <w:rFonts w:ascii="Roboto" w:eastAsia="Times New Roman" w:hAnsi="Roboto" w:cs="Times New Roman"/>
                <w:kern w:val="0"/>
                <w:sz w:val="18"/>
                <w:szCs w:val="18"/>
                <w:lang w:eastAsia="fr-FR"/>
                <w14:ligatures w14:val="none"/>
              </w:rPr>
              <w:t> </w:t>
            </w:r>
          </w:p>
        </w:tc>
      </w:tr>
    </w:tbl>
    <w:p w14:paraId="2B55763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Elles procèdent de l'activité antibactérienne et des caractéristiques pharmacocinétiques de la rifampicine. Elles tiennent compte à la fois des études cliniques auxquelles a donné lieu ce médicament et de sa place dans l'éventail des produits antibactériens actuellement disponibles.</w:t>
      </w:r>
    </w:p>
    <w:p w14:paraId="08A4C21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Elles sont limitées au traitement de toutes les formes de tuberculose, notamment la tuberculose pulmonaire.</w:t>
      </w:r>
    </w:p>
    <w:p w14:paraId="33B7E43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Il convient de tenir compte des recommandations officielles concernant l'utilisation appropriée des antibactériens.</w:t>
      </w:r>
    </w:p>
    <w:p w14:paraId="30BA3033"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71D7ECCA"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616"/>
      </w:tblGrid>
      <w:tr w:rsidR="00C15DED" w:rsidRPr="00C15DED" w14:paraId="5BD89F0C" w14:textId="77777777" w:rsidTr="00C15DED">
        <w:tc>
          <w:tcPr>
            <w:tcW w:w="0" w:type="auto"/>
            <w:shd w:val="clear" w:color="auto" w:fill="CC3300"/>
            <w:tcMar>
              <w:top w:w="0" w:type="dxa"/>
              <w:left w:w="75" w:type="dxa"/>
              <w:bottom w:w="0" w:type="dxa"/>
              <w:right w:w="75" w:type="dxa"/>
            </w:tcMar>
            <w:vAlign w:val="center"/>
            <w:hideMark/>
          </w:tcPr>
          <w:p w14:paraId="03A4008A" w14:textId="77777777" w:rsidR="00C15DED" w:rsidRPr="00C15DED" w:rsidRDefault="00C15DED" w:rsidP="00C15DED">
            <w:pPr>
              <w:spacing w:after="105" w:line="240" w:lineRule="auto"/>
              <w:rPr>
                <w:rFonts w:ascii="Roboto" w:eastAsia="Times New Roman" w:hAnsi="Roboto" w:cs="Times New Roman"/>
                <w:b/>
                <w:bCs/>
                <w:color w:val="FFFFFF"/>
                <w:kern w:val="0"/>
                <w:sz w:val="21"/>
                <w:szCs w:val="21"/>
                <w:lang w:eastAsia="fr-FR"/>
                <w14:ligatures w14:val="none"/>
              </w:rPr>
            </w:pPr>
            <w:r w:rsidRPr="00C15DED">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45B56B0D" w14:textId="77777777" w:rsidR="00C15DED" w:rsidRPr="00C15DED" w:rsidRDefault="00C15DED" w:rsidP="00C15DED">
            <w:pPr>
              <w:spacing w:after="105" w:line="240" w:lineRule="auto"/>
              <w:rPr>
                <w:rFonts w:ascii="Roboto" w:eastAsia="Times New Roman" w:hAnsi="Roboto" w:cs="Times New Roman"/>
                <w:kern w:val="0"/>
                <w:sz w:val="18"/>
                <w:szCs w:val="18"/>
                <w:lang w:eastAsia="fr-FR"/>
                <w14:ligatures w14:val="none"/>
              </w:rPr>
            </w:pPr>
            <w:r w:rsidRPr="00C15DED">
              <w:rPr>
                <w:rFonts w:ascii="Roboto" w:eastAsia="Times New Roman" w:hAnsi="Roboto" w:cs="Times New Roman"/>
                <w:b/>
                <w:bCs/>
                <w:caps/>
                <w:color w:val="C70036"/>
                <w:kern w:val="0"/>
                <w:lang w:eastAsia="fr-FR"/>
                <w14:ligatures w14:val="none"/>
              </w:rPr>
              <w:t>POSOLOGIE ET MODE D'ADMINISTRATION</w:t>
            </w:r>
            <w:r w:rsidRPr="00C15DED">
              <w:rPr>
                <w:rFonts w:ascii="Roboto" w:eastAsia="Times New Roman" w:hAnsi="Roboto" w:cs="Times New Roman"/>
                <w:kern w:val="0"/>
                <w:sz w:val="18"/>
                <w:szCs w:val="18"/>
                <w:lang w:eastAsia="fr-FR"/>
                <w14:ligatures w14:val="none"/>
              </w:rPr>
              <w:t> </w:t>
            </w:r>
          </w:p>
        </w:tc>
      </w:tr>
    </w:tbl>
    <w:p w14:paraId="205A7A9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 Principes de traitement :</w:t>
      </w:r>
    </w:p>
    <w:p w14:paraId="4A1D7D3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La notion de traitement correct et bien suivi est, avec la négativation durable des examens bactériologiques, le critère de guérison essentiel.</w:t>
      </w:r>
    </w:p>
    <w:p w14:paraId="6858C38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Quel que soit le contexte, on ne commencera le traitement qu'une fois obtenue la preuve bactériologique de la tuberculose. L'examen bactériologique comprend systématiquement l'examen direct, la mise en culture et l'antibiogramme.</w:t>
      </w:r>
    </w:p>
    <w:p w14:paraId="3052D0A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Toutefois, s'il y a urgence ou si les lésions sont typiques et la </w:t>
      </w:r>
      <w:proofErr w:type="spellStart"/>
      <w:r w:rsidRPr="00C15DED">
        <w:rPr>
          <w:rFonts w:ascii="Roboto" w:eastAsia="Times New Roman" w:hAnsi="Roboto" w:cs="Times New Roman"/>
          <w:color w:val="333333"/>
          <w:kern w:val="0"/>
          <w:sz w:val="19"/>
          <w:szCs w:val="19"/>
          <w:lang w:eastAsia="fr-FR"/>
          <w14:ligatures w14:val="none"/>
        </w:rPr>
        <w:t>bacilloscopie</w:t>
      </w:r>
      <w:proofErr w:type="spellEnd"/>
      <w:r w:rsidRPr="00C15DED">
        <w:rPr>
          <w:rFonts w:ascii="Roboto" w:eastAsia="Times New Roman" w:hAnsi="Roboto" w:cs="Times New Roman"/>
          <w:color w:val="333333"/>
          <w:kern w:val="0"/>
          <w:sz w:val="19"/>
          <w:szCs w:val="19"/>
          <w:lang w:eastAsia="fr-FR"/>
          <w14:ligatures w14:val="none"/>
        </w:rPr>
        <w:t xml:space="preserve"> négative malgré sa répétition (4 à 6 prélèvements), le traitement peut être institué et sera reconsidéré lorsque l'on disposera des résultats de la culture.</w:t>
      </w:r>
    </w:p>
    <w:p w14:paraId="741AE3F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Pour être efficace, ce traitement doit :</w:t>
      </w:r>
    </w:p>
    <w:p w14:paraId="46A76F83" w14:textId="77777777" w:rsidR="00C15DED" w:rsidRPr="00C15DED" w:rsidRDefault="00C15DED" w:rsidP="00C15DED">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associer</w:t>
      </w:r>
      <w:proofErr w:type="gramEnd"/>
      <w:r w:rsidRPr="00C15DED">
        <w:rPr>
          <w:rFonts w:ascii="Roboto" w:eastAsia="Times New Roman" w:hAnsi="Roboto" w:cs="Times New Roman"/>
          <w:color w:val="333333"/>
          <w:kern w:val="0"/>
          <w:sz w:val="19"/>
          <w:szCs w:val="19"/>
          <w:lang w:eastAsia="fr-FR"/>
          <w14:ligatures w14:val="none"/>
        </w:rPr>
        <w:t xml:space="preserve"> plusieurs antituberculeux :</w:t>
      </w:r>
    </w:p>
    <w:p w14:paraId="206DE236" w14:textId="77777777" w:rsidR="00C15DED" w:rsidRPr="00C15DED" w:rsidRDefault="00C15DED" w:rsidP="00C15DED">
      <w:pPr>
        <w:numPr>
          <w:ilvl w:val="1"/>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trois</w:t>
      </w:r>
      <w:proofErr w:type="gramEnd"/>
      <w:r w:rsidRPr="00C15DED">
        <w:rPr>
          <w:rFonts w:ascii="Roboto" w:eastAsia="Times New Roman" w:hAnsi="Roboto" w:cs="Times New Roman"/>
          <w:color w:val="333333"/>
          <w:kern w:val="0"/>
          <w:sz w:val="19"/>
          <w:szCs w:val="19"/>
          <w:lang w:eastAsia="fr-FR"/>
          <w14:ligatures w14:val="none"/>
        </w:rPr>
        <w:t xml:space="preserve"> ou quatre jusqu'aux résultats de l'antibiogramme pour tenir compte d'une éventuelle résistance primaire (et de toute façon pendant au moins 2 mois),</w:t>
      </w:r>
    </w:p>
    <w:p w14:paraId="328C017E" w14:textId="77777777" w:rsidR="00C15DED" w:rsidRPr="00C15DED" w:rsidRDefault="00C15DED" w:rsidP="00C15DED">
      <w:pPr>
        <w:numPr>
          <w:ilvl w:val="1"/>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lastRenderedPageBreak/>
        <w:t>au</w:t>
      </w:r>
      <w:proofErr w:type="gramEnd"/>
      <w:r w:rsidRPr="00C15DED">
        <w:rPr>
          <w:rFonts w:ascii="Roboto" w:eastAsia="Times New Roman" w:hAnsi="Roboto" w:cs="Times New Roman"/>
          <w:color w:val="333333"/>
          <w:kern w:val="0"/>
          <w:sz w:val="19"/>
          <w:szCs w:val="19"/>
          <w:lang w:eastAsia="fr-FR"/>
          <w14:ligatures w14:val="none"/>
        </w:rPr>
        <w:t xml:space="preserve"> moins deux ensuite pour éviter l'apparition d'une résistance acquise ;</w:t>
      </w:r>
    </w:p>
    <w:p w14:paraId="40220A60" w14:textId="77777777" w:rsidR="00C15DED" w:rsidRPr="00C15DED" w:rsidRDefault="00C15DED" w:rsidP="00C15DED">
      <w:pPr>
        <w:numPr>
          <w:ilvl w:val="0"/>
          <w:numId w:val="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utiliser</w:t>
      </w:r>
      <w:proofErr w:type="gramEnd"/>
      <w:r w:rsidRPr="00C15DED">
        <w:rPr>
          <w:rFonts w:ascii="Roboto" w:eastAsia="Times New Roman" w:hAnsi="Roboto" w:cs="Times New Roman"/>
          <w:color w:val="333333"/>
          <w:kern w:val="0"/>
          <w:sz w:val="19"/>
          <w:szCs w:val="19"/>
          <w:lang w:eastAsia="fr-FR"/>
          <w14:ligatures w14:val="none"/>
        </w:rPr>
        <w:t xml:space="preserve"> les antituberculeux les plus actifs (bactéricides) à des doses efficaces (mais adaptées, pour éviter tout surdosage).</w:t>
      </w:r>
    </w:p>
    <w:p w14:paraId="74F4E94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 schéma habituel recommandé pour le traitement de la tuberculose pulmonaire non compliquée, à bacilles sensibles, est une </w:t>
      </w:r>
      <w:r w:rsidRPr="00C15DED">
        <w:rPr>
          <w:rFonts w:ascii="Roboto" w:eastAsia="Times New Roman" w:hAnsi="Roboto" w:cs="Times New Roman"/>
          <w:color w:val="333333"/>
          <w:kern w:val="0"/>
          <w:sz w:val="19"/>
          <w:szCs w:val="19"/>
          <w:u w:val="single"/>
          <w:lang w:eastAsia="fr-FR"/>
          <w14:ligatures w14:val="none"/>
        </w:rPr>
        <w:t>trithérapie initiale</w:t>
      </w:r>
      <w:r w:rsidRPr="00C15DED">
        <w:rPr>
          <w:rFonts w:ascii="Roboto" w:eastAsia="Times New Roman" w:hAnsi="Roboto" w:cs="Times New Roman"/>
          <w:color w:val="333333"/>
          <w:kern w:val="0"/>
          <w:sz w:val="19"/>
          <w:szCs w:val="19"/>
          <w:lang w:eastAsia="fr-FR"/>
          <w14:ligatures w14:val="none"/>
        </w:rPr>
        <w:t xml:space="preserve"> : rifampicine, </w:t>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r w:rsidRPr="00C15DED">
        <w:rPr>
          <w:rFonts w:ascii="Roboto" w:eastAsia="Times New Roman" w:hAnsi="Roboto" w:cs="Times New Roman"/>
          <w:color w:val="333333"/>
          <w:kern w:val="0"/>
          <w:sz w:val="19"/>
          <w:szCs w:val="19"/>
          <w:lang w:eastAsia="fr-FR"/>
          <w14:ligatures w14:val="none"/>
        </w:rPr>
        <w:t>, isoniazide, pendant 2 mois. Celle-ci peut être remplacée par une </w:t>
      </w:r>
      <w:r w:rsidRPr="00C15DED">
        <w:rPr>
          <w:rFonts w:ascii="Roboto" w:eastAsia="Times New Roman" w:hAnsi="Roboto" w:cs="Times New Roman"/>
          <w:color w:val="333333"/>
          <w:kern w:val="0"/>
          <w:sz w:val="19"/>
          <w:szCs w:val="19"/>
          <w:u w:val="single"/>
          <w:lang w:eastAsia="fr-FR"/>
          <w14:ligatures w14:val="none"/>
        </w:rPr>
        <w:t>quadrithérapie initiale</w:t>
      </w:r>
      <w:r w:rsidRPr="00C15DED">
        <w:rPr>
          <w:rFonts w:ascii="Roboto" w:eastAsia="Times New Roman" w:hAnsi="Roboto" w:cs="Times New Roman"/>
          <w:color w:val="333333"/>
          <w:kern w:val="0"/>
          <w:sz w:val="19"/>
          <w:szCs w:val="19"/>
          <w:lang w:eastAsia="fr-FR"/>
          <w14:ligatures w14:val="none"/>
        </w:rPr>
        <w:t> incluant l'</w:t>
      </w:r>
      <w:proofErr w:type="spellStart"/>
      <w:r w:rsidRPr="00C15DED">
        <w:rPr>
          <w:rFonts w:ascii="Roboto" w:eastAsia="Times New Roman" w:hAnsi="Roboto" w:cs="Times New Roman"/>
          <w:color w:val="333333"/>
          <w:kern w:val="0"/>
          <w:sz w:val="19"/>
          <w:szCs w:val="19"/>
          <w:lang w:eastAsia="fr-FR"/>
          <w14:ligatures w14:val="none"/>
        </w:rPr>
        <w:t>éthambutol</w:t>
      </w:r>
      <w:proofErr w:type="spellEnd"/>
      <w:r w:rsidRPr="00C15DED">
        <w:rPr>
          <w:rFonts w:ascii="Roboto" w:eastAsia="Times New Roman" w:hAnsi="Roboto" w:cs="Times New Roman"/>
          <w:color w:val="333333"/>
          <w:kern w:val="0"/>
          <w:sz w:val="19"/>
          <w:szCs w:val="19"/>
          <w:lang w:eastAsia="fr-FR"/>
          <w14:ligatures w14:val="none"/>
        </w:rPr>
        <w:t xml:space="preserve"> en cas de rechute, de suspicion de résistance ou d'antécédents de tuberculose.</w:t>
      </w:r>
    </w:p>
    <w:p w14:paraId="72A631E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Ce traitement initial est suivi d'une </w:t>
      </w:r>
      <w:r w:rsidRPr="00C15DED">
        <w:rPr>
          <w:rFonts w:ascii="Roboto" w:eastAsia="Times New Roman" w:hAnsi="Roboto" w:cs="Times New Roman"/>
          <w:color w:val="333333"/>
          <w:kern w:val="0"/>
          <w:sz w:val="19"/>
          <w:szCs w:val="19"/>
          <w:u w:val="single"/>
          <w:lang w:eastAsia="fr-FR"/>
          <w14:ligatures w14:val="none"/>
        </w:rPr>
        <w:t>phase de consolidation</w:t>
      </w:r>
      <w:r w:rsidRPr="00C15DED">
        <w:rPr>
          <w:rFonts w:ascii="Roboto" w:eastAsia="Times New Roman" w:hAnsi="Roboto" w:cs="Times New Roman"/>
          <w:color w:val="333333"/>
          <w:kern w:val="0"/>
          <w:sz w:val="19"/>
          <w:szCs w:val="19"/>
          <w:lang w:eastAsia="fr-FR"/>
          <w14:ligatures w14:val="none"/>
        </w:rPr>
        <w:t> de 4 mois, associant rifampicine et isoniazide (durée totale du traitement : 6 mois).</w:t>
      </w:r>
    </w:p>
    <w:p w14:paraId="6CD5D83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Si le malade n'a pas reçu de </w:t>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r w:rsidRPr="00C15DED">
        <w:rPr>
          <w:rFonts w:ascii="Roboto" w:eastAsia="Times New Roman" w:hAnsi="Roboto" w:cs="Times New Roman"/>
          <w:color w:val="333333"/>
          <w:kern w:val="0"/>
          <w:sz w:val="19"/>
          <w:szCs w:val="19"/>
          <w:lang w:eastAsia="fr-FR"/>
          <w14:ligatures w14:val="none"/>
        </w:rPr>
        <w:t xml:space="preserve"> à la phase initiale, la phase de consolidation doit être poursuivie 7 mois (durée totale du traitement : 9 mois).</w:t>
      </w:r>
    </w:p>
    <w:p w14:paraId="62D499B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A la phase de consolidation (à partir du 3</w:t>
      </w:r>
      <w:r w:rsidRPr="00C15DED">
        <w:rPr>
          <w:rFonts w:ascii="Roboto" w:eastAsia="Times New Roman" w:hAnsi="Roboto" w:cs="Times New Roman"/>
          <w:color w:val="333333"/>
          <w:kern w:val="0"/>
          <w:sz w:val="14"/>
          <w:szCs w:val="14"/>
          <w:vertAlign w:val="superscript"/>
          <w:lang w:eastAsia="fr-FR"/>
          <w14:ligatures w14:val="none"/>
        </w:rPr>
        <w:t>ème</w:t>
      </w:r>
      <w:r w:rsidRPr="00C15DED">
        <w:rPr>
          <w:rFonts w:ascii="Roboto" w:eastAsia="Times New Roman" w:hAnsi="Roboto" w:cs="Times New Roman"/>
          <w:color w:val="333333"/>
          <w:kern w:val="0"/>
          <w:sz w:val="19"/>
          <w:szCs w:val="19"/>
          <w:lang w:eastAsia="fr-FR"/>
          <w14:ligatures w14:val="none"/>
        </w:rPr>
        <w:t> mois), l'association rifampicine + isoniazide peut être prescrite de façon intermittente 2 ou 3 fois par semaine. Ce mode d'administration rentre surtout dans le cadre des traitements supervisés et nécessite l'augmentation de la prise unitaire d'isoniazide.</w:t>
      </w:r>
    </w:p>
    <w:p w14:paraId="1119ABF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b) Posologie :</w:t>
      </w:r>
    </w:p>
    <w:p w14:paraId="20E6FC3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Les posologies et schémas posologiques peuvent différer selon les diverses recommandations officielles.</w:t>
      </w:r>
    </w:p>
    <w:p w14:paraId="5865DF5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u w:val="single"/>
          <w:lang w:eastAsia="fr-FR"/>
          <w14:ligatures w14:val="none"/>
        </w:rPr>
        <w:t>Adulte</w:t>
      </w:r>
    </w:p>
    <w:p w14:paraId="5736940D" w14:textId="30263DFA"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La posologie de RIFATER, comprimé enrobé chez l'adulte est établie en fonction du poids corporel</w:t>
      </w:r>
      <w:r>
        <w:rPr>
          <w:rFonts w:ascii="Roboto" w:eastAsia="Times New Roman" w:hAnsi="Roboto" w:cs="Times New Roman"/>
          <w:color w:val="333333"/>
          <w:kern w:val="0"/>
          <w:sz w:val="19"/>
          <w:szCs w:val="19"/>
          <w:lang w:eastAsia="fr-FR"/>
          <w14:ligatures w14:val="none"/>
        </w:rPr>
        <w:t>.</w:t>
      </w:r>
    </w:p>
    <w:p w14:paraId="38DDF60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La phase intensive du traitement doit être poursuivie pendant 2 mois. D'autres antituberculeux tels l'</w:t>
      </w:r>
      <w:proofErr w:type="spellStart"/>
      <w:r w:rsidRPr="00C15DED">
        <w:rPr>
          <w:rFonts w:ascii="Roboto" w:eastAsia="Times New Roman" w:hAnsi="Roboto" w:cs="Times New Roman"/>
          <w:color w:val="333333"/>
          <w:kern w:val="0"/>
          <w:sz w:val="19"/>
          <w:szCs w:val="19"/>
          <w:lang w:eastAsia="fr-FR"/>
          <w14:ligatures w14:val="none"/>
        </w:rPr>
        <w:t>éthambutol</w:t>
      </w:r>
      <w:proofErr w:type="spellEnd"/>
      <w:r w:rsidRPr="00C15DED">
        <w:rPr>
          <w:rFonts w:ascii="Roboto" w:eastAsia="Times New Roman" w:hAnsi="Roboto" w:cs="Times New Roman"/>
          <w:color w:val="333333"/>
          <w:kern w:val="0"/>
          <w:sz w:val="19"/>
          <w:szCs w:val="19"/>
          <w:lang w:eastAsia="fr-FR"/>
          <w14:ligatures w14:val="none"/>
        </w:rPr>
        <w:t xml:space="preserve"> ou la streptomycine peuvent être ajoutés au traitement.</w:t>
      </w:r>
    </w:p>
    <w:p w14:paraId="363529F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Après cette phase intensive, le traitement doit être poursuivi avec l'association rifampicine-isoniazide.</w:t>
      </w:r>
    </w:p>
    <w:p w14:paraId="3097A90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u w:val="single"/>
          <w:lang w:eastAsia="fr-FR"/>
          <w14:ligatures w14:val="none"/>
        </w:rPr>
        <w:t>Population pédiatrique</w:t>
      </w:r>
    </w:p>
    <w:p w14:paraId="453BF8D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Compte tenu des recommandations posologiques pour chaque antituberculeux, RIFATER, comprimé enrobé n'apparait pas adapté à une utilisation chez l'enfant considérant la dose requise pour chaque substance active composant le comprimé.</w:t>
      </w:r>
    </w:p>
    <w:p w14:paraId="28C50EC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RIFATER, comprimé enrobé ne devrait être utilisé chez l'enfant à partir de 6 ans que dans certains cas particuliers après un examen attentif des doses journalières recommandées pour chacun des composants.</w:t>
      </w:r>
    </w:p>
    <w:p w14:paraId="2AD5434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Mode d'administration</w:t>
      </w:r>
    </w:p>
    <w:p w14:paraId="5284051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Voie orale.</w:t>
      </w:r>
    </w:p>
    <w:p w14:paraId="2DC32F1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RIFATER, comprimé enrobé est réservé aux adultes et aux enfants à partir de 6 ans.</w:t>
      </w:r>
    </w:p>
    <w:p w14:paraId="33F1B3D6"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5A8CDA9A"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491"/>
      </w:tblGrid>
      <w:tr w:rsidR="00C15DED" w:rsidRPr="00C15DED" w14:paraId="05DD1FA1" w14:textId="77777777" w:rsidTr="00C15DED">
        <w:tc>
          <w:tcPr>
            <w:tcW w:w="0" w:type="auto"/>
            <w:shd w:val="clear" w:color="auto" w:fill="CC3300"/>
            <w:tcMar>
              <w:top w:w="0" w:type="dxa"/>
              <w:left w:w="75" w:type="dxa"/>
              <w:bottom w:w="0" w:type="dxa"/>
              <w:right w:w="75" w:type="dxa"/>
            </w:tcMar>
            <w:vAlign w:val="center"/>
            <w:hideMark/>
          </w:tcPr>
          <w:p w14:paraId="68AB392F" w14:textId="77777777" w:rsidR="00C15DED" w:rsidRPr="00C15DED" w:rsidRDefault="00C15DED" w:rsidP="00C15DED">
            <w:pPr>
              <w:spacing w:after="105" w:line="240" w:lineRule="auto"/>
              <w:rPr>
                <w:rFonts w:ascii="Roboto" w:eastAsia="Times New Roman" w:hAnsi="Roboto" w:cs="Times New Roman"/>
                <w:b/>
                <w:bCs/>
                <w:color w:val="FFFFFF"/>
                <w:kern w:val="0"/>
                <w:sz w:val="21"/>
                <w:szCs w:val="21"/>
                <w:lang w:eastAsia="fr-FR"/>
                <w14:ligatures w14:val="none"/>
              </w:rPr>
            </w:pPr>
            <w:r w:rsidRPr="00C15DED">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0BBDA7DA" w14:textId="77777777" w:rsidR="00C15DED" w:rsidRPr="00C15DED" w:rsidRDefault="00C15DED" w:rsidP="00C15DED">
            <w:pPr>
              <w:spacing w:after="105" w:line="240" w:lineRule="auto"/>
              <w:rPr>
                <w:rFonts w:ascii="Roboto" w:eastAsia="Times New Roman" w:hAnsi="Roboto" w:cs="Times New Roman"/>
                <w:kern w:val="0"/>
                <w:sz w:val="18"/>
                <w:szCs w:val="18"/>
                <w:lang w:eastAsia="fr-FR"/>
                <w14:ligatures w14:val="none"/>
              </w:rPr>
            </w:pPr>
            <w:r w:rsidRPr="00C15DED">
              <w:rPr>
                <w:rFonts w:ascii="Roboto" w:eastAsia="Times New Roman" w:hAnsi="Roboto" w:cs="Times New Roman"/>
                <w:b/>
                <w:bCs/>
                <w:caps/>
                <w:color w:val="C70036"/>
                <w:kern w:val="0"/>
                <w:lang w:eastAsia="fr-FR"/>
                <w14:ligatures w14:val="none"/>
              </w:rPr>
              <w:t>CONTRE-INDICATIONS</w:t>
            </w:r>
            <w:r w:rsidRPr="00C15DED">
              <w:rPr>
                <w:rFonts w:ascii="Roboto" w:eastAsia="Times New Roman" w:hAnsi="Roboto" w:cs="Times New Roman"/>
                <w:kern w:val="0"/>
                <w:sz w:val="18"/>
                <w:szCs w:val="18"/>
                <w:lang w:eastAsia="fr-FR"/>
                <w14:ligatures w14:val="none"/>
              </w:rPr>
              <w:t> </w:t>
            </w:r>
          </w:p>
        </w:tc>
      </w:tr>
    </w:tbl>
    <w:p w14:paraId="0F131744" w14:textId="77777777" w:rsidR="00C15DED" w:rsidRPr="00C15DED" w:rsidRDefault="00C15DED" w:rsidP="00C15DED">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Chez l'enfant en dessous de 6 ans en raison du risque de fausse route.</w:t>
      </w:r>
    </w:p>
    <w:p w14:paraId="6A7052E2" w14:textId="77777777" w:rsidR="00C15DED" w:rsidRPr="00C15DED" w:rsidRDefault="00C15DED" w:rsidP="00C15DED">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Hypersensibilité aux </w:t>
      </w:r>
      <w:proofErr w:type="spellStart"/>
      <w:r w:rsidRPr="00C15DED">
        <w:rPr>
          <w:rFonts w:ascii="Roboto" w:eastAsia="Times New Roman" w:hAnsi="Roboto" w:cs="Times New Roman"/>
          <w:color w:val="333333"/>
          <w:kern w:val="0"/>
          <w:sz w:val="19"/>
          <w:szCs w:val="19"/>
          <w:lang w:eastAsia="fr-FR"/>
          <w14:ligatures w14:val="none"/>
        </w:rPr>
        <w:t>rifamycines</w:t>
      </w:r>
      <w:proofErr w:type="spellEnd"/>
      <w:r w:rsidRPr="00C15DED">
        <w:rPr>
          <w:rFonts w:ascii="Roboto" w:eastAsia="Times New Roman" w:hAnsi="Roboto" w:cs="Times New Roman"/>
          <w:color w:val="333333"/>
          <w:kern w:val="0"/>
          <w:sz w:val="19"/>
          <w:szCs w:val="19"/>
          <w:lang w:eastAsia="fr-FR"/>
          <w14:ligatures w14:val="none"/>
        </w:rPr>
        <w:t xml:space="preserve">, à l'isoniazide et au </w:t>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r w:rsidRPr="00C15DED">
        <w:rPr>
          <w:rFonts w:ascii="Roboto" w:eastAsia="Times New Roman" w:hAnsi="Roboto" w:cs="Times New Roman"/>
          <w:color w:val="333333"/>
          <w:kern w:val="0"/>
          <w:sz w:val="19"/>
          <w:szCs w:val="19"/>
          <w:lang w:eastAsia="fr-FR"/>
          <w14:ligatures w14:val="none"/>
        </w:rPr>
        <w:t xml:space="preserve"> ou à l'un des excipients mentionnés à la rubrique </w:t>
      </w:r>
      <w:hyperlink r:id="rId5" w:anchor="composition" w:history="1">
        <w:r w:rsidRPr="00C15DED">
          <w:rPr>
            <w:rFonts w:ascii="Roboto" w:eastAsia="Times New Roman" w:hAnsi="Roboto" w:cs="Times New Roman"/>
            <w:color w:val="843D93"/>
            <w:kern w:val="0"/>
            <w:sz w:val="18"/>
            <w:szCs w:val="18"/>
            <w:lang w:eastAsia="fr-FR"/>
            <w14:ligatures w14:val="none"/>
          </w:rPr>
          <w:t>Composition</w:t>
        </w:r>
      </w:hyperlink>
      <w:r w:rsidRPr="00C15DED">
        <w:rPr>
          <w:rFonts w:ascii="Roboto" w:eastAsia="Times New Roman" w:hAnsi="Roboto" w:cs="Times New Roman"/>
          <w:color w:val="333333"/>
          <w:kern w:val="0"/>
          <w:sz w:val="19"/>
          <w:szCs w:val="19"/>
          <w:lang w:eastAsia="fr-FR"/>
          <w14:ligatures w14:val="none"/>
        </w:rPr>
        <w:t>.</w:t>
      </w:r>
    </w:p>
    <w:p w14:paraId="7228975E" w14:textId="77777777" w:rsidR="00C15DED" w:rsidRPr="00C15DED" w:rsidRDefault="00C15DED" w:rsidP="00C15DED">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Insuffisance hépatique.</w:t>
      </w:r>
    </w:p>
    <w:p w14:paraId="1A43E73D" w14:textId="77777777" w:rsidR="00C15DED" w:rsidRPr="00C15DED" w:rsidRDefault="00C15DED" w:rsidP="00C15DED">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Sujets </w:t>
      </w:r>
      <w:proofErr w:type="spellStart"/>
      <w:r w:rsidRPr="00C15DED">
        <w:rPr>
          <w:rFonts w:ascii="Roboto" w:eastAsia="Times New Roman" w:hAnsi="Roboto" w:cs="Times New Roman"/>
          <w:color w:val="333333"/>
          <w:kern w:val="0"/>
          <w:sz w:val="19"/>
          <w:szCs w:val="19"/>
          <w:lang w:eastAsia="fr-FR"/>
          <w14:ligatures w14:val="none"/>
        </w:rPr>
        <w:t>hyperuricémiques</w:t>
      </w:r>
      <w:proofErr w:type="spellEnd"/>
      <w:r w:rsidRPr="00C15DED">
        <w:rPr>
          <w:rFonts w:ascii="Roboto" w:eastAsia="Times New Roman" w:hAnsi="Roboto" w:cs="Times New Roman"/>
          <w:color w:val="333333"/>
          <w:kern w:val="0"/>
          <w:sz w:val="19"/>
          <w:szCs w:val="19"/>
          <w:lang w:eastAsia="fr-FR"/>
          <w14:ligatures w14:val="none"/>
        </w:rPr>
        <w:t xml:space="preserve"> ou insuffisants rénaux (compte tenu de l'effet inhibiteur du </w:t>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r w:rsidRPr="00C15DED">
        <w:rPr>
          <w:rFonts w:ascii="Roboto" w:eastAsia="Times New Roman" w:hAnsi="Roboto" w:cs="Times New Roman"/>
          <w:color w:val="333333"/>
          <w:kern w:val="0"/>
          <w:sz w:val="19"/>
          <w:szCs w:val="19"/>
          <w:lang w:eastAsia="fr-FR"/>
          <w14:ligatures w14:val="none"/>
        </w:rPr>
        <w:t xml:space="preserve"> sur l'excrétion de l'acide urique).</w:t>
      </w:r>
    </w:p>
    <w:p w14:paraId="3A0ACCD4" w14:textId="77777777" w:rsidR="00C15DED" w:rsidRPr="00C15DED" w:rsidRDefault="00C15DED" w:rsidP="00C15DED">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Porphyries.</w:t>
      </w:r>
    </w:p>
    <w:p w14:paraId="4B60A74C" w14:textId="77777777" w:rsidR="00C15DED" w:rsidRPr="00C15DED" w:rsidRDefault="00C15DED" w:rsidP="00C15DED">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Intervention avec anesthésie générale.</w:t>
      </w:r>
    </w:p>
    <w:p w14:paraId="55FEF6FC" w14:textId="77777777" w:rsidR="00C15DED" w:rsidRPr="00C15DED" w:rsidRDefault="00C15DED" w:rsidP="00C15DED">
      <w:pPr>
        <w:numPr>
          <w:ilvl w:val="0"/>
          <w:numId w:val="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En association avec </w:t>
      </w:r>
      <w:proofErr w:type="spellStart"/>
      <w:r w:rsidRPr="00C15DED">
        <w:rPr>
          <w:rFonts w:ascii="Roboto" w:eastAsia="Times New Roman" w:hAnsi="Roboto" w:cs="Times New Roman"/>
          <w:color w:val="333333"/>
          <w:kern w:val="0"/>
          <w:sz w:val="19"/>
          <w:szCs w:val="19"/>
          <w:lang w:eastAsia="fr-FR"/>
          <w14:ligatures w14:val="none"/>
        </w:rPr>
        <w:t>bictégravir</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cobicistat</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daclatasvir</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dasabuvir</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délamanid</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grazoprévir</w:t>
      </w:r>
      <w:proofErr w:type="spellEnd"/>
      <w:r w:rsidRPr="00C15DED">
        <w:rPr>
          <w:rFonts w:ascii="Roboto" w:eastAsia="Times New Roman" w:hAnsi="Roboto" w:cs="Times New Roman"/>
          <w:color w:val="333333"/>
          <w:kern w:val="0"/>
          <w:sz w:val="19"/>
          <w:szCs w:val="19"/>
          <w:lang w:eastAsia="fr-FR"/>
          <w14:ligatures w14:val="none"/>
        </w:rPr>
        <w:t>/</w:t>
      </w:r>
      <w:proofErr w:type="spellStart"/>
      <w:r w:rsidRPr="00C15DED">
        <w:rPr>
          <w:rFonts w:ascii="Roboto" w:eastAsia="Times New Roman" w:hAnsi="Roboto" w:cs="Times New Roman"/>
          <w:color w:val="333333"/>
          <w:kern w:val="0"/>
          <w:sz w:val="19"/>
          <w:szCs w:val="19"/>
          <w:lang w:eastAsia="fr-FR"/>
          <w14:ligatures w14:val="none"/>
        </w:rPr>
        <w:t>elbasvir</w:t>
      </w:r>
      <w:proofErr w:type="spellEnd"/>
      <w:r w:rsidRPr="00C15DED">
        <w:rPr>
          <w:rFonts w:ascii="Roboto" w:eastAsia="Times New Roman" w:hAnsi="Roboto" w:cs="Times New Roman"/>
          <w:color w:val="333333"/>
          <w:kern w:val="0"/>
          <w:sz w:val="19"/>
          <w:szCs w:val="19"/>
          <w:lang w:eastAsia="fr-FR"/>
          <w14:ligatures w14:val="none"/>
        </w:rPr>
        <w:t xml:space="preserve">, les inhibiteurs de protéases boostés par ritonavir, </w:t>
      </w:r>
      <w:proofErr w:type="spellStart"/>
      <w:r w:rsidRPr="00C15DED">
        <w:rPr>
          <w:rFonts w:ascii="Roboto" w:eastAsia="Times New Roman" w:hAnsi="Roboto" w:cs="Times New Roman"/>
          <w:color w:val="333333"/>
          <w:kern w:val="0"/>
          <w:sz w:val="19"/>
          <w:szCs w:val="19"/>
          <w:lang w:eastAsia="fr-FR"/>
          <w14:ligatures w14:val="none"/>
        </w:rPr>
        <w:t>isavuconazole</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lédipasvir</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lurasidone</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midostaurine</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ombitasvir</w:t>
      </w:r>
      <w:proofErr w:type="spellEnd"/>
      <w:r w:rsidRPr="00C15DED">
        <w:rPr>
          <w:rFonts w:ascii="Roboto" w:eastAsia="Times New Roman" w:hAnsi="Roboto" w:cs="Times New Roman"/>
          <w:color w:val="333333"/>
          <w:kern w:val="0"/>
          <w:sz w:val="19"/>
          <w:szCs w:val="19"/>
          <w:lang w:eastAsia="fr-FR"/>
          <w14:ligatures w14:val="none"/>
        </w:rPr>
        <w:t>/</w:t>
      </w:r>
      <w:proofErr w:type="spellStart"/>
      <w:r w:rsidRPr="00C15DED">
        <w:rPr>
          <w:rFonts w:ascii="Roboto" w:eastAsia="Times New Roman" w:hAnsi="Roboto" w:cs="Times New Roman"/>
          <w:color w:val="333333"/>
          <w:kern w:val="0"/>
          <w:sz w:val="19"/>
          <w:szCs w:val="19"/>
          <w:lang w:eastAsia="fr-FR"/>
          <w14:ligatures w14:val="none"/>
        </w:rPr>
        <w:t>paritaprévir</w:t>
      </w:r>
      <w:proofErr w:type="spellEnd"/>
      <w:r w:rsidRPr="00C15DED">
        <w:rPr>
          <w:rFonts w:ascii="Roboto" w:eastAsia="Times New Roman" w:hAnsi="Roboto" w:cs="Times New Roman"/>
          <w:color w:val="333333"/>
          <w:kern w:val="0"/>
          <w:sz w:val="19"/>
          <w:szCs w:val="19"/>
          <w:lang w:eastAsia="fr-FR"/>
          <w14:ligatures w14:val="none"/>
        </w:rPr>
        <w:t xml:space="preserve">, praziquantel, </w:t>
      </w:r>
      <w:proofErr w:type="spellStart"/>
      <w:r w:rsidRPr="00C15DED">
        <w:rPr>
          <w:rFonts w:ascii="Roboto" w:eastAsia="Times New Roman" w:hAnsi="Roboto" w:cs="Times New Roman"/>
          <w:color w:val="333333"/>
          <w:kern w:val="0"/>
          <w:sz w:val="19"/>
          <w:szCs w:val="19"/>
          <w:lang w:eastAsia="fr-FR"/>
          <w14:ligatures w14:val="none"/>
        </w:rPr>
        <w:t>rilpivirine</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sofosbuvir</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velpatasvir</w:t>
      </w:r>
      <w:proofErr w:type="spellEnd"/>
      <w:r w:rsidRPr="00C15DED">
        <w:rPr>
          <w:rFonts w:ascii="Roboto" w:eastAsia="Times New Roman" w:hAnsi="Roboto" w:cs="Times New Roman"/>
          <w:color w:val="333333"/>
          <w:kern w:val="0"/>
          <w:sz w:val="19"/>
          <w:szCs w:val="19"/>
          <w:lang w:eastAsia="fr-FR"/>
          <w14:ligatures w14:val="none"/>
        </w:rPr>
        <w:t xml:space="preserve">, voriconazole, </w:t>
      </w:r>
      <w:proofErr w:type="spellStart"/>
      <w:r w:rsidRPr="00C15DED">
        <w:rPr>
          <w:rFonts w:ascii="Roboto" w:eastAsia="Times New Roman" w:hAnsi="Roboto" w:cs="Times New Roman"/>
          <w:color w:val="333333"/>
          <w:kern w:val="0"/>
          <w:sz w:val="19"/>
          <w:szCs w:val="19"/>
          <w:lang w:eastAsia="fr-FR"/>
          <w14:ligatures w14:val="none"/>
        </w:rPr>
        <w:t>voxilaprévir</w:t>
      </w:r>
      <w:proofErr w:type="spellEnd"/>
      <w:r w:rsidRPr="00C15DED">
        <w:rPr>
          <w:rFonts w:ascii="Roboto" w:eastAsia="Times New Roman" w:hAnsi="Roboto" w:cs="Times New Roman"/>
          <w:color w:val="333333"/>
          <w:kern w:val="0"/>
          <w:sz w:val="19"/>
          <w:szCs w:val="19"/>
          <w:lang w:eastAsia="fr-FR"/>
          <w14:ligatures w14:val="none"/>
        </w:rPr>
        <w:t xml:space="preserve"> (voir rubrique </w:t>
      </w:r>
      <w:hyperlink r:id="rId6" w:anchor="interactions" w:history="1">
        <w:r w:rsidRPr="00C15DED">
          <w:rPr>
            <w:rFonts w:ascii="Roboto" w:eastAsia="Times New Roman" w:hAnsi="Roboto" w:cs="Times New Roman"/>
            <w:color w:val="843D93"/>
            <w:kern w:val="0"/>
            <w:sz w:val="18"/>
            <w:szCs w:val="18"/>
            <w:lang w:eastAsia="fr-FR"/>
            <w14:ligatures w14:val="none"/>
          </w:rPr>
          <w:t>Interactions</w:t>
        </w:r>
      </w:hyperlink>
      <w:r w:rsidRPr="00C15DED">
        <w:rPr>
          <w:rFonts w:ascii="Roboto" w:eastAsia="Times New Roman" w:hAnsi="Roboto" w:cs="Times New Roman"/>
          <w:color w:val="333333"/>
          <w:kern w:val="0"/>
          <w:sz w:val="19"/>
          <w:szCs w:val="19"/>
          <w:lang w:eastAsia="fr-FR"/>
          <w14:ligatures w14:val="none"/>
        </w:rPr>
        <w:t>).</w:t>
      </w:r>
    </w:p>
    <w:p w14:paraId="3155FC5C"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4ABF34F5"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5037"/>
      </w:tblGrid>
      <w:tr w:rsidR="00C15DED" w:rsidRPr="00C15DED" w14:paraId="3BB64F52" w14:textId="77777777" w:rsidTr="00C15DED">
        <w:tc>
          <w:tcPr>
            <w:tcW w:w="0" w:type="auto"/>
            <w:shd w:val="clear" w:color="auto" w:fill="CC3300"/>
            <w:tcMar>
              <w:top w:w="0" w:type="dxa"/>
              <w:left w:w="75" w:type="dxa"/>
              <w:bottom w:w="0" w:type="dxa"/>
              <w:right w:w="75" w:type="dxa"/>
            </w:tcMar>
            <w:vAlign w:val="center"/>
            <w:hideMark/>
          </w:tcPr>
          <w:p w14:paraId="245F652F" w14:textId="77777777" w:rsidR="00C15DED" w:rsidRPr="00C15DED" w:rsidRDefault="00C15DED" w:rsidP="00C15DED">
            <w:pPr>
              <w:spacing w:after="105" w:line="240" w:lineRule="auto"/>
              <w:rPr>
                <w:rFonts w:ascii="Roboto" w:eastAsia="Times New Roman" w:hAnsi="Roboto" w:cs="Times New Roman"/>
                <w:b/>
                <w:bCs/>
                <w:color w:val="FFFFFF"/>
                <w:kern w:val="0"/>
                <w:sz w:val="21"/>
                <w:szCs w:val="21"/>
                <w:lang w:eastAsia="fr-FR"/>
                <w14:ligatures w14:val="none"/>
              </w:rPr>
            </w:pPr>
            <w:r w:rsidRPr="00C15DED">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AB98F2B" w14:textId="77777777" w:rsidR="00C15DED" w:rsidRPr="00C15DED" w:rsidRDefault="00C15DED" w:rsidP="00C15DED">
            <w:pPr>
              <w:spacing w:after="105" w:line="240" w:lineRule="auto"/>
              <w:rPr>
                <w:rFonts w:ascii="Roboto" w:eastAsia="Times New Roman" w:hAnsi="Roboto" w:cs="Times New Roman"/>
                <w:kern w:val="0"/>
                <w:sz w:val="18"/>
                <w:szCs w:val="18"/>
                <w:lang w:eastAsia="fr-FR"/>
                <w14:ligatures w14:val="none"/>
              </w:rPr>
            </w:pPr>
            <w:r w:rsidRPr="00C15DED">
              <w:rPr>
                <w:rFonts w:ascii="Roboto" w:eastAsia="Times New Roman" w:hAnsi="Roboto" w:cs="Times New Roman"/>
                <w:b/>
                <w:bCs/>
                <w:caps/>
                <w:color w:val="C70036"/>
                <w:kern w:val="0"/>
                <w:lang w:eastAsia="fr-FR"/>
                <w14:ligatures w14:val="none"/>
              </w:rPr>
              <w:t>MISES EN GARDE et PRÉCAUTIONS D'EMPLOI</w:t>
            </w:r>
            <w:r w:rsidRPr="00C15DED">
              <w:rPr>
                <w:rFonts w:ascii="Roboto" w:eastAsia="Times New Roman" w:hAnsi="Roboto" w:cs="Times New Roman"/>
                <w:kern w:val="0"/>
                <w:sz w:val="18"/>
                <w:szCs w:val="18"/>
                <w:lang w:eastAsia="fr-FR"/>
                <w14:ligatures w14:val="none"/>
              </w:rPr>
              <w:t> </w:t>
            </w:r>
          </w:p>
        </w:tc>
      </w:tr>
    </w:tbl>
    <w:p w14:paraId="5C0DC97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Mises en garde</w:t>
      </w:r>
    </w:p>
    <w:p w14:paraId="17F5C6ED"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L'hépatotoxicité des 3 composants se cumule (voir paragraphe « Précautions d'emploi »).</w:t>
      </w:r>
    </w:p>
    <w:p w14:paraId="4ADD2187"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L'isoniazide peut provoquer des crises convulsives, en cas de surdosage (</w:t>
      </w:r>
      <w:proofErr w:type="spellStart"/>
      <w:r w:rsidRPr="00C15DED">
        <w:rPr>
          <w:rFonts w:ascii="Roboto" w:eastAsia="Times New Roman" w:hAnsi="Roboto" w:cs="Times New Roman"/>
          <w:color w:val="333333"/>
          <w:kern w:val="0"/>
          <w:sz w:val="19"/>
          <w:szCs w:val="19"/>
          <w:lang w:eastAsia="fr-FR"/>
          <w14:ligatures w14:val="none"/>
        </w:rPr>
        <w:t>acétyleurs</w:t>
      </w:r>
      <w:proofErr w:type="spellEnd"/>
      <w:r w:rsidRPr="00C15DED">
        <w:rPr>
          <w:rFonts w:ascii="Roboto" w:eastAsia="Times New Roman" w:hAnsi="Roboto" w:cs="Times New Roman"/>
          <w:color w:val="333333"/>
          <w:kern w:val="0"/>
          <w:sz w:val="19"/>
          <w:szCs w:val="19"/>
          <w:lang w:eastAsia="fr-FR"/>
          <w14:ligatures w14:val="none"/>
        </w:rPr>
        <w:t xml:space="preserve"> lents) ou sur terrain prédisposé. Une surveillance étroite et l'administration concomitante d'anticonvulsivants sont essentielles.</w:t>
      </w:r>
    </w:p>
    <w:p w14:paraId="205C110F"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L'isoniazide peut accroître les taux sanguins de phénytoïne et entraîner des signes toxiques avec nystagmus, ataxie, confusion. L'association est déconseillée ou impose de surveiller les taux sanguins de phénytoïne et d'adapter la posologie en conséquence.</w:t>
      </w:r>
    </w:p>
    <w:p w14:paraId="07073E33"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Des cas de syndrome cérébelleux (incluant ataxie cérébelleuse, dysdiadococinésie, troubles de la parole, troubles de l'équilibre, nystagmus, dysmétrie) ont été rapportés avec l'utilisation de l'isoniazide, principalement chez des patients atteints d'insuffisance rénale chronique (voir rubrique </w:t>
      </w:r>
      <w:hyperlink r:id="rId7" w:anchor="effets_indesirables" w:history="1">
        <w:r w:rsidRPr="00C15DED">
          <w:rPr>
            <w:rFonts w:ascii="Roboto" w:eastAsia="Times New Roman" w:hAnsi="Roboto" w:cs="Times New Roman"/>
            <w:color w:val="843D93"/>
            <w:kern w:val="0"/>
            <w:sz w:val="18"/>
            <w:szCs w:val="18"/>
            <w:lang w:eastAsia="fr-FR"/>
            <w14:ligatures w14:val="none"/>
          </w:rPr>
          <w:t>Effets indésirables</w:t>
        </w:r>
      </w:hyperlink>
      <w:r w:rsidRPr="00C15DED">
        <w:rPr>
          <w:rFonts w:ascii="Roboto" w:eastAsia="Times New Roman" w:hAnsi="Roboto" w:cs="Times New Roman"/>
          <w:color w:val="333333"/>
          <w:kern w:val="0"/>
          <w:sz w:val="19"/>
          <w:szCs w:val="19"/>
          <w:lang w:eastAsia="fr-FR"/>
          <w14:ligatures w14:val="none"/>
        </w:rPr>
        <w:t>). Une réversibilité des symptômes du syndrome cérébelleux a été observée après l'arrêt du traitement avec ou sans administration d'un traitement correcteur. Par conséquent, le professionnel de santé doit déterminer si une interruption et/ou une réduction de la dose d'isoniazide est nécessaire.</w:t>
      </w:r>
    </w:p>
    <w:p w14:paraId="3BE9E486"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Des hépatites sévères et parfois fatales peuvent survenir lors de traitement par isoniazide et ce même après plusieurs mois de traitement. Le risque de développer une hépatite est lié à l'âge.</w:t>
      </w:r>
    </w:p>
    <w:p w14:paraId="16F0B2C9"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 traitement doit être arrêté immédiatement si des signes et des symptômes d'atteintes hépatiques apparaissent tels que : fatigue, faiblesse, malaises, anorexie, nausées ou vomissements. La poursuite du traitement peut provoquer des atteintes hépatiques sévères. Une surveillance étroite doit être mise en place lors de l'administration d'isoniazide chez les patients ayant une maladie hépatique chronique ou souffrants d'une insuffisance rénale sévère.</w:t>
      </w:r>
    </w:p>
    <w:p w14:paraId="2B079526"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Voir rubrique </w:t>
      </w:r>
      <w:hyperlink r:id="rId8"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 « Précautions d'emploi », paragraphe « 1) Fonctions hépatiques perturbées et/ou facteur de risque hépatique ».</w:t>
      </w:r>
    </w:p>
    <w:p w14:paraId="5CF19B42"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Des cas de cholestases modérées à sévères ont été rapportés sous traitement avec de la rifampicine. Les patients doivent être informés de contacter immédiatement leur médecin s'ils ressentent des symptômes tels que des démangeaisons, une perte d'appétit, des nausées, des vomissements, une douleur abdominale, une coloration jaune des yeux ou de la peau ou des urines foncées. Si une cholestase est confirmée, ce médicament doit être interrompu.</w:t>
      </w:r>
    </w:p>
    <w:p w14:paraId="3BDE259E"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Réactions bulleuses graves : des cas de réactions bulleuses graves, telles que le syndrome de Stevens-Johnson (SJS), le syndrome de Lyell (nécrolyse épidermique toxique ou NET) parfois fatals ont été rapportés lors de l'utilisation de ce médicament (voir rubrique </w:t>
      </w:r>
      <w:hyperlink r:id="rId9" w:anchor="effets_indesirables" w:history="1">
        <w:r w:rsidRPr="00C15DED">
          <w:rPr>
            <w:rFonts w:ascii="Roboto" w:eastAsia="Times New Roman" w:hAnsi="Roboto" w:cs="Times New Roman"/>
            <w:color w:val="843D93"/>
            <w:kern w:val="0"/>
            <w:sz w:val="18"/>
            <w:szCs w:val="18"/>
            <w:lang w:eastAsia="fr-FR"/>
            <w14:ligatures w14:val="none"/>
          </w:rPr>
          <w:t>Effets indésirables</w:t>
        </w:r>
      </w:hyperlink>
      <w:r w:rsidRPr="00C15DED">
        <w:rPr>
          <w:rFonts w:ascii="Roboto" w:eastAsia="Times New Roman" w:hAnsi="Roboto" w:cs="Times New Roman"/>
          <w:color w:val="333333"/>
          <w:kern w:val="0"/>
          <w:sz w:val="19"/>
          <w:szCs w:val="19"/>
          <w:lang w:eastAsia="fr-FR"/>
          <w14:ligatures w14:val="none"/>
        </w:rPr>
        <w:t>). Les patients doivent être avertis des signes et symptômes des réactions cutanées et doivent être surveillés étroitement. Si des signes ou symptômes de SJS ou de NET (éruption cutanée progressive souvent accompagnée de bulles et de lésions des muqueuses) se développent, il convient d'indiquer au patient de consulter immédiatement son médecin. Le traitement par ce médicament doit être arrêté définitivement en l'absence d'une étiologie identifiée.</w:t>
      </w:r>
    </w:p>
    <w:p w14:paraId="5455F4CA"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En cours de traitement, l'émergence de mutants résistants, en particulier de staphylocoques, est possible. En conséquence, une telle acquisition de résistance devra être recherchée lors d'un échec thérapeutique afin, le cas échéant, de modifier l'antibiothérapie.</w:t>
      </w:r>
    </w:p>
    <w:p w14:paraId="009CD3C9"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Des cas de réactions d'hypersensibilité systémique sévères, incluant des cas fatals tels que des syndromes d'hypersensibilité médicamenteuse avec hyperéosinophilie et symptômes systémiques (syndrome DRESS « Drug Rash </w:t>
      </w:r>
      <w:proofErr w:type="spellStart"/>
      <w:r w:rsidRPr="00C15DED">
        <w:rPr>
          <w:rFonts w:ascii="Roboto" w:eastAsia="Times New Roman" w:hAnsi="Roboto" w:cs="Times New Roman"/>
          <w:color w:val="333333"/>
          <w:kern w:val="0"/>
          <w:sz w:val="19"/>
          <w:szCs w:val="19"/>
          <w:lang w:eastAsia="fr-FR"/>
          <w14:ligatures w14:val="none"/>
        </w:rPr>
        <w:t>with</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Eosinophilia</w:t>
      </w:r>
      <w:proofErr w:type="spellEnd"/>
      <w:r w:rsidRPr="00C15DED">
        <w:rPr>
          <w:rFonts w:ascii="Roboto" w:eastAsia="Times New Roman" w:hAnsi="Roboto" w:cs="Times New Roman"/>
          <w:color w:val="333333"/>
          <w:kern w:val="0"/>
          <w:sz w:val="19"/>
          <w:szCs w:val="19"/>
          <w:lang w:eastAsia="fr-FR"/>
          <w14:ligatures w14:val="none"/>
        </w:rPr>
        <w:t xml:space="preserve"> and </w:t>
      </w:r>
      <w:proofErr w:type="spellStart"/>
      <w:r w:rsidRPr="00C15DED">
        <w:rPr>
          <w:rFonts w:ascii="Roboto" w:eastAsia="Times New Roman" w:hAnsi="Roboto" w:cs="Times New Roman"/>
          <w:color w:val="333333"/>
          <w:kern w:val="0"/>
          <w:sz w:val="19"/>
          <w:szCs w:val="19"/>
          <w:lang w:eastAsia="fr-FR"/>
          <w14:ligatures w14:val="none"/>
        </w:rPr>
        <w:t>Systemic</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Symptoms</w:t>
      </w:r>
      <w:proofErr w:type="spellEnd"/>
      <w:r w:rsidRPr="00C15DED">
        <w:rPr>
          <w:rFonts w:ascii="Roboto" w:eastAsia="Times New Roman" w:hAnsi="Roboto" w:cs="Times New Roman"/>
          <w:color w:val="333333"/>
          <w:kern w:val="0"/>
          <w:sz w:val="19"/>
          <w:szCs w:val="19"/>
          <w:lang w:eastAsia="fr-FR"/>
          <w14:ligatures w14:val="none"/>
        </w:rPr>
        <w:t> »), ont été observés sous traitement antituberculeux (voir rubrique </w:t>
      </w:r>
      <w:hyperlink r:id="rId10" w:anchor="effets_indesirables" w:history="1">
        <w:r w:rsidRPr="00C15DED">
          <w:rPr>
            <w:rFonts w:ascii="Roboto" w:eastAsia="Times New Roman" w:hAnsi="Roboto" w:cs="Times New Roman"/>
            <w:color w:val="843D93"/>
            <w:kern w:val="0"/>
            <w:sz w:val="18"/>
            <w:szCs w:val="18"/>
            <w:lang w:eastAsia="fr-FR"/>
            <w14:ligatures w14:val="none"/>
          </w:rPr>
          <w:t>Effets indésirables</w:t>
        </w:r>
      </w:hyperlink>
      <w:r w:rsidRPr="00C15DED">
        <w:rPr>
          <w:rFonts w:ascii="Roboto" w:eastAsia="Times New Roman" w:hAnsi="Roboto" w:cs="Times New Roman"/>
          <w:color w:val="333333"/>
          <w:kern w:val="0"/>
          <w:sz w:val="19"/>
          <w:szCs w:val="19"/>
          <w:lang w:eastAsia="fr-FR"/>
          <w14:ligatures w14:val="none"/>
        </w:rPr>
        <w:t>).</w:t>
      </w:r>
    </w:p>
    <w:p w14:paraId="1B7576CD" w14:textId="77777777" w:rsidR="00C15DED" w:rsidRPr="00C15DED" w:rsidRDefault="00C15DED" w:rsidP="00C15DED">
      <w:pPr>
        <w:numPr>
          <w:ilvl w:val="0"/>
          <w:numId w:val="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Il est important de noter que des symptômes précoces des manifestations d'hypersensibilité, comme la fièvre, une </w:t>
      </w:r>
      <w:proofErr w:type="spellStart"/>
      <w:r w:rsidRPr="00C15DED">
        <w:rPr>
          <w:rFonts w:ascii="Roboto" w:eastAsia="Times New Roman" w:hAnsi="Roboto" w:cs="Times New Roman"/>
          <w:color w:val="333333"/>
          <w:kern w:val="0"/>
          <w:sz w:val="19"/>
          <w:szCs w:val="19"/>
          <w:lang w:eastAsia="fr-FR"/>
          <w14:ligatures w14:val="none"/>
        </w:rPr>
        <w:t>lymphadénopathie</w:t>
      </w:r>
      <w:proofErr w:type="spellEnd"/>
      <w:r w:rsidRPr="00C15DED">
        <w:rPr>
          <w:rFonts w:ascii="Roboto" w:eastAsia="Times New Roman" w:hAnsi="Roboto" w:cs="Times New Roman"/>
          <w:color w:val="333333"/>
          <w:kern w:val="0"/>
          <w:sz w:val="19"/>
          <w:szCs w:val="19"/>
          <w:lang w:eastAsia="fr-FR"/>
          <w14:ligatures w14:val="none"/>
        </w:rPr>
        <w:t xml:space="preserve"> ou des anomalies biologiques (incluant une hyperéosinophilie, des anomalies hépatiques), peuvent survenir, bien que l'éruption ne soit pas évidente.</w:t>
      </w:r>
    </w:p>
    <w:p w14:paraId="045B537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Si de tels signes ou symptômes surviennent, il convient d'indiquer au patient de consulter immédiatement son médecin.</w:t>
      </w:r>
    </w:p>
    <w:p w14:paraId="3E9DDC07" w14:textId="77777777" w:rsidR="00C15DED" w:rsidRPr="00C15DED" w:rsidRDefault="00C15DED" w:rsidP="00C15DED">
      <w:pPr>
        <w:numPr>
          <w:ilvl w:val="0"/>
          <w:numId w:val="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 traitement par RIFATER, comprimé enrobé doit être interrompu si la raison de la survenue des signes et des symptômes ne peut être établie.</w:t>
      </w:r>
    </w:p>
    <w:p w14:paraId="490EC7E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Ce médicament ne doit généralement pas être utilisé :</w:t>
      </w:r>
    </w:p>
    <w:p w14:paraId="5718CD47" w14:textId="77777777" w:rsidR="00C15DED" w:rsidRPr="00C15DED" w:rsidRDefault="00C15DED" w:rsidP="00C15DED">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en association avec l'</w:t>
      </w:r>
      <w:proofErr w:type="spellStart"/>
      <w:r w:rsidRPr="00C15DED">
        <w:rPr>
          <w:rFonts w:ascii="Roboto" w:eastAsia="Times New Roman" w:hAnsi="Roboto" w:cs="Times New Roman"/>
          <w:color w:val="333333"/>
          <w:kern w:val="0"/>
          <w:sz w:val="19"/>
          <w:szCs w:val="19"/>
          <w:lang w:eastAsia="fr-FR"/>
          <w14:ligatures w14:val="none"/>
        </w:rPr>
        <w:t>abiratérone</w:t>
      </w:r>
      <w:proofErr w:type="spellEnd"/>
      <w:r w:rsidRPr="00C15DED">
        <w:rPr>
          <w:rFonts w:ascii="Roboto" w:eastAsia="Times New Roman" w:hAnsi="Roboto" w:cs="Times New Roman"/>
          <w:color w:val="333333"/>
          <w:kern w:val="0"/>
          <w:sz w:val="19"/>
          <w:szCs w:val="19"/>
          <w:lang w:eastAsia="fr-FR"/>
          <w14:ligatures w14:val="none"/>
        </w:rPr>
        <w:t>, l'</w:t>
      </w:r>
      <w:proofErr w:type="spellStart"/>
      <w:r w:rsidRPr="00C15DED">
        <w:rPr>
          <w:rFonts w:ascii="Roboto" w:eastAsia="Times New Roman" w:hAnsi="Roboto" w:cs="Times New Roman"/>
          <w:color w:val="333333"/>
          <w:kern w:val="0"/>
          <w:sz w:val="19"/>
          <w:szCs w:val="19"/>
          <w:lang w:eastAsia="fr-FR"/>
          <w14:ligatures w14:val="none"/>
        </w:rPr>
        <w:t>apixaban</w:t>
      </w:r>
      <w:proofErr w:type="spellEnd"/>
      <w:r w:rsidRPr="00C15DED">
        <w:rPr>
          <w:rFonts w:ascii="Roboto" w:eastAsia="Times New Roman" w:hAnsi="Roboto" w:cs="Times New Roman"/>
          <w:color w:val="333333"/>
          <w:kern w:val="0"/>
          <w:sz w:val="19"/>
          <w:szCs w:val="19"/>
          <w:lang w:eastAsia="fr-FR"/>
          <w14:ligatures w14:val="none"/>
        </w:rPr>
        <w:t>, l'</w:t>
      </w:r>
      <w:proofErr w:type="spellStart"/>
      <w:r w:rsidRPr="00C15DED">
        <w:rPr>
          <w:rFonts w:ascii="Roboto" w:eastAsia="Times New Roman" w:hAnsi="Roboto" w:cs="Times New Roman"/>
          <w:color w:val="333333"/>
          <w:kern w:val="0"/>
          <w:sz w:val="19"/>
          <w:szCs w:val="19"/>
          <w:lang w:eastAsia="fr-FR"/>
          <w14:ligatures w14:val="none"/>
        </w:rPr>
        <w:t>atovaquone</w:t>
      </w:r>
      <w:proofErr w:type="spellEnd"/>
      <w:r w:rsidRPr="00C15DED">
        <w:rPr>
          <w:rFonts w:ascii="Roboto" w:eastAsia="Times New Roman" w:hAnsi="Roboto" w:cs="Times New Roman"/>
          <w:color w:val="333333"/>
          <w:kern w:val="0"/>
          <w:sz w:val="19"/>
          <w:szCs w:val="19"/>
          <w:lang w:eastAsia="fr-FR"/>
          <w14:ligatures w14:val="none"/>
        </w:rPr>
        <w:t xml:space="preserve">, le </w:t>
      </w:r>
      <w:proofErr w:type="spellStart"/>
      <w:r w:rsidRPr="00C15DED">
        <w:rPr>
          <w:rFonts w:ascii="Roboto" w:eastAsia="Times New Roman" w:hAnsi="Roboto" w:cs="Times New Roman"/>
          <w:color w:val="333333"/>
          <w:kern w:val="0"/>
          <w:sz w:val="19"/>
          <w:szCs w:val="19"/>
          <w:lang w:eastAsia="fr-FR"/>
          <w14:ligatures w14:val="none"/>
        </w:rPr>
        <w:t>rivaroxaban</w:t>
      </w:r>
      <w:proofErr w:type="spellEnd"/>
      <w:r w:rsidRPr="00C15DED">
        <w:rPr>
          <w:rFonts w:ascii="Roboto" w:eastAsia="Times New Roman" w:hAnsi="Roboto" w:cs="Times New Roman"/>
          <w:color w:val="333333"/>
          <w:kern w:val="0"/>
          <w:sz w:val="19"/>
          <w:szCs w:val="19"/>
          <w:lang w:eastAsia="fr-FR"/>
          <w14:ligatures w14:val="none"/>
        </w:rPr>
        <w:t>, l'</w:t>
      </w:r>
      <w:proofErr w:type="spellStart"/>
      <w:r w:rsidRPr="00C15DED">
        <w:rPr>
          <w:rFonts w:ascii="Roboto" w:eastAsia="Times New Roman" w:hAnsi="Roboto" w:cs="Times New Roman"/>
          <w:color w:val="333333"/>
          <w:kern w:val="0"/>
          <w:sz w:val="19"/>
          <w:szCs w:val="19"/>
          <w:lang w:eastAsia="fr-FR"/>
          <w14:ligatures w14:val="none"/>
        </w:rPr>
        <w:t>aprémilast</w:t>
      </w:r>
      <w:proofErr w:type="spellEnd"/>
      <w:r w:rsidRPr="00C15DED">
        <w:rPr>
          <w:rFonts w:ascii="Roboto" w:eastAsia="Times New Roman" w:hAnsi="Roboto" w:cs="Times New Roman"/>
          <w:color w:val="333333"/>
          <w:kern w:val="0"/>
          <w:sz w:val="19"/>
          <w:szCs w:val="19"/>
          <w:lang w:eastAsia="fr-FR"/>
          <w14:ligatures w14:val="none"/>
        </w:rPr>
        <w:t>, l'</w:t>
      </w:r>
      <w:proofErr w:type="spellStart"/>
      <w:r w:rsidRPr="00C15DED">
        <w:rPr>
          <w:rFonts w:ascii="Roboto" w:eastAsia="Times New Roman" w:hAnsi="Roboto" w:cs="Times New Roman"/>
          <w:color w:val="333333"/>
          <w:kern w:val="0"/>
          <w:sz w:val="19"/>
          <w:szCs w:val="19"/>
          <w:lang w:eastAsia="fr-FR"/>
          <w14:ligatures w14:val="none"/>
        </w:rPr>
        <w:t>aprépitant</w:t>
      </w:r>
      <w:proofErr w:type="spellEnd"/>
      <w:r w:rsidRPr="00C15DED">
        <w:rPr>
          <w:rFonts w:ascii="Roboto" w:eastAsia="Times New Roman" w:hAnsi="Roboto" w:cs="Times New Roman"/>
          <w:color w:val="333333"/>
          <w:kern w:val="0"/>
          <w:sz w:val="19"/>
          <w:szCs w:val="19"/>
          <w:lang w:eastAsia="fr-FR"/>
          <w14:ligatures w14:val="none"/>
        </w:rPr>
        <w:t xml:space="preserve">, l'atorvastatine, la </w:t>
      </w:r>
      <w:proofErr w:type="spellStart"/>
      <w:r w:rsidRPr="00C15DED">
        <w:rPr>
          <w:rFonts w:ascii="Roboto" w:eastAsia="Times New Roman" w:hAnsi="Roboto" w:cs="Times New Roman"/>
          <w:color w:val="333333"/>
          <w:kern w:val="0"/>
          <w:sz w:val="19"/>
          <w:szCs w:val="19"/>
          <w:lang w:eastAsia="fr-FR"/>
          <w14:ligatures w14:val="none"/>
        </w:rPr>
        <w:t>bédaquiline</w:t>
      </w:r>
      <w:proofErr w:type="spellEnd"/>
      <w:r w:rsidRPr="00C15DED">
        <w:rPr>
          <w:rFonts w:ascii="Roboto" w:eastAsia="Times New Roman" w:hAnsi="Roboto" w:cs="Times New Roman"/>
          <w:color w:val="333333"/>
          <w:kern w:val="0"/>
          <w:sz w:val="19"/>
          <w:szCs w:val="19"/>
          <w:lang w:eastAsia="fr-FR"/>
          <w14:ligatures w14:val="none"/>
        </w:rPr>
        <w:t xml:space="preserve">, le </w:t>
      </w:r>
      <w:proofErr w:type="spellStart"/>
      <w:r w:rsidRPr="00C15DED">
        <w:rPr>
          <w:rFonts w:ascii="Roboto" w:eastAsia="Times New Roman" w:hAnsi="Roboto" w:cs="Times New Roman"/>
          <w:color w:val="333333"/>
          <w:kern w:val="0"/>
          <w:sz w:val="19"/>
          <w:szCs w:val="19"/>
          <w:lang w:eastAsia="fr-FR"/>
          <w14:ligatures w14:val="none"/>
        </w:rPr>
        <w:t>bosentan</w:t>
      </w:r>
      <w:proofErr w:type="spellEnd"/>
      <w:r w:rsidRPr="00C15DED">
        <w:rPr>
          <w:rFonts w:ascii="Roboto" w:eastAsia="Times New Roman" w:hAnsi="Roboto" w:cs="Times New Roman"/>
          <w:color w:val="333333"/>
          <w:kern w:val="0"/>
          <w:sz w:val="19"/>
          <w:szCs w:val="19"/>
          <w:lang w:eastAsia="fr-FR"/>
          <w14:ligatures w14:val="none"/>
        </w:rPr>
        <w:t>, certains médicaments utilisés pour fluidifier le sang tels que le clopidogrel (pour les antivitamines K, voir rubrique </w:t>
      </w:r>
      <w:hyperlink r:id="rId11" w:anchor="interactions" w:history="1">
        <w:r w:rsidRPr="00C15DED">
          <w:rPr>
            <w:rFonts w:ascii="Roboto" w:eastAsia="Times New Roman" w:hAnsi="Roboto" w:cs="Times New Roman"/>
            <w:color w:val="843D93"/>
            <w:kern w:val="0"/>
            <w:sz w:val="18"/>
            <w:szCs w:val="18"/>
            <w:lang w:eastAsia="fr-FR"/>
            <w14:ligatures w14:val="none"/>
          </w:rPr>
          <w:t>Interactions</w:t>
        </w:r>
      </w:hyperlink>
      <w:r w:rsidRPr="00C15DED">
        <w:rPr>
          <w:rFonts w:ascii="Roboto" w:eastAsia="Times New Roman" w:hAnsi="Roboto" w:cs="Times New Roman"/>
          <w:color w:val="333333"/>
          <w:kern w:val="0"/>
          <w:sz w:val="19"/>
          <w:szCs w:val="19"/>
          <w:lang w:eastAsia="fr-FR"/>
          <w14:ligatures w14:val="none"/>
        </w:rPr>
        <w:t xml:space="preserve">, paragraphe « Associations faisant l'objet de précautions d'emploi »), la carbamazépine, le cyclophosphamide, la cyprotérone, le dabigatran, le disulfirame, le </w:t>
      </w:r>
      <w:proofErr w:type="spellStart"/>
      <w:r w:rsidRPr="00C15DED">
        <w:rPr>
          <w:rFonts w:ascii="Roboto" w:eastAsia="Times New Roman" w:hAnsi="Roboto" w:cs="Times New Roman"/>
          <w:color w:val="333333"/>
          <w:kern w:val="0"/>
          <w:sz w:val="19"/>
          <w:szCs w:val="19"/>
          <w:lang w:eastAsia="fr-FR"/>
          <w14:ligatures w14:val="none"/>
        </w:rPr>
        <w:t>docétaxel</w:t>
      </w:r>
      <w:proofErr w:type="spellEnd"/>
      <w:r w:rsidRPr="00C15DED">
        <w:rPr>
          <w:rFonts w:ascii="Roboto" w:eastAsia="Times New Roman" w:hAnsi="Roboto" w:cs="Times New Roman"/>
          <w:color w:val="333333"/>
          <w:kern w:val="0"/>
          <w:sz w:val="19"/>
          <w:szCs w:val="19"/>
          <w:lang w:eastAsia="fr-FR"/>
          <w14:ligatures w14:val="none"/>
        </w:rPr>
        <w:t xml:space="preserve">, le </w:t>
      </w:r>
      <w:proofErr w:type="spellStart"/>
      <w:r w:rsidRPr="00C15DED">
        <w:rPr>
          <w:rFonts w:ascii="Roboto" w:eastAsia="Times New Roman" w:hAnsi="Roboto" w:cs="Times New Roman"/>
          <w:color w:val="333333"/>
          <w:kern w:val="0"/>
          <w:sz w:val="19"/>
          <w:szCs w:val="19"/>
          <w:lang w:eastAsia="fr-FR"/>
          <w14:ligatures w14:val="none"/>
        </w:rPr>
        <w:t>dolutégravir</w:t>
      </w:r>
      <w:proofErr w:type="spellEnd"/>
      <w:r w:rsidRPr="00C15DED">
        <w:rPr>
          <w:rFonts w:ascii="Roboto" w:eastAsia="Times New Roman" w:hAnsi="Roboto" w:cs="Times New Roman"/>
          <w:color w:val="333333"/>
          <w:kern w:val="0"/>
          <w:sz w:val="19"/>
          <w:szCs w:val="19"/>
          <w:lang w:eastAsia="fr-FR"/>
          <w14:ligatures w14:val="none"/>
        </w:rPr>
        <w:t xml:space="preserve"> (uniquement en cas de résistance aux inhibiteurs d'intégrase), la </w:t>
      </w:r>
      <w:proofErr w:type="spellStart"/>
      <w:r w:rsidRPr="00C15DED">
        <w:rPr>
          <w:rFonts w:ascii="Roboto" w:eastAsia="Times New Roman" w:hAnsi="Roboto" w:cs="Times New Roman"/>
          <w:color w:val="333333"/>
          <w:kern w:val="0"/>
          <w:sz w:val="19"/>
          <w:szCs w:val="19"/>
          <w:lang w:eastAsia="fr-FR"/>
          <w14:ligatures w14:val="none"/>
        </w:rPr>
        <w:t>dronédarone</w:t>
      </w:r>
      <w:proofErr w:type="spellEnd"/>
      <w:r w:rsidRPr="00C15DED">
        <w:rPr>
          <w:rFonts w:ascii="Roboto" w:eastAsia="Times New Roman" w:hAnsi="Roboto" w:cs="Times New Roman"/>
          <w:color w:val="333333"/>
          <w:kern w:val="0"/>
          <w:sz w:val="19"/>
          <w:szCs w:val="19"/>
          <w:lang w:eastAsia="fr-FR"/>
          <w14:ligatures w14:val="none"/>
        </w:rPr>
        <w:t>, l'</w:t>
      </w:r>
      <w:proofErr w:type="spellStart"/>
      <w:r w:rsidRPr="00C15DED">
        <w:rPr>
          <w:rFonts w:ascii="Roboto" w:eastAsia="Times New Roman" w:hAnsi="Roboto" w:cs="Times New Roman"/>
          <w:color w:val="333333"/>
          <w:kern w:val="0"/>
          <w:sz w:val="19"/>
          <w:szCs w:val="19"/>
          <w:lang w:eastAsia="fr-FR"/>
          <w14:ligatures w14:val="none"/>
        </w:rPr>
        <w:t>étoposide</w:t>
      </w:r>
      <w:proofErr w:type="spellEnd"/>
      <w:r w:rsidRPr="00C15DED">
        <w:rPr>
          <w:rFonts w:ascii="Roboto" w:eastAsia="Times New Roman" w:hAnsi="Roboto" w:cs="Times New Roman"/>
          <w:color w:val="333333"/>
          <w:kern w:val="0"/>
          <w:sz w:val="19"/>
          <w:szCs w:val="19"/>
          <w:lang w:eastAsia="fr-FR"/>
          <w14:ligatures w14:val="none"/>
        </w:rPr>
        <w:t xml:space="preserve">, le fentanyl, le </w:t>
      </w:r>
      <w:proofErr w:type="spellStart"/>
      <w:r w:rsidRPr="00C15DED">
        <w:rPr>
          <w:rFonts w:ascii="Roboto" w:eastAsia="Times New Roman" w:hAnsi="Roboto" w:cs="Times New Roman"/>
          <w:color w:val="333333"/>
          <w:kern w:val="0"/>
          <w:sz w:val="19"/>
          <w:szCs w:val="19"/>
          <w:lang w:eastAsia="fr-FR"/>
          <w14:ligatures w14:val="none"/>
        </w:rPr>
        <w:t>fluconazole</w:t>
      </w:r>
      <w:proofErr w:type="spellEnd"/>
      <w:r w:rsidRPr="00C15DED">
        <w:rPr>
          <w:rFonts w:ascii="Roboto" w:eastAsia="Times New Roman" w:hAnsi="Roboto" w:cs="Times New Roman"/>
          <w:color w:val="333333"/>
          <w:kern w:val="0"/>
          <w:sz w:val="19"/>
          <w:szCs w:val="19"/>
          <w:lang w:eastAsia="fr-FR"/>
          <w14:ligatures w14:val="none"/>
        </w:rPr>
        <w:t>, l'</w:t>
      </w:r>
      <w:proofErr w:type="spellStart"/>
      <w:r w:rsidRPr="00C15DED">
        <w:rPr>
          <w:rFonts w:ascii="Roboto" w:eastAsia="Times New Roman" w:hAnsi="Roboto" w:cs="Times New Roman"/>
          <w:color w:val="333333"/>
          <w:kern w:val="0"/>
          <w:sz w:val="19"/>
          <w:szCs w:val="19"/>
          <w:lang w:eastAsia="fr-FR"/>
          <w14:ligatures w14:val="none"/>
        </w:rPr>
        <w:t>idélalisib</w:t>
      </w:r>
      <w:proofErr w:type="spellEnd"/>
      <w:r w:rsidRPr="00C15DED">
        <w:rPr>
          <w:rFonts w:ascii="Roboto" w:eastAsia="Times New Roman" w:hAnsi="Roboto" w:cs="Times New Roman"/>
          <w:color w:val="333333"/>
          <w:kern w:val="0"/>
          <w:sz w:val="19"/>
          <w:szCs w:val="19"/>
          <w:lang w:eastAsia="fr-FR"/>
          <w14:ligatures w14:val="none"/>
        </w:rPr>
        <w:t xml:space="preserve">, le </w:t>
      </w:r>
      <w:proofErr w:type="spellStart"/>
      <w:r w:rsidRPr="00C15DED">
        <w:rPr>
          <w:rFonts w:ascii="Roboto" w:eastAsia="Times New Roman" w:hAnsi="Roboto" w:cs="Times New Roman"/>
          <w:color w:val="333333"/>
          <w:kern w:val="0"/>
          <w:sz w:val="19"/>
          <w:szCs w:val="19"/>
          <w:lang w:eastAsia="fr-FR"/>
          <w14:ligatures w14:val="none"/>
        </w:rPr>
        <w:t>dutastéride</w:t>
      </w:r>
      <w:proofErr w:type="spellEnd"/>
      <w:r w:rsidRPr="00C15DED">
        <w:rPr>
          <w:rFonts w:ascii="Roboto" w:eastAsia="Times New Roman" w:hAnsi="Roboto" w:cs="Times New Roman"/>
          <w:color w:val="333333"/>
          <w:kern w:val="0"/>
          <w:sz w:val="19"/>
          <w:szCs w:val="19"/>
          <w:lang w:eastAsia="fr-FR"/>
          <w14:ligatures w14:val="none"/>
        </w:rPr>
        <w:t>, le finastéride, les inhibiteurs des tyrosine kinases métabolisés, l'</w:t>
      </w:r>
      <w:proofErr w:type="spellStart"/>
      <w:r w:rsidRPr="00C15DED">
        <w:rPr>
          <w:rFonts w:ascii="Roboto" w:eastAsia="Times New Roman" w:hAnsi="Roboto" w:cs="Times New Roman"/>
          <w:color w:val="333333"/>
          <w:kern w:val="0"/>
          <w:sz w:val="19"/>
          <w:szCs w:val="19"/>
          <w:lang w:eastAsia="fr-FR"/>
          <w14:ligatures w14:val="none"/>
        </w:rPr>
        <w:t>irinotécan</w:t>
      </w:r>
      <w:proofErr w:type="spellEnd"/>
      <w:r w:rsidRPr="00C15DED">
        <w:rPr>
          <w:rFonts w:ascii="Roboto" w:eastAsia="Times New Roman" w:hAnsi="Roboto" w:cs="Times New Roman"/>
          <w:color w:val="333333"/>
          <w:kern w:val="0"/>
          <w:sz w:val="19"/>
          <w:szCs w:val="19"/>
          <w:lang w:eastAsia="fr-FR"/>
          <w14:ligatures w14:val="none"/>
        </w:rPr>
        <w:t>, l'</w:t>
      </w:r>
      <w:proofErr w:type="spellStart"/>
      <w:r w:rsidRPr="00C15DED">
        <w:rPr>
          <w:rFonts w:ascii="Roboto" w:eastAsia="Times New Roman" w:hAnsi="Roboto" w:cs="Times New Roman"/>
          <w:color w:val="333333"/>
          <w:kern w:val="0"/>
          <w:sz w:val="19"/>
          <w:szCs w:val="19"/>
          <w:lang w:eastAsia="fr-FR"/>
          <w14:ligatures w14:val="none"/>
        </w:rPr>
        <w:t>itraconazole</w:t>
      </w:r>
      <w:proofErr w:type="spellEnd"/>
      <w:r w:rsidRPr="00C15DED">
        <w:rPr>
          <w:rFonts w:ascii="Roboto" w:eastAsia="Times New Roman" w:hAnsi="Roboto" w:cs="Times New Roman"/>
          <w:color w:val="333333"/>
          <w:kern w:val="0"/>
          <w:sz w:val="19"/>
          <w:szCs w:val="19"/>
          <w:lang w:eastAsia="fr-FR"/>
          <w14:ligatures w14:val="none"/>
        </w:rPr>
        <w:t>, l'</w:t>
      </w:r>
      <w:proofErr w:type="spellStart"/>
      <w:r w:rsidRPr="00C15DED">
        <w:rPr>
          <w:rFonts w:ascii="Roboto" w:eastAsia="Times New Roman" w:hAnsi="Roboto" w:cs="Times New Roman"/>
          <w:color w:val="333333"/>
          <w:kern w:val="0"/>
          <w:sz w:val="19"/>
          <w:szCs w:val="19"/>
          <w:lang w:eastAsia="fr-FR"/>
          <w14:ligatures w14:val="none"/>
        </w:rPr>
        <w:t>ivacaftor</w:t>
      </w:r>
      <w:proofErr w:type="spellEnd"/>
      <w:r w:rsidRPr="00C15DED">
        <w:rPr>
          <w:rFonts w:ascii="Roboto" w:eastAsia="Times New Roman" w:hAnsi="Roboto" w:cs="Times New Roman"/>
          <w:color w:val="333333"/>
          <w:kern w:val="0"/>
          <w:sz w:val="19"/>
          <w:szCs w:val="19"/>
          <w:lang w:eastAsia="fr-FR"/>
          <w14:ligatures w14:val="none"/>
        </w:rPr>
        <w:t xml:space="preserve">, le </w:t>
      </w:r>
      <w:proofErr w:type="spellStart"/>
      <w:r w:rsidRPr="00C15DED">
        <w:rPr>
          <w:rFonts w:ascii="Roboto" w:eastAsia="Times New Roman" w:hAnsi="Roboto" w:cs="Times New Roman"/>
          <w:color w:val="333333"/>
          <w:kern w:val="0"/>
          <w:sz w:val="19"/>
          <w:szCs w:val="19"/>
          <w:lang w:eastAsia="fr-FR"/>
          <w14:ligatures w14:val="none"/>
        </w:rPr>
        <w:t>kétoconazole</w:t>
      </w:r>
      <w:proofErr w:type="spellEnd"/>
      <w:r w:rsidRPr="00C15DED">
        <w:rPr>
          <w:rFonts w:ascii="Roboto" w:eastAsia="Times New Roman" w:hAnsi="Roboto" w:cs="Times New Roman"/>
          <w:color w:val="333333"/>
          <w:kern w:val="0"/>
          <w:sz w:val="19"/>
          <w:szCs w:val="19"/>
          <w:lang w:eastAsia="fr-FR"/>
          <w14:ligatures w14:val="none"/>
        </w:rPr>
        <w:t xml:space="preserve">, le </w:t>
      </w:r>
      <w:proofErr w:type="spellStart"/>
      <w:r w:rsidRPr="00C15DED">
        <w:rPr>
          <w:rFonts w:ascii="Roboto" w:eastAsia="Times New Roman" w:hAnsi="Roboto" w:cs="Times New Roman"/>
          <w:color w:val="333333"/>
          <w:kern w:val="0"/>
          <w:sz w:val="19"/>
          <w:szCs w:val="19"/>
          <w:lang w:eastAsia="fr-FR"/>
          <w14:ligatures w14:val="none"/>
        </w:rPr>
        <w:t>macitentan</w:t>
      </w:r>
      <w:proofErr w:type="spellEnd"/>
      <w:r w:rsidRPr="00C15DED">
        <w:rPr>
          <w:rFonts w:ascii="Roboto" w:eastAsia="Times New Roman" w:hAnsi="Roboto" w:cs="Times New Roman"/>
          <w:color w:val="333333"/>
          <w:kern w:val="0"/>
          <w:sz w:val="19"/>
          <w:szCs w:val="19"/>
          <w:lang w:eastAsia="fr-FR"/>
          <w14:ligatures w14:val="none"/>
        </w:rPr>
        <w:t xml:space="preserve">, la miansérine, le midazolam, le </w:t>
      </w:r>
      <w:proofErr w:type="spellStart"/>
      <w:r w:rsidRPr="00C15DED">
        <w:rPr>
          <w:rFonts w:ascii="Roboto" w:eastAsia="Times New Roman" w:hAnsi="Roboto" w:cs="Times New Roman"/>
          <w:color w:val="333333"/>
          <w:kern w:val="0"/>
          <w:sz w:val="19"/>
          <w:szCs w:val="19"/>
          <w:lang w:eastAsia="fr-FR"/>
          <w14:ligatures w14:val="none"/>
        </w:rPr>
        <w:t>naloxégol</w:t>
      </w:r>
      <w:proofErr w:type="spellEnd"/>
      <w:r w:rsidRPr="00C15DED">
        <w:rPr>
          <w:rFonts w:ascii="Roboto" w:eastAsia="Times New Roman" w:hAnsi="Roboto" w:cs="Times New Roman"/>
          <w:color w:val="333333"/>
          <w:kern w:val="0"/>
          <w:sz w:val="19"/>
          <w:szCs w:val="19"/>
          <w:lang w:eastAsia="fr-FR"/>
          <w14:ligatures w14:val="none"/>
        </w:rPr>
        <w:t xml:space="preserve">, la névirapine, la </w:t>
      </w:r>
      <w:proofErr w:type="spellStart"/>
      <w:r w:rsidRPr="00C15DED">
        <w:rPr>
          <w:rFonts w:ascii="Roboto" w:eastAsia="Times New Roman" w:hAnsi="Roboto" w:cs="Times New Roman"/>
          <w:color w:val="333333"/>
          <w:kern w:val="0"/>
          <w:sz w:val="19"/>
          <w:szCs w:val="19"/>
          <w:lang w:eastAsia="fr-FR"/>
          <w14:ligatures w14:val="none"/>
        </w:rPr>
        <w:t>nimodipine</w:t>
      </w:r>
      <w:proofErr w:type="spellEnd"/>
      <w:r w:rsidRPr="00C15DED">
        <w:rPr>
          <w:rFonts w:ascii="Roboto" w:eastAsia="Times New Roman" w:hAnsi="Roboto" w:cs="Times New Roman"/>
          <w:color w:val="333333"/>
          <w:kern w:val="0"/>
          <w:sz w:val="19"/>
          <w:szCs w:val="19"/>
          <w:lang w:eastAsia="fr-FR"/>
          <w14:ligatures w14:val="none"/>
        </w:rPr>
        <w:t>, l'</w:t>
      </w:r>
      <w:proofErr w:type="spellStart"/>
      <w:r w:rsidRPr="00C15DED">
        <w:rPr>
          <w:rFonts w:ascii="Roboto" w:eastAsia="Times New Roman" w:hAnsi="Roboto" w:cs="Times New Roman"/>
          <w:color w:val="333333"/>
          <w:kern w:val="0"/>
          <w:sz w:val="19"/>
          <w:szCs w:val="19"/>
          <w:lang w:eastAsia="fr-FR"/>
          <w14:ligatures w14:val="none"/>
        </w:rPr>
        <w:t>olaparib</w:t>
      </w:r>
      <w:proofErr w:type="spellEnd"/>
      <w:r w:rsidRPr="00C15DED">
        <w:rPr>
          <w:rFonts w:ascii="Roboto" w:eastAsia="Times New Roman" w:hAnsi="Roboto" w:cs="Times New Roman"/>
          <w:color w:val="333333"/>
          <w:kern w:val="0"/>
          <w:sz w:val="19"/>
          <w:szCs w:val="19"/>
          <w:lang w:eastAsia="fr-FR"/>
          <w14:ligatures w14:val="none"/>
        </w:rPr>
        <w:t xml:space="preserve">, l'oxycodone, le paclitaxel, le </w:t>
      </w:r>
      <w:proofErr w:type="spellStart"/>
      <w:r w:rsidRPr="00C15DED">
        <w:rPr>
          <w:rFonts w:ascii="Roboto" w:eastAsia="Times New Roman" w:hAnsi="Roboto" w:cs="Times New Roman"/>
          <w:color w:val="333333"/>
          <w:kern w:val="0"/>
          <w:sz w:val="19"/>
          <w:szCs w:val="19"/>
          <w:lang w:eastAsia="fr-FR"/>
          <w14:ligatures w14:val="none"/>
        </w:rPr>
        <w:t>posaconazole</w:t>
      </w:r>
      <w:proofErr w:type="spellEnd"/>
      <w:r w:rsidRPr="00C15DED">
        <w:rPr>
          <w:rFonts w:ascii="Roboto" w:eastAsia="Times New Roman" w:hAnsi="Roboto" w:cs="Times New Roman"/>
          <w:color w:val="333333"/>
          <w:kern w:val="0"/>
          <w:sz w:val="19"/>
          <w:szCs w:val="19"/>
          <w:lang w:eastAsia="fr-FR"/>
          <w14:ligatures w14:val="none"/>
        </w:rPr>
        <w:t xml:space="preserve">, la quétiapine, la quinine, le </w:t>
      </w:r>
      <w:proofErr w:type="spellStart"/>
      <w:r w:rsidRPr="00C15DED">
        <w:rPr>
          <w:rFonts w:ascii="Roboto" w:eastAsia="Times New Roman" w:hAnsi="Roboto" w:cs="Times New Roman"/>
          <w:color w:val="333333"/>
          <w:kern w:val="0"/>
          <w:sz w:val="19"/>
          <w:szCs w:val="19"/>
          <w:lang w:eastAsia="fr-FR"/>
          <w14:ligatures w14:val="none"/>
        </w:rPr>
        <w:t>raltégravir</w:t>
      </w:r>
      <w:proofErr w:type="spellEnd"/>
      <w:r w:rsidRPr="00C15DED">
        <w:rPr>
          <w:rFonts w:ascii="Roboto" w:eastAsia="Times New Roman" w:hAnsi="Roboto" w:cs="Times New Roman"/>
          <w:color w:val="333333"/>
          <w:kern w:val="0"/>
          <w:sz w:val="19"/>
          <w:szCs w:val="19"/>
          <w:lang w:eastAsia="fr-FR"/>
          <w14:ligatures w14:val="none"/>
        </w:rPr>
        <w:t xml:space="preserve">, la </w:t>
      </w:r>
      <w:proofErr w:type="spellStart"/>
      <w:r w:rsidRPr="00C15DED">
        <w:rPr>
          <w:rFonts w:ascii="Roboto" w:eastAsia="Times New Roman" w:hAnsi="Roboto" w:cs="Times New Roman"/>
          <w:color w:val="333333"/>
          <w:kern w:val="0"/>
          <w:sz w:val="19"/>
          <w:szCs w:val="19"/>
          <w:lang w:eastAsia="fr-FR"/>
          <w14:ligatures w14:val="none"/>
        </w:rPr>
        <w:t>ranolazine</w:t>
      </w:r>
      <w:proofErr w:type="spellEnd"/>
      <w:r w:rsidRPr="00C15DED">
        <w:rPr>
          <w:rFonts w:ascii="Roboto" w:eastAsia="Times New Roman" w:hAnsi="Roboto" w:cs="Times New Roman"/>
          <w:color w:val="333333"/>
          <w:kern w:val="0"/>
          <w:sz w:val="19"/>
          <w:szCs w:val="19"/>
          <w:lang w:eastAsia="fr-FR"/>
          <w14:ligatures w14:val="none"/>
        </w:rPr>
        <w:t xml:space="preserve">, le </w:t>
      </w:r>
      <w:proofErr w:type="spellStart"/>
      <w:r w:rsidRPr="00C15DED">
        <w:rPr>
          <w:rFonts w:ascii="Roboto" w:eastAsia="Times New Roman" w:hAnsi="Roboto" w:cs="Times New Roman"/>
          <w:color w:val="333333"/>
          <w:kern w:val="0"/>
          <w:sz w:val="19"/>
          <w:szCs w:val="19"/>
          <w:lang w:eastAsia="fr-FR"/>
          <w14:ligatures w14:val="none"/>
        </w:rPr>
        <w:t>régorafénib</w:t>
      </w:r>
      <w:proofErr w:type="spellEnd"/>
      <w:r w:rsidRPr="00C15DED">
        <w:rPr>
          <w:rFonts w:ascii="Roboto" w:eastAsia="Times New Roman" w:hAnsi="Roboto" w:cs="Times New Roman"/>
          <w:color w:val="333333"/>
          <w:kern w:val="0"/>
          <w:sz w:val="19"/>
          <w:szCs w:val="19"/>
          <w:lang w:eastAsia="fr-FR"/>
          <w14:ligatures w14:val="none"/>
        </w:rPr>
        <w:t xml:space="preserve">, le </w:t>
      </w:r>
      <w:proofErr w:type="spellStart"/>
      <w:r w:rsidRPr="00C15DED">
        <w:rPr>
          <w:rFonts w:ascii="Roboto" w:eastAsia="Times New Roman" w:hAnsi="Roboto" w:cs="Times New Roman"/>
          <w:color w:val="333333"/>
          <w:kern w:val="0"/>
          <w:sz w:val="19"/>
          <w:szCs w:val="19"/>
          <w:lang w:eastAsia="fr-FR"/>
          <w14:ligatures w14:val="none"/>
        </w:rPr>
        <w:t>rolapitant</w:t>
      </w:r>
      <w:proofErr w:type="spellEnd"/>
      <w:r w:rsidRPr="00C15DED">
        <w:rPr>
          <w:rFonts w:ascii="Roboto" w:eastAsia="Times New Roman" w:hAnsi="Roboto" w:cs="Times New Roman"/>
          <w:color w:val="333333"/>
          <w:kern w:val="0"/>
          <w:sz w:val="19"/>
          <w:szCs w:val="19"/>
          <w:lang w:eastAsia="fr-FR"/>
          <w14:ligatures w14:val="none"/>
        </w:rPr>
        <w:t xml:space="preserve">, la </w:t>
      </w:r>
      <w:proofErr w:type="spellStart"/>
      <w:r w:rsidRPr="00C15DED">
        <w:rPr>
          <w:rFonts w:ascii="Roboto" w:eastAsia="Times New Roman" w:hAnsi="Roboto" w:cs="Times New Roman"/>
          <w:color w:val="333333"/>
          <w:kern w:val="0"/>
          <w:sz w:val="19"/>
          <w:szCs w:val="19"/>
          <w:lang w:eastAsia="fr-FR"/>
          <w14:ligatures w14:val="none"/>
        </w:rPr>
        <w:t>sertraline</w:t>
      </w:r>
      <w:proofErr w:type="spellEnd"/>
      <w:r w:rsidRPr="00C15DED">
        <w:rPr>
          <w:rFonts w:ascii="Roboto" w:eastAsia="Times New Roman" w:hAnsi="Roboto" w:cs="Times New Roman"/>
          <w:color w:val="333333"/>
          <w:kern w:val="0"/>
          <w:sz w:val="19"/>
          <w:szCs w:val="19"/>
          <w:lang w:eastAsia="fr-FR"/>
          <w14:ligatures w14:val="none"/>
        </w:rPr>
        <w:t xml:space="preserve">, la simvastatine, le </w:t>
      </w:r>
      <w:proofErr w:type="spellStart"/>
      <w:r w:rsidRPr="00C15DED">
        <w:rPr>
          <w:rFonts w:ascii="Roboto" w:eastAsia="Times New Roman" w:hAnsi="Roboto" w:cs="Times New Roman"/>
          <w:color w:val="333333"/>
          <w:kern w:val="0"/>
          <w:sz w:val="19"/>
          <w:szCs w:val="19"/>
          <w:lang w:eastAsia="fr-FR"/>
          <w14:ligatures w14:val="none"/>
        </w:rPr>
        <w:t>ténofovir</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alafénamide</w:t>
      </w:r>
      <w:proofErr w:type="spellEnd"/>
      <w:r w:rsidRPr="00C15DED">
        <w:rPr>
          <w:rFonts w:ascii="Roboto" w:eastAsia="Times New Roman" w:hAnsi="Roboto" w:cs="Times New Roman"/>
          <w:color w:val="333333"/>
          <w:kern w:val="0"/>
          <w:sz w:val="19"/>
          <w:szCs w:val="19"/>
          <w:lang w:eastAsia="fr-FR"/>
          <w14:ligatures w14:val="none"/>
        </w:rPr>
        <w:t xml:space="preserve">, le </w:t>
      </w:r>
      <w:proofErr w:type="spellStart"/>
      <w:r w:rsidRPr="00C15DED">
        <w:rPr>
          <w:rFonts w:ascii="Roboto" w:eastAsia="Times New Roman" w:hAnsi="Roboto" w:cs="Times New Roman"/>
          <w:color w:val="333333"/>
          <w:kern w:val="0"/>
          <w:sz w:val="19"/>
          <w:szCs w:val="19"/>
          <w:lang w:eastAsia="fr-FR"/>
          <w14:ligatures w14:val="none"/>
        </w:rPr>
        <w:t>ticagrélor</w:t>
      </w:r>
      <w:proofErr w:type="spellEnd"/>
      <w:r w:rsidRPr="00C15DED">
        <w:rPr>
          <w:rFonts w:ascii="Roboto" w:eastAsia="Times New Roman" w:hAnsi="Roboto" w:cs="Times New Roman"/>
          <w:color w:val="333333"/>
          <w:kern w:val="0"/>
          <w:sz w:val="19"/>
          <w:szCs w:val="19"/>
          <w:lang w:eastAsia="fr-FR"/>
          <w14:ligatures w14:val="none"/>
        </w:rPr>
        <w:t xml:space="preserve">, la </w:t>
      </w:r>
      <w:proofErr w:type="spellStart"/>
      <w:r w:rsidRPr="00C15DED">
        <w:rPr>
          <w:rFonts w:ascii="Roboto" w:eastAsia="Times New Roman" w:hAnsi="Roboto" w:cs="Times New Roman"/>
          <w:color w:val="333333"/>
          <w:kern w:val="0"/>
          <w:sz w:val="19"/>
          <w:szCs w:val="19"/>
          <w:lang w:eastAsia="fr-FR"/>
          <w14:ligatures w14:val="none"/>
        </w:rPr>
        <w:t>télithromycine</w:t>
      </w:r>
      <w:proofErr w:type="spellEnd"/>
      <w:r w:rsidRPr="00C15DED">
        <w:rPr>
          <w:rFonts w:ascii="Roboto" w:eastAsia="Times New Roman" w:hAnsi="Roboto" w:cs="Times New Roman"/>
          <w:color w:val="333333"/>
          <w:kern w:val="0"/>
          <w:sz w:val="19"/>
          <w:szCs w:val="19"/>
          <w:lang w:eastAsia="fr-FR"/>
          <w14:ligatures w14:val="none"/>
        </w:rPr>
        <w:t>, l'</w:t>
      </w:r>
      <w:proofErr w:type="spellStart"/>
      <w:r w:rsidRPr="00C15DED">
        <w:rPr>
          <w:rFonts w:ascii="Roboto" w:eastAsia="Times New Roman" w:hAnsi="Roboto" w:cs="Times New Roman"/>
          <w:color w:val="333333"/>
          <w:kern w:val="0"/>
          <w:sz w:val="19"/>
          <w:szCs w:val="19"/>
          <w:lang w:eastAsia="fr-FR"/>
          <w14:ligatures w14:val="none"/>
        </w:rPr>
        <w:t>ulipristal</w:t>
      </w:r>
      <w:proofErr w:type="spellEnd"/>
      <w:r w:rsidRPr="00C15DED">
        <w:rPr>
          <w:rFonts w:ascii="Roboto" w:eastAsia="Times New Roman" w:hAnsi="Roboto" w:cs="Times New Roman"/>
          <w:color w:val="333333"/>
          <w:kern w:val="0"/>
          <w:sz w:val="19"/>
          <w:szCs w:val="19"/>
          <w:lang w:eastAsia="fr-FR"/>
          <w14:ligatures w14:val="none"/>
        </w:rPr>
        <w:t xml:space="preserve">, les oestroprogestatifs et progestatifs contraceptifs, le </w:t>
      </w:r>
      <w:proofErr w:type="spellStart"/>
      <w:r w:rsidRPr="00C15DED">
        <w:rPr>
          <w:rFonts w:ascii="Roboto" w:eastAsia="Times New Roman" w:hAnsi="Roboto" w:cs="Times New Roman"/>
          <w:color w:val="333333"/>
          <w:kern w:val="0"/>
          <w:sz w:val="19"/>
          <w:szCs w:val="19"/>
          <w:lang w:eastAsia="fr-FR"/>
          <w14:ligatures w14:val="none"/>
        </w:rPr>
        <w:t>vémurafénib</w:t>
      </w:r>
      <w:proofErr w:type="spellEnd"/>
      <w:r w:rsidRPr="00C15DED">
        <w:rPr>
          <w:rFonts w:ascii="Roboto" w:eastAsia="Times New Roman" w:hAnsi="Roboto" w:cs="Times New Roman"/>
          <w:color w:val="333333"/>
          <w:kern w:val="0"/>
          <w:sz w:val="19"/>
          <w:szCs w:val="19"/>
          <w:lang w:eastAsia="fr-FR"/>
          <w14:ligatures w14:val="none"/>
        </w:rPr>
        <w:t xml:space="preserve">, les </w:t>
      </w:r>
      <w:proofErr w:type="spellStart"/>
      <w:r w:rsidRPr="00C15DED">
        <w:rPr>
          <w:rFonts w:ascii="Roboto" w:eastAsia="Times New Roman" w:hAnsi="Roboto" w:cs="Times New Roman"/>
          <w:color w:val="333333"/>
          <w:kern w:val="0"/>
          <w:sz w:val="19"/>
          <w:szCs w:val="19"/>
          <w:lang w:eastAsia="fr-FR"/>
          <w14:ligatures w14:val="none"/>
        </w:rPr>
        <w:t>vinca</w:t>
      </w:r>
      <w:proofErr w:type="spellEnd"/>
      <w:r w:rsidRPr="00C15DED">
        <w:rPr>
          <w:rFonts w:ascii="Roboto" w:eastAsia="Times New Roman" w:hAnsi="Roboto" w:cs="Times New Roman"/>
          <w:color w:val="333333"/>
          <w:kern w:val="0"/>
          <w:sz w:val="19"/>
          <w:szCs w:val="19"/>
          <w:lang w:eastAsia="fr-FR"/>
          <w14:ligatures w14:val="none"/>
        </w:rPr>
        <w:t xml:space="preserve">-alcaloïdes cytotoxiques, le </w:t>
      </w:r>
      <w:proofErr w:type="spellStart"/>
      <w:r w:rsidRPr="00C15DED">
        <w:rPr>
          <w:rFonts w:ascii="Roboto" w:eastAsia="Times New Roman" w:hAnsi="Roboto" w:cs="Times New Roman"/>
          <w:color w:val="333333"/>
          <w:kern w:val="0"/>
          <w:sz w:val="19"/>
          <w:szCs w:val="19"/>
          <w:lang w:eastAsia="fr-FR"/>
          <w14:ligatures w14:val="none"/>
        </w:rPr>
        <w:t>vismodégib</w:t>
      </w:r>
      <w:proofErr w:type="spellEnd"/>
      <w:r w:rsidRPr="00C15DED">
        <w:rPr>
          <w:rFonts w:ascii="Roboto" w:eastAsia="Times New Roman" w:hAnsi="Roboto" w:cs="Times New Roman"/>
          <w:color w:val="333333"/>
          <w:kern w:val="0"/>
          <w:sz w:val="19"/>
          <w:szCs w:val="19"/>
          <w:lang w:eastAsia="fr-FR"/>
          <w14:ligatures w14:val="none"/>
        </w:rPr>
        <w:t xml:space="preserve"> et la zidovudine (voir rubrique </w:t>
      </w:r>
      <w:hyperlink r:id="rId12" w:anchor="interactions" w:history="1">
        <w:r w:rsidRPr="00C15DED">
          <w:rPr>
            <w:rFonts w:ascii="Roboto" w:eastAsia="Times New Roman" w:hAnsi="Roboto" w:cs="Times New Roman"/>
            <w:color w:val="843D93"/>
            <w:kern w:val="0"/>
            <w:sz w:val="18"/>
            <w:szCs w:val="18"/>
            <w:lang w:eastAsia="fr-FR"/>
            <w14:ligatures w14:val="none"/>
          </w:rPr>
          <w:t>Interactions</w:t>
        </w:r>
      </w:hyperlink>
      <w:r w:rsidRPr="00C15DED">
        <w:rPr>
          <w:rFonts w:ascii="Roboto" w:eastAsia="Times New Roman" w:hAnsi="Roboto" w:cs="Times New Roman"/>
          <w:color w:val="333333"/>
          <w:kern w:val="0"/>
          <w:sz w:val="19"/>
          <w:szCs w:val="19"/>
          <w:lang w:eastAsia="fr-FR"/>
          <w14:ligatures w14:val="none"/>
        </w:rPr>
        <w:t>) ;</w:t>
      </w:r>
    </w:p>
    <w:p w14:paraId="6D87F222" w14:textId="77777777" w:rsidR="00C15DED" w:rsidRPr="00C15DED" w:rsidRDefault="00C15DED" w:rsidP="00C15DED">
      <w:pPr>
        <w:numPr>
          <w:ilvl w:val="0"/>
          <w:numId w:val="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au</w:t>
      </w:r>
      <w:proofErr w:type="gramEnd"/>
      <w:r w:rsidRPr="00C15DED">
        <w:rPr>
          <w:rFonts w:ascii="Roboto" w:eastAsia="Times New Roman" w:hAnsi="Roboto" w:cs="Times New Roman"/>
          <w:color w:val="333333"/>
          <w:kern w:val="0"/>
          <w:sz w:val="19"/>
          <w:szCs w:val="19"/>
          <w:lang w:eastAsia="fr-FR"/>
          <w14:ligatures w14:val="none"/>
        </w:rPr>
        <w:t xml:space="preserve"> cours de l'allaitement (voir rubrique </w:t>
      </w:r>
      <w:hyperlink r:id="rId13" w:anchor="fertilite_grossesse_allaitement" w:history="1">
        <w:r w:rsidRPr="00C15DED">
          <w:rPr>
            <w:rFonts w:ascii="Roboto" w:eastAsia="Times New Roman" w:hAnsi="Roboto" w:cs="Times New Roman"/>
            <w:color w:val="843D93"/>
            <w:kern w:val="0"/>
            <w:sz w:val="18"/>
            <w:szCs w:val="18"/>
            <w:lang w:eastAsia="fr-FR"/>
            <w14:ligatures w14:val="none"/>
          </w:rPr>
          <w:t>Fertilité/Grossesse/Allaitement</w:t>
        </w:r>
      </w:hyperlink>
      <w:r w:rsidRPr="00C15DED">
        <w:rPr>
          <w:rFonts w:ascii="Roboto" w:eastAsia="Times New Roman" w:hAnsi="Roboto" w:cs="Times New Roman"/>
          <w:color w:val="333333"/>
          <w:kern w:val="0"/>
          <w:sz w:val="19"/>
          <w:szCs w:val="19"/>
          <w:lang w:eastAsia="fr-FR"/>
          <w14:ligatures w14:val="none"/>
        </w:rPr>
        <w:t>).</w:t>
      </w:r>
    </w:p>
    <w:p w14:paraId="1360FE4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u w:val="single"/>
          <w:lang w:eastAsia="fr-FR"/>
          <w14:ligatures w14:val="none"/>
        </w:rPr>
        <w:t>Réaction paradoxale</w:t>
      </w:r>
    </w:p>
    <w:p w14:paraId="0B07FAC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Après une amélioration initiale de la tuberculose sous traitement avec RIFATER comprimé enrobé, les symptômes peuvent s'aggraver à nouveau. Chez ces patients, une détérioration clinique ou radiologique des lésions tuberculeuses existantes ou le développement de nouvelles lésions ont été observés. Ces réactions ont été observées pendant les premières semaines ou premiers mois après l'initiation du traitement antituberculeux. Les cultures sont habituellement négatives et de telles réactions n'indiquent habituellement pas un échec du traitement.</w:t>
      </w:r>
    </w:p>
    <w:p w14:paraId="4C2C905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La cause de cette réaction paradoxale est encore incertaine, mais une réaction immunitaire exagérée est suspectée comme cause possible. Dans le cas où une réaction paradoxale est suspectée, un traitement symptomatique pour supprimer la réaction immunitaire excessive doit être initié si nécessaire. De plus, il est recommandé de poursuivre le traitement antituberculeux planifié.</w:t>
      </w:r>
    </w:p>
    <w:p w14:paraId="64AA309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Il faut recommander aux patients de demander immédiatement un avis médical si leurs symptômes s'aggravent. Les symptômes sont généralement spécifiques des tissus atteints. Les symptômes généraux possibles incluent toux, fièvre, fatigue, essoufflement, maux de tête, perte d'appétit, perte de poids ou faiblesse (voir rubrique </w:t>
      </w:r>
      <w:hyperlink r:id="rId14" w:anchor="effets_indesirables" w:history="1">
        <w:r w:rsidRPr="00C15DED">
          <w:rPr>
            <w:rFonts w:ascii="Roboto" w:eastAsia="Times New Roman" w:hAnsi="Roboto" w:cs="Times New Roman"/>
            <w:color w:val="843D93"/>
            <w:kern w:val="0"/>
            <w:sz w:val="18"/>
            <w:szCs w:val="18"/>
            <w:lang w:eastAsia="fr-FR"/>
            <w14:ligatures w14:val="none"/>
          </w:rPr>
          <w:t>Effets indésirables</w:t>
        </w:r>
      </w:hyperlink>
      <w:r w:rsidRPr="00C15DED">
        <w:rPr>
          <w:rFonts w:ascii="Roboto" w:eastAsia="Times New Roman" w:hAnsi="Roboto" w:cs="Times New Roman"/>
          <w:color w:val="333333"/>
          <w:kern w:val="0"/>
          <w:sz w:val="19"/>
          <w:szCs w:val="19"/>
          <w:lang w:eastAsia="fr-FR"/>
          <w14:ligatures w14:val="none"/>
        </w:rPr>
        <w:t>).</w:t>
      </w:r>
    </w:p>
    <w:p w14:paraId="701732F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u w:val="single"/>
          <w:lang w:eastAsia="fr-FR"/>
          <w14:ligatures w14:val="none"/>
        </w:rPr>
        <w:t>Maladie pulmonaire interstitielle (ILD)/pneumonie</w:t>
      </w:r>
    </w:p>
    <w:p w14:paraId="450C638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Des cas de maladies pulmonaires interstitielles (ILD) ou de pneumonies ont été rapportés chez des patients prenant RIFATER, comprimé enrobé dans le traitement de la tuberculose (voir rubrique </w:t>
      </w:r>
      <w:hyperlink r:id="rId15" w:anchor="effets_indesirables" w:history="1">
        <w:r w:rsidRPr="00C15DED">
          <w:rPr>
            <w:rFonts w:ascii="Roboto" w:eastAsia="Times New Roman" w:hAnsi="Roboto" w:cs="Times New Roman"/>
            <w:color w:val="843D93"/>
            <w:kern w:val="0"/>
            <w:sz w:val="18"/>
            <w:szCs w:val="18"/>
            <w:lang w:eastAsia="fr-FR"/>
            <w14:ligatures w14:val="none"/>
          </w:rPr>
          <w:t>Effets indésirables</w:t>
        </w:r>
      </w:hyperlink>
      <w:r w:rsidRPr="00C15DED">
        <w:rPr>
          <w:rFonts w:ascii="Roboto" w:eastAsia="Times New Roman" w:hAnsi="Roboto" w:cs="Times New Roman"/>
          <w:color w:val="333333"/>
          <w:kern w:val="0"/>
          <w:sz w:val="19"/>
          <w:szCs w:val="19"/>
          <w:lang w:eastAsia="fr-FR"/>
          <w14:ligatures w14:val="none"/>
        </w:rPr>
        <w:t>). L'ILD/la pneumonie sont des affections potentiellement létales. Une évaluation minutieuse de tous les patients présentant une apparition soudaine et/ou une aggravation inexpliquée des symptômes pulmonaires (dyspnée accompagnée d'une toux sèche) et de la fièvre doit être réalisée pour confirmer le diagnostic d'ILD/pneumonie. Si une ILD/pneumonie est diagnostiquée, RIFATER, comprimé enrobé doit être arrêté de façon permanente en cas de manifestations sévères (insuffisance respiratoire et syndrome de détresse respiratoire aigüe) et un traitement approprié doit être mis en place si nécessaire.</w:t>
      </w:r>
    </w:p>
    <w:p w14:paraId="0753653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u w:val="single"/>
          <w:lang w:eastAsia="fr-FR"/>
          <w14:ligatures w14:val="none"/>
        </w:rPr>
        <w:t>Excipients à effet notoire</w:t>
      </w:r>
    </w:p>
    <w:p w14:paraId="255E149E" w14:textId="77777777" w:rsidR="00C15DED" w:rsidRPr="00C15DED" w:rsidRDefault="00C15DED" w:rsidP="00C15DED">
      <w:pPr>
        <w:numPr>
          <w:ilvl w:val="0"/>
          <w:numId w:val="1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Ce médicament contient du saccharose. Son utilisation est déconseillée chez les patients présentant une intolérance au fructose, un syndrome de malabsorption du glucose et du galactose ou un déficit en sucrase-</w:t>
      </w:r>
      <w:proofErr w:type="spellStart"/>
      <w:r w:rsidRPr="00C15DED">
        <w:rPr>
          <w:rFonts w:ascii="Roboto" w:eastAsia="Times New Roman" w:hAnsi="Roboto" w:cs="Times New Roman"/>
          <w:color w:val="333333"/>
          <w:kern w:val="0"/>
          <w:sz w:val="19"/>
          <w:szCs w:val="19"/>
          <w:lang w:eastAsia="fr-FR"/>
          <w14:ligatures w14:val="none"/>
        </w:rPr>
        <w:t>isomaltase</w:t>
      </w:r>
      <w:proofErr w:type="spellEnd"/>
      <w:r w:rsidRPr="00C15DED">
        <w:rPr>
          <w:rFonts w:ascii="Roboto" w:eastAsia="Times New Roman" w:hAnsi="Roboto" w:cs="Times New Roman"/>
          <w:color w:val="333333"/>
          <w:kern w:val="0"/>
          <w:sz w:val="19"/>
          <w:szCs w:val="19"/>
          <w:lang w:eastAsia="fr-FR"/>
          <w14:ligatures w14:val="none"/>
        </w:rPr>
        <w:t>.</w:t>
      </w:r>
    </w:p>
    <w:p w14:paraId="2549C8FE" w14:textId="77777777" w:rsidR="00C15DED" w:rsidRPr="00C15DED" w:rsidRDefault="00C15DED" w:rsidP="00C15DED">
      <w:pPr>
        <w:numPr>
          <w:ilvl w:val="0"/>
          <w:numId w:val="1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Ce médicament contient moins de 1 </w:t>
      </w:r>
      <w:proofErr w:type="spellStart"/>
      <w:r w:rsidRPr="00C15DED">
        <w:rPr>
          <w:rFonts w:ascii="Roboto" w:eastAsia="Times New Roman" w:hAnsi="Roboto" w:cs="Times New Roman"/>
          <w:color w:val="333333"/>
          <w:kern w:val="0"/>
          <w:sz w:val="19"/>
          <w:szCs w:val="19"/>
          <w:lang w:eastAsia="fr-FR"/>
          <w14:ligatures w14:val="none"/>
        </w:rPr>
        <w:t>mmol</w:t>
      </w:r>
      <w:proofErr w:type="spellEnd"/>
      <w:r w:rsidRPr="00C15DED">
        <w:rPr>
          <w:rFonts w:ascii="Roboto" w:eastAsia="Times New Roman" w:hAnsi="Roboto" w:cs="Times New Roman"/>
          <w:color w:val="333333"/>
          <w:kern w:val="0"/>
          <w:sz w:val="19"/>
          <w:szCs w:val="19"/>
          <w:lang w:eastAsia="fr-FR"/>
          <w14:ligatures w14:val="none"/>
        </w:rPr>
        <w:t xml:space="preserve"> (23 mg) de sodium par comprimé, c'est-à-dire qu'il est essentiellement « sans sodium ».</w:t>
      </w:r>
    </w:p>
    <w:p w14:paraId="1AB078B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Précautions d'emploi</w:t>
      </w:r>
    </w:p>
    <w:p w14:paraId="7F13C00C" w14:textId="77777777" w:rsidR="00C15DED" w:rsidRPr="00C15DED" w:rsidRDefault="00C15DED" w:rsidP="00C15DED">
      <w:pPr>
        <w:numPr>
          <w:ilvl w:val="0"/>
          <w:numId w:val="1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Ce médicament ne doit être utilisé que dans les cas où une surveillance clinique et biologique régulière est possible.</w:t>
      </w:r>
    </w:p>
    <w:p w14:paraId="33BB75B6" w14:textId="77777777" w:rsidR="00C15DED" w:rsidRPr="00C15DED" w:rsidRDefault="00C15DED" w:rsidP="00C15DED">
      <w:pPr>
        <w:numPr>
          <w:ilvl w:val="0"/>
          <w:numId w:val="1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Le traitement ne sera entrepris qu'après un bilan initial (bilan hépatique, rénal et uricémie) permettant d'éliminer une insuffisance hépatique ou rénale et une hyperuricémie. Le bilan rénal et l'uricémie seront faits régulièrement tous les mois.</w:t>
      </w:r>
    </w:p>
    <w:p w14:paraId="399F8994" w14:textId="77777777" w:rsidR="00C15DED" w:rsidRPr="00C15DED" w:rsidRDefault="00C15DED" w:rsidP="00C15DED">
      <w:pPr>
        <w:numPr>
          <w:ilvl w:val="0"/>
          <w:numId w:val="1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La rifampicine est un inducteur puissant et bien connu des transporteurs et des enzymes responsables du métabolisme des médicaments. Elle pourrait diminuer ou augmenter l'exposition aux médicaments associés et par conséquent leur efficacité et leur sécurité (voir rubrique </w:t>
      </w:r>
      <w:hyperlink r:id="rId16" w:anchor="interactions" w:history="1">
        <w:r w:rsidRPr="00C15DED">
          <w:rPr>
            <w:rFonts w:ascii="Roboto" w:eastAsia="Times New Roman" w:hAnsi="Roboto" w:cs="Times New Roman"/>
            <w:color w:val="843D93"/>
            <w:kern w:val="0"/>
            <w:sz w:val="18"/>
            <w:szCs w:val="18"/>
            <w:lang w:eastAsia="fr-FR"/>
            <w14:ligatures w14:val="none"/>
          </w:rPr>
          <w:t>Interactions</w:t>
        </w:r>
      </w:hyperlink>
      <w:r w:rsidRPr="00C15DED">
        <w:rPr>
          <w:rFonts w:ascii="Roboto" w:eastAsia="Times New Roman" w:hAnsi="Roboto" w:cs="Times New Roman"/>
          <w:color w:val="333333"/>
          <w:kern w:val="0"/>
          <w:sz w:val="19"/>
          <w:szCs w:val="19"/>
          <w:lang w:eastAsia="fr-FR"/>
          <w14:ligatures w14:val="none"/>
        </w:rPr>
        <w:t>). Il est donc recommandé aux patients de ne pas prendre d'autres médicaments sans avis médical.</w:t>
      </w:r>
    </w:p>
    <w:p w14:paraId="386DD10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1) Fonctions hépatiques perturbées et/ou facteurs de risque hépatique (éthylisme, antécédents d'hépatite) (voir rubrique </w:t>
      </w:r>
      <w:hyperlink r:id="rId17" w:anchor="effets_indesirables" w:history="1">
        <w:r w:rsidRPr="00C15DED">
          <w:rPr>
            <w:rFonts w:ascii="Roboto" w:eastAsia="Times New Roman" w:hAnsi="Roboto" w:cs="Times New Roman"/>
            <w:b/>
            <w:bCs/>
            <w:color w:val="843D93"/>
            <w:kern w:val="0"/>
            <w:sz w:val="18"/>
            <w:szCs w:val="18"/>
            <w:lang w:eastAsia="fr-FR"/>
            <w14:ligatures w14:val="none"/>
          </w:rPr>
          <w:t>Effets indésirables</w:t>
        </w:r>
      </w:hyperlink>
      <w:r w:rsidRPr="00C15DED">
        <w:rPr>
          <w:rFonts w:ascii="Roboto" w:eastAsia="Times New Roman" w:hAnsi="Roboto" w:cs="Times New Roman"/>
          <w:b/>
          <w:bCs/>
          <w:color w:val="333333"/>
          <w:kern w:val="0"/>
          <w:sz w:val="19"/>
          <w:szCs w:val="19"/>
          <w:u w:val="single"/>
          <w:lang w:eastAsia="fr-FR"/>
          <w14:ligatures w14:val="none"/>
        </w:rPr>
        <w:t>)</w:t>
      </w:r>
    </w:p>
    <w:p w14:paraId="67F8C05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Des patients présentant une fonction hépatique perturbée ne devraient recevoir ce médicament qu'en cas de nécessité absolue (en particulier tuberculose multirésistante) et ce, avec précaution et sous surveillance médicale stricte.</w:t>
      </w:r>
    </w:p>
    <w:p w14:paraId="4CF8091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La toxicité hépatique accrue par l'association de l'isoniazide, de la rifampicine et du </w:t>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r w:rsidRPr="00C15DED">
        <w:rPr>
          <w:rFonts w:ascii="Roboto" w:eastAsia="Times New Roman" w:hAnsi="Roboto" w:cs="Times New Roman"/>
          <w:color w:val="333333"/>
          <w:kern w:val="0"/>
          <w:sz w:val="19"/>
          <w:szCs w:val="19"/>
          <w:lang w:eastAsia="fr-FR"/>
          <w14:ligatures w14:val="none"/>
        </w:rPr>
        <w:t xml:space="preserve"> doit entraîner une surveillance régulière :</w:t>
      </w:r>
    </w:p>
    <w:p w14:paraId="6282CE97" w14:textId="77777777" w:rsidR="00C15DED" w:rsidRPr="00C15DED" w:rsidRDefault="00C15DED" w:rsidP="00C15DED">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de</w:t>
      </w:r>
      <w:proofErr w:type="gramEnd"/>
      <w:r w:rsidRPr="00C15DED">
        <w:rPr>
          <w:rFonts w:ascii="Roboto" w:eastAsia="Times New Roman" w:hAnsi="Roboto" w:cs="Times New Roman"/>
          <w:color w:val="333333"/>
          <w:kern w:val="0"/>
          <w:sz w:val="19"/>
          <w:szCs w:val="19"/>
          <w:lang w:eastAsia="fr-FR"/>
          <w14:ligatures w14:val="none"/>
        </w:rPr>
        <w:t xml:space="preserve"> l'hémogramme + plaquettes par exemple, au 8</w:t>
      </w:r>
      <w:r w:rsidRPr="00C15DED">
        <w:rPr>
          <w:rFonts w:ascii="Roboto" w:eastAsia="Times New Roman" w:hAnsi="Roboto" w:cs="Times New Roman"/>
          <w:color w:val="333333"/>
          <w:kern w:val="0"/>
          <w:sz w:val="14"/>
          <w:szCs w:val="14"/>
          <w:vertAlign w:val="superscript"/>
          <w:lang w:eastAsia="fr-FR"/>
          <w14:ligatures w14:val="none"/>
        </w:rPr>
        <w:t>e</w:t>
      </w:r>
      <w:r w:rsidRPr="00C15DED">
        <w:rPr>
          <w:rFonts w:ascii="Roboto" w:eastAsia="Times New Roman" w:hAnsi="Roboto" w:cs="Times New Roman"/>
          <w:color w:val="333333"/>
          <w:kern w:val="0"/>
          <w:sz w:val="19"/>
          <w:szCs w:val="19"/>
          <w:lang w:eastAsia="fr-FR"/>
          <w14:ligatures w14:val="none"/>
        </w:rPr>
        <w:t> jour, à la fin du 1</w:t>
      </w:r>
      <w:r w:rsidRPr="00C15DED">
        <w:rPr>
          <w:rFonts w:ascii="Roboto" w:eastAsia="Times New Roman" w:hAnsi="Roboto" w:cs="Times New Roman"/>
          <w:color w:val="333333"/>
          <w:kern w:val="0"/>
          <w:sz w:val="14"/>
          <w:szCs w:val="14"/>
          <w:vertAlign w:val="superscript"/>
          <w:lang w:eastAsia="fr-FR"/>
          <w14:ligatures w14:val="none"/>
        </w:rPr>
        <w:t>er</w:t>
      </w:r>
      <w:r w:rsidRPr="00C15DED">
        <w:rPr>
          <w:rFonts w:ascii="Roboto" w:eastAsia="Times New Roman" w:hAnsi="Roboto" w:cs="Times New Roman"/>
          <w:color w:val="333333"/>
          <w:kern w:val="0"/>
          <w:sz w:val="19"/>
          <w:szCs w:val="19"/>
          <w:lang w:eastAsia="fr-FR"/>
          <w14:ligatures w14:val="none"/>
        </w:rPr>
        <w:t> mois, puis de façon plus espacée (2 mois) ;</w:t>
      </w:r>
    </w:p>
    <w:p w14:paraId="4F3C5903" w14:textId="77777777" w:rsidR="00C15DED" w:rsidRPr="00C15DED" w:rsidRDefault="00C15DED" w:rsidP="00C15DED">
      <w:pPr>
        <w:numPr>
          <w:ilvl w:val="0"/>
          <w:numId w:val="1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des</w:t>
      </w:r>
      <w:proofErr w:type="gramEnd"/>
      <w:r w:rsidRPr="00C15DED">
        <w:rPr>
          <w:rFonts w:ascii="Roboto" w:eastAsia="Times New Roman" w:hAnsi="Roboto" w:cs="Times New Roman"/>
          <w:color w:val="333333"/>
          <w:kern w:val="0"/>
          <w:sz w:val="19"/>
          <w:szCs w:val="19"/>
          <w:lang w:eastAsia="fr-FR"/>
          <w14:ligatures w14:val="none"/>
        </w:rPr>
        <w:t xml:space="preserve"> fonctions hépatiques (transaminases, bilirubine).</w:t>
      </w:r>
    </w:p>
    <w:p w14:paraId="592F9FF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 bilan hépatique est répété tous les 8 jours dans les premières semaines du traitement, puis tous les 15 jours.</w:t>
      </w:r>
    </w:p>
    <w:p w14:paraId="13193C8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L'élévation des transaminases au-delà de 3 fois la normale :</w:t>
      </w:r>
    </w:p>
    <w:p w14:paraId="4A32A595" w14:textId="77777777" w:rsidR="00C15DED" w:rsidRPr="00C15DED" w:rsidRDefault="00C15DED" w:rsidP="00C15DED">
      <w:pPr>
        <w:numPr>
          <w:ilvl w:val="0"/>
          <w:numId w:val="1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dans</w:t>
      </w:r>
      <w:proofErr w:type="gramEnd"/>
      <w:r w:rsidRPr="00C15DED">
        <w:rPr>
          <w:rFonts w:ascii="Roboto" w:eastAsia="Times New Roman" w:hAnsi="Roboto" w:cs="Times New Roman"/>
          <w:color w:val="333333"/>
          <w:kern w:val="0"/>
          <w:sz w:val="19"/>
          <w:szCs w:val="19"/>
          <w:lang w:eastAsia="fr-FR"/>
          <w14:ligatures w14:val="none"/>
        </w:rPr>
        <w:t xml:space="preserve"> le cadre d'une utilisation de courte durée, impose une surveillance hépatique accrue par dosages plus fréquents : l'élévation progressant à 2 examens successifs impose l'interruption du traitement ;</w:t>
      </w:r>
    </w:p>
    <w:p w14:paraId="14072FFB" w14:textId="77777777" w:rsidR="00C15DED" w:rsidRPr="00C15DED" w:rsidRDefault="00C15DED" w:rsidP="00C15DED">
      <w:pPr>
        <w:numPr>
          <w:ilvl w:val="0"/>
          <w:numId w:val="1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dans</w:t>
      </w:r>
      <w:proofErr w:type="gramEnd"/>
      <w:r w:rsidRPr="00C15DED">
        <w:rPr>
          <w:rFonts w:ascii="Roboto" w:eastAsia="Times New Roman" w:hAnsi="Roboto" w:cs="Times New Roman"/>
          <w:color w:val="333333"/>
          <w:kern w:val="0"/>
          <w:sz w:val="19"/>
          <w:szCs w:val="19"/>
          <w:lang w:eastAsia="fr-FR"/>
          <w14:ligatures w14:val="none"/>
        </w:rPr>
        <w:t xml:space="preserve"> le cadre d'une utilisation de longue durée, impose l'arrêt du traitement. Un tel arrêt précoce est un paramètre important pour une normalisation du bilan hépatique.</w:t>
      </w:r>
    </w:p>
    <w:p w14:paraId="72C8646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Les cas d'hépatite associés à l'administration d'isoniazide étant plus fréquents chez les personnes âgées de plus de 35 ans, il est recommandé dans cette population de mesurer les concentrations de transaminases au début du traitement, puis au moins 1 fois par mois au cours du traitement.</w:t>
      </w:r>
    </w:p>
    <w:p w14:paraId="0CC0DAC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Il existe d'autres facteurs augmentant le risque de survenue d'hépatite incluant la consommation quotidienne d'alcool, une maladie hépatique chronique, l'administration de médicament par voie intraveineuse. Les femmes noires ou d'origine hispanique sont plus exposées au risque d'hépatite.</w:t>
      </w:r>
    </w:p>
    <w:p w14:paraId="5D95B47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Dans certains cas, une hyperbilirubinémie peut se produire dans les premiers jours de traitement, résultant d'une compétition au niveau cellulaire entre la rifampicine et la bilirubine pour l'excrétion hépatique. Une hyperbilirubinémie isolée et modérée ne constitue pas en soi une indication pour interrompre le traitement ; cette décision devant être prise après répétition des tests, en fonction des tendances observées et en tenant compte de l'état clinique du patient (voir rubrique </w:t>
      </w:r>
      <w:hyperlink r:id="rId18" w:anchor="effets_indesirables" w:history="1">
        <w:r w:rsidRPr="00C15DED">
          <w:rPr>
            <w:rFonts w:ascii="Roboto" w:eastAsia="Times New Roman" w:hAnsi="Roboto" w:cs="Times New Roman"/>
            <w:color w:val="843D93"/>
            <w:kern w:val="0"/>
            <w:sz w:val="18"/>
            <w:szCs w:val="18"/>
            <w:lang w:eastAsia="fr-FR"/>
            <w14:ligatures w14:val="none"/>
          </w:rPr>
          <w:t>Effets indésirables</w:t>
        </w:r>
      </w:hyperlink>
      <w:r w:rsidRPr="00C15DED">
        <w:rPr>
          <w:rFonts w:ascii="Roboto" w:eastAsia="Times New Roman" w:hAnsi="Roboto" w:cs="Times New Roman"/>
          <w:color w:val="333333"/>
          <w:kern w:val="0"/>
          <w:sz w:val="19"/>
          <w:szCs w:val="19"/>
          <w:lang w:eastAsia="fr-FR"/>
          <w14:ligatures w14:val="none"/>
        </w:rPr>
        <w:t>).</w:t>
      </w:r>
    </w:p>
    <w:p w14:paraId="533957E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 xml:space="preserve">2) Au </w:t>
      </w:r>
      <w:proofErr w:type="gramStart"/>
      <w:r w:rsidRPr="00C15DED">
        <w:rPr>
          <w:rFonts w:ascii="Roboto" w:eastAsia="Times New Roman" w:hAnsi="Roboto" w:cs="Times New Roman"/>
          <w:b/>
          <w:bCs/>
          <w:color w:val="333333"/>
          <w:kern w:val="0"/>
          <w:sz w:val="19"/>
          <w:szCs w:val="19"/>
          <w:u w:val="single"/>
          <w:lang w:eastAsia="fr-FR"/>
          <w14:ligatures w14:val="none"/>
        </w:rPr>
        <w:t>plan</w:t>
      </w:r>
      <w:proofErr w:type="gramEnd"/>
      <w:r w:rsidRPr="00C15DED">
        <w:rPr>
          <w:rFonts w:ascii="Roboto" w:eastAsia="Times New Roman" w:hAnsi="Roboto" w:cs="Times New Roman"/>
          <w:b/>
          <w:bCs/>
          <w:color w:val="333333"/>
          <w:kern w:val="0"/>
          <w:sz w:val="19"/>
          <w:szCs w:val="19"/>
          <w:u w:val="single"/>
          <w:lang w:eastAsia="fr-FR"/>
          <w14:ligatures w14:val="none"/>
        </w:rPr>
        <w:t xml:space="preserve"> de l'uricémie</w:t>
      </w:r>
    </w:p>
    <w:p w14:paraId="59EF145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Si l'hyperuricémie dépasse 100 mg/ml (655 </w:t>
      </w:r>
      <w:proofErr w:type="spellStart"/>
      <w:r w:rsidRPr="00C15DED">
        <w:rPr>
          <w:rFonts w:ascii="Roboto" w:eastAsia="Times New Roman" w:hAnsi="Roboto" w:cs="Times New Roman"/>
          <w:color w:val="333333"/>
          <w:kern w:val="0"/>
          <w:sz w:val="19"/>
          <w:szCs w:val="19"/>
          <w:lang w:eastAsia="fr-FR"/>
          <w14:ligatures w14:val="none"/>
        </w:rPr>
        <w:t>μmol</w:t>
      </w:r>
      <w:proofErr w:type="spellEnd"/>
      <w:r w:rsidRPr="00C15DED">
        <w:rPr>
          <w:rFonts w:ascii="Roboto" w:eastAsia="Times New Roman" w:hAnsi="Roboto" w:cs="Times New Roman"/>
          <w:color w:val="333333"/>
          <w:kern w:val="0"/>
          <w:sz w:val="19"/>
          <w:szCs w:val="19"/>
          <w:lang w:eastAsia="fr-FR"/>
          <w14:ligatures w14:val="none"/>
        </w:rPr>
        <w:t>/l), un traitement correcteur (à l'exception des inhibiteurs de la xanthine oxydase) est à envisager. Des arthralgies modérées, non goutteuses, répondent habituellement à un traitement symptomatique. La persistance des arthralgies, ou leur caractère goutteux, doit faire arrêter le traitement par RIFATER, comprimé enrobé.</w:t>
      </w:r>
    </w:p>
    <w:p w14:paraId="43ECF18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 xml:space="preserve">3) </w:t>
      </w:r>
      <w:proofErr w:type="gramStart"/>
      <w:r w:rsidRPr="00C15DED">
        <w:rPr>
          <w:rFonts w:ascii="Roboto" w:eastAsia="Times New Roman" w:hAnsi="Roboto" w:cs="Times New Roman"/>
          <w:b/>
          <w:bCs/>
          <w:color w:val="333333"/>
          <w:kern w:val="0"/>
          <w:sz w:val="19"/>
          <w:szCs w:val="19"/>
          <w:u w:val="single"/>
          <w:lang w:eastAsia="fr-FR"/>
          <w14:ligatures w14:val="none"/>
        </w:rPr>
        <w:t>Au</w:t>
      </w:r>
      <w:proofErr w:type="gramEnd"/>
      <w:r w:rsidRPr="00C15DED">
        <w:rPr>
          <w:rFonts w:ascii="Roboto" w:eastAsia="Times New Roman" w:hAnsi="Roboto" w:cs="Times New Roman"/>
          <w:b/>
          <w:bCs/>
          <w:color w:val="333333"/>
          <w:kern w:val="0"/>
          <w:sz w:val="19"/>
          <w:szCs w:val="19"/>
          <w:u w:val="single"/>
          <w:lang w:eastAsia="fr-FR"/>
          <w14:ligatures w14:val="none"/>
        </w:rPr>
        <w:t xml:space="preserve"> plan rénal</w:t>
      </w:r>
    </w:p>
    <w:p w14:paraId="73FA954B" w14:textId="77777777" w:rsidR="00C15DED" w:rsidRPr="00C15DED" w:rsidRDefault="00C15DED" w:rsidP="00C15DED">
      <w:pPr>
        <w:numPr>
          <w:ilvl w:val="0"/>
          <w:numId w:val="1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Sujets à fonction rénale normale : un bilan rénal mensuel est suffisant.</w:t>
      </w:r>
    </w:p>
    <w:p w14:paraId="6F3E427F" w14:textId="77777777" w:rsidR="00C15DED" w:rsidRPr="00C15DED" w:rsidRDefault="00C15DED" w:rsidP="00C15DED">
      <w:pPr>
        <w:numPr>
          <w:ilvl w:val="0"/>
          <w:numId w:val="14"/>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Sujets insuffisants rénaux chroniques : s'il y a nécessité absolue, le traitement par RIFATER, comprimé enrobé pourra être utilisé en milieu spécialisé.</w:t>
      </w:r>
    </w:p>
    <w:p w14:paraId="428A03D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lastRenderedPageBreak/>
        <w:t>4) Neuropathies périphériques</w:t>
      </w:r>
    </w:p>
    <w:p w14:paraId="43C212C4" w14:textId="77777777" w:rsidR="00C15DED" w:rsidRPr="00C15DED" w:rsidRDefault="00C15DED" w:rsidP="00C15DED">
      <w:pPr>
        <w:numPr>
          <w:ilvl w:val="0"/>
          <w:numId w:val="1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examen</w:t>
      </w:r>
      <w:proofErr w:type="gramEnd"/>
      <w:r w:rsidRPr="00C15DED">
        <w:rPr>
          <w:rFonts w:ascii="Roboto" w:eastAsia="Times New Roman" w:hAnsi="Roboto" w:cs="Times New Roman"/>
          <w:color w:val="333333"/>
          <w:kern w:val="0"/>
          <w:sz w:val="19"/>
          <w:szCs w:val="19"/>
          <w:lang w:eastAsia="fr-FR"/>
          <w14:ligatures w14:val="none"/>
        </w:rPr>
        <w:t xml:space="preserve"> clinique neurologique régulier ;</w:t>
      </w:r>
    </w:p>
    <w:p w14:paraId="0756C3DF" w14:textId="77777777" w:rsidR="00C15DED" w:rsidRPr="00C15DED" w:rsidRDefault="00C15DED" w:rsidP="00C15DED">
      <w:pPr>
        <w:numPr>
          <w:ilvl w:val="0"/>
          <w:numId w:val="1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prudence</w:t>
      </w:r>
      <w:proofErr w:type="gramEnd"/>
      <w:r w:rsidRPr="00C15DED">
        <w:rPr>
          <w:rFonts w:ascii="Roboto" w:eastAsia="Times New Roman" w:hAnsi="Roboto" w:cs="Times New Roman"/>
          <w:color w:val="333333"/>
          <w:kern w:val="0"/>
          <w:sz w:val="19"/>
          <w:szCs w:val="19"/>
          <w:lang w:eastAsia="fr-FR"/>
          <w14:ligatures w14:val="none"/>
        </w:rPr>
        <w:t xml:space="preserve"> particulière d'administration chez l'éthylique ;</w:t>
      </w:r>
    </w:p>
    <w:p w14:paraId="26A4ED3F" w14:textId="77777777" w:rsidR="00C15DED" w:rsidRPr="00C15DED" w:rsidRDefault="00C15DED" w:rsidP="00C15DED">
      <w:pPr>
        <w:numPr>
          <w:ilvl w:val="0"/>
          <w:numId w:val="15"/>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l'administration</w:t>
      </w:r>
      <w:proofErr w:type="gramEnd"/>
      <w:r w:rsidRPr="00C15DED">
        <w:rPr>
          <w:rFonts w:ascii="Roboto" w:eastAsia="Times New Roman" w:hAnsi="Roboto" w:cs="Times New Roman"/>
          <w:color w:val="333333"/>
          <w:kern w:val="0"/>
          <w:sz w:val="19"/>
          <w:szCs w:val="19"/>
          <w:lang w:eastAsia="fr-FR"/>
          <w14:ligatures w14:val="none"/>
        </w:rPr>
        <w:t xml:space="preserve"> de pyridoxine (vitamine B6) prévient ou fait régresser les rares cas de neuropathie provoqués par le médicament, tout particulièrement chez les sujets âgés ou malnutris.</w:t>
      </w:r>
    </w:p>
    <w:p w14:paraId="202E5C4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5) Troubles de la coagulation (voir rubrique </w:t>
      </w:r>
      <w:hyperlink r:id="rId19" w:anchor="effets_indesirables" w:history="1">
        <w:r w:rsidRPr="00C15DED">
          <w:rPr>
            <w:rFonts w:ascii="Roboto" w:eastAsia="Times New Roman" w:hAnsi="Roboto" w:cs="Times New Roman"/>
            <w:b/>
            <w:bCs/>
            <w:color w:val="843D93"/>
            <w:kern w:val="0"/>
            <w:sz w:val="18"/>
            <w:szCs w:val="18"/>
            <w:lang w:eastAsia="fr-FR"/>
            <w14:ligatures w14:val="none"/>
          </w:rPr>
          <w:t>Effets indésirables</w:t>
        </w:r>
      </w:hyperlink>
      <w:r w:rsidRPr="00C15DED">
        <w:rPr>
          <w:rFonts w:ascii="Roboto" w:eastAsia="Times New Roman" w:hAnsi="Roboto" w:cs="Times New Roman"/>
          <w:b/>
          <w:bCs/>
          <w:color w:val="333333"/>
          <w:kern w:val="0"/>
          <w:sz w:val="19"/>
          <w:szCs w:val="19"/>
          <w:u w:val="single"/>
          <w:lang w:eastAsia="fr-FR"/>
          <w14:ligatures w14:val="none"/>
        </w:rPr>
        <w:t>)</w:t>
      </w:r>
    </w:p>
    <w:p w14:paraId="2D98150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Des cas de troubles de la coagulation ont été rapportés au cours de l'utilisation de rifampicine, notamment associée à des médicaments de la classe des céphalosporines (dont la </w:t>
      </w:r>
      <w:proofErr w:type="spellStart"/>
      <w:r w:rsidRPr="00C15DED">
        <w:rPr>
          <w:rFonts w:ascii="Roboto" w:eastAsia="Times New Roman" w:hAnsi="Roboto" w:cs="Times New Roman"/>
          <w:color w:val="333333"/>
          <w:kern w:val="0"/>
          <w:sz w:val="19"/>
          <w:szCs w:val="19"/>
          <w:lang w:eastAsia="fr-FR"/>
          <w14:ligatures w14:val="none"/>
        </w:rPr>
        <w:t>céfazoline</w:t>
      </w:r>
      <w:proofErr w:type="spellEnd"/>
      <w:r w:rsidRPr="00C15DED">
        <w:rPr>
          <w:rFonts w:ascii="Roboto" w:eastAsia="Times New Roman" w:hAnsi="Roboto" w:cs="Times New Roman"/>
          <w:color w:val="333333"/>
          <w:kern w:val="0"/>
          <w:sz w:val="19"/>
          <w:szCs w:val="19"/>
          <w:lang w:eastAsia="fr-FR"/>
          <w14:ligatures w14:val="none"/>
        </w:rPr>
        <w:t>). Une surveillance appropriée doit être mise en place chez les patients à risque (patients présentant des facteurs de risques induisant une déficience en vitamine K ou affectant d'autres mécanismes de la coagulation). Une administration supplémentaire de vitamine K doit être envisagée si appropriée (carence en vitamine K, hypoprothrombinémie).</w:t>
      </w:r>
    </w:p>
    <w:p w14:paraId="3E6C38B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6) Traitement intermittent</w:t>
      </w:r>
    </w:p>
    <w:p w14:paraId="58C97A2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Les manifestations d'hypersensibilité sont fréquemment, voire exclusivement, liées à des administrations intermittentes ou à des arrêts-reprises de la rifampicine (voir rubrique </w:t>
      </w:r>
      <w:hyperlink r:id="rId20" w:anchor="effets_indesirables" w:history="1">
        <w:r w:rsidRPr="00C15DED">
          <w:rPr>
            <w:rFonts w:ascii="Roboto" w:eastAsia="Times New Roman" w:hAnsi="Roboto" w:cs="Times New Roman"/>
            <w:color w:val="843D93"/>
            <w:kern w:val="0"/>
            <w:sz w:val="18"/>
            <w:szCs w:val="18"/>
            <w:lang w:eastAsia="fr-FR"/>
            <w14:ligatures w14:val="none"/>
          </w:rPr>
          <w:t>Effets indésirables</w:t>
        </w:r>
      </w:hyperlink>
      <w:r w:rsidRPr="00C15DED">
        <w:rPr>
          <w:rFonts w:ascii="Roboto" w:eastAsia="Times New Roman" w:hAnsi="Roboto" w:cs="Times New Roman"/>
          <w:color w:val="333333"/>
          <w:kern w:val="0"/>
          <w:sz w:val="19"/>
          <w:szCs w:val="19"/>
          <w:lang w:eastAsia="fr-FR"/>
          <w14:ligatures w14:val="none"/>
        </w:rPr>
        <w:t>).</w:t>
      </w:r>
    </w:p>
    <w:p w14:paraId="4460460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7) Précautions liées aux traitements associés</w:t>
      </w:r>
    </w:p>
    <w:p w14:paraId="3C6B007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w:t>
      </w:r>
      <w:proofErr w:type="gramStart"/>
      <w:r w:rsidRPr="00C15DED">
        <w:rPr>
          <w:rFonts w:ascii="Roboto" w:eastAsia="Times New Roman" w:hAnsi="Roboto" w:cs="Times New Roman"/>
          <w:color w:val="333333"/>
          <w:kern w:val="0"/>
          <w:sz w:val="19"/>
          <w:szCs w:val="19"/>
          <w:lang w:eastAsia="fr-FR"/>
          <w14:ligatures w14:val="none"/>
        </w:rPr>
        <w:t>voir</w:t>
      </w:r>
      <w:proofErr w:type="gramEnd"/>
      <w:r w:rsidRPr="00C15DED">
        <w:rPr>
          <w:rFonts w:ascii="Roboto" w:eastAsia="Times New Roman" w:hAnsi="Roboto" w:cs="Times New Roman"/>
          <w:color w:val="333333"/>
          <w:kern w:val="0"/>
          <w:sz w:val="19"/>
          <w:szCs w:val="19"/>
          <w:lang w:eastAsia="fr-FR"/>
          <w14:ligatures w14:val="none"/>
        </w:rPr>
        <w:t xml:space="preserve"> rubrique </w:t>
      </w:r>
      <w:hyperlink r:id="rId21" w:anchor="interactions" w:history="1">
        <w:r w:rsidRPr="00C15DED">
          <w:rPr>
            <w:rFonts w:ascii="Roboto" w:eastAsia="Times New Roman" w:hAnsi="Roboto" w:cs="Times New Roman"/>
            <w:color w:val="843D93"/>
            <w:kern w:val="0"/>
            <w:sz w:val="18"/>
            <w:szCs w:val="18"/>
            <w:lang w:eastAsia="fr-FR"/>
            <w14:ligatures w14:val="none"/>
          </w:rPr>
          <w:t>Interactions</w:t>
        </w:r>
      </w:hyperlink>
      <w:r w:rsidRPr="00C15DED">
        <w:rPr>
          <w:rFonts w:ascii="Roboto" w:eastAsia="Times New Roman" w:hAnsi="Roboto" w:cs="Times New Roman"/>
          <w:color w:val="333333"/>
          <w:kern w:val="0"/>
          <w:sz w:val="19"/>
          <w:szCs w:val="19"/>
          <w:lang w:eastAsia="fr-FR"/>
          <w14:ligatures w14:val="none"/>
        </w:rPr>
        <w:t>).</w:t>
      </w:r>
    </w:p>
    <w:p w14:paraId="6FFD961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 xml:space="preserve">8) </w:t>
      </w:r>
      <w:proofErr w:type="gramStart"/>
      <w:r w:rsidRPr="00C15DED">
        <w:rPr>
          <w:rFonts w:ascii="Roboto" w:eastAsia="Times New Roman" w:hAnsi="Roboto" w:cs="Times New Roman"/>
          <w:b/>
          <w:bCs/>
          <w:color w:val="333333"/>
          <w:kern w:val="0"/>
          <w:sz w:val="19"/>
          <w:szCs w:val="19"/>
          <w:u w:val="single"/>
          <w:lang w:eastAsia="fr-FR"/>
          <w14:ligatures w14:val="none"/>
        </w:rPr>
        <w:t>Au</w:t>
      </w:r>
      <w:proofErr w:type="gramEnd"/>
      <w:r w:rsidRPr="00C15DED">
        <w:rPr>
          <w:rFonts w:ascii="Roboto" w:eastAsia="Times New Roman" w:hAnsi="Roboto" w:cs="Times New Roman"/>
          <w:b/>
          <w:bCs/>
          <w:color w:val="333333"/>
          <w:kern w:val="0"/>
          <w:sz w:val="19"/>
          <w:szCs w:val="19"/>
          <w:u w:val="single"/>
          <w:lang w:eastAsia="fr-FR"/>
          <w14:ligatures w14:val="none"/>
        </w:rPr>
        <w:t xml:space="preserve"> plan surrénal</w:t>
      </w:r>
    </w:p>
    <w:p w14:paraId="6E74E24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La prise de RIFATER, comprimé enrobé peut décompenser une insuffisance surrénale latente ou compensée par un traitement corticoïde. Il est donc recommandé de surveiller ces patients et de réaliser les tests de fonction </w:t>
      </w:r>
      <w:proofErr w:type="spellStart"/>
      <w:r w:rsidRPr="00C15DED">
        <w:rPr>
          <w:rFonts w:ascii="Roboto" w:eastAsia="Times New Roman" w:hAnsi="Roboto" w:cs="Times New Roman"/>
          <w:color w:val="333333"/>
          <w:kern w:val="0"/>
          <w:sz w:val="19"/>
          <w:szCs w:val="19"/>
          <w:lang w:eastAsia="fr-FR"/>
          <w14:ligatures w14:val="none"/>
        </w:rPr>
        <w:t>cortico-surrénalienne</w:t>
      </w:r>
      <w:proofErr w:type="spellEnd"/>
      <w:r w:rsidRPr="00C15DED">
        <w:rPr>
          <w:rFonts w:ascii="Roboto" w:eastAsia="Times New Roman" w:hAnsi="Roboto" w:cs="Times New Roman"/>
          <w:color w:val="333333"/>
          <w:kern w:val="0"/>
          <w:sz w:val="19"/>
          <w:szCs w:val="19"/>
          <w:lang w:eastAsia="fr-FR"/>
          <w14:ligatures w14:val="none"/>
        </w:rPr>
        <w:t xml:space="preserve"> au moindre doute.</w:t>
      </w:r>
    </w:p>
    <w:p w14:paraId="15198E7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9) Coloration anormale des dents, de l'urine, des crachats et des larmes.</w:t>
      </w:r>
    </w:p>
    <w:p w14:paraId="107C436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La rifampicine peut entraîner une coloration anormale (jaune, orange, rouge, brune) des dents, de l'urine, de la sueur, des crachats et des larmes ; le patient doit en être informé. Elle peut colorer de façon permanente les lentilles de contact.</w:t>
      </w:r>
    </w:p>
    <w:p w14:paraId="0A319E4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10) Interactions avec les examens paracliniques</w:t>
      </w:r>
    </w:p>
    <w:p w14:paraId="2C91F2E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La rifampicine peut retarder l'excrétion biliaire des produits de contraste utilisés pour l'examen radiographique de la vésicule biliaire.</w:t>
      </w:r>
    </w:p>
    <w:p w14:paraId="7620F52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Les méthodes microbiologiques servant à déterminer la concentration plasmatique de l'acide folique et de la vitamine B12 ne sont pas utilisables pendant le traitement par la rifampicine.</w:t>
      </w:r>
    </w:p>
    <w:p w14:paraId="696942C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La rifampicine entre en compétition, à titre temporaire, avec la bilirubine et la BSP. Pour éviter les faux résultats positifs, le test à la BSP devra être réalisé le matin avant l'administration de la rifampicine.</w:t>
      </w:r>
    </w:p>
    <w:p w14:paraId="0633273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La lecture des bandelettes réactives type </w:t>
      </w:r>
      <w:proofErr w:type="spellStart"/>
      <w:r w:rsidRPr="00C15DED">
        <w:rPr>
          <w:rFonts w:ascii="Roboto" w:eastAsia="Times New Roman" w:hAnsi="Roboto" w:cs="Times New Roman"/>
          <w:color w:val="333333"/>
          <w:kern w:val="0"/>
          <w:sz w:val="19"/>
          <w:szCs w:val="19"/>
          <w:lang w:eastAsia="fr-FR"/>
          <w14:ligatures w14:val="none"/>
        </w:rPr>
        <w:t>Acétest</w:t>
      </w:r>
      <w:proofErr w:type="spellEnd"/>
      <w:r w:rsidRPr="00C15DED">
        <w:rPr>
          <w:rFonts w:ascii="Roboto" w:eastAsia="Times New Roman" w:hAnsi="Roboto" w:cs="Times New Roman"/>
          <w:color w:val="333333"/>
          <w:kern w:val="0"/>
          <w:sz w:val="19"/>
          <w:szCs w:val="19"/>
          <w:lang w:eastAsia="fr-FR"/>
          <w14:ligatures w14:val="none"/>
        </w:rPr>
        <w:t xml:space="preserve">, pour la recherche d'une cétonurie est ininterprétable chez les malades traités par le </w:t>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r w:rsidRPr="00C15DED">
        <w:rPr>
          <w:rFonts w:ascii="Roboto" w:eastAsia="Times New Roman" w:hAnsi="Roboto" w:cs="Times New Roman"/>
          <w:color w:val="333333"/>
          <w:kern w:val="0"/>
          <w:sz w:val="19"/>
          <w:szCs w:val="19"/>
          <w:lang w:eastAsia="fr-FR"/>
          <w14:ligatures w14:val="none"/>
        </w:rPr>
        <w:t>.</w:t>
      </w:r>
    </w:p>
    <w:p w14:paraId="7373D31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Une réactivité croisée avec fausse positivité urinaire aux opiacés ayant été rapportée chez des patients traités par rifampicine, en particulier lors de la détection par méthode KIMS (</w:t>
      </w:r>
      <w:proofErr w:type="spellStart"/>
      <w:r w:rsidRPr="00C15DED">
        <w:rPr>
          <w:rFonts w:ascii="Roboto" w:eastAsia="Times New Roman" w:hAnsi="Roboto" w:cs="Times New Roman"/>
          <w:color w:val="333333"/>
          <w:kern w:val="0"/>
          <w:sz w:val="19"/>
          <w:szCs w:val="19"/>
          <w:lang w:eastAsia="fr-FR"/>
          <w14:ligatures w14:val="none"/>
        </w:rPr>
        <w:t>Kinetic</w:t>
      </w:r>
      <w:proofErr w:type="spellEnd"/>
      <w:r w:rsidRPr="00C15DED">
        <w:rPr>
          <w:rFonts w:ascii="Roboto" w:eastAsia="Times New Roman" w:hAnsi="Roboto" w:cs="Times New Roman"/>
          <w:color w:val="333333"/>
          <w:kern w:val="0"/>
          <w:sz w:val="19"/>
          <w:szCs w:val="19"/>
          <w:lang w:eastAsia="fr-FR"/>
          <w14:ligatures w14:val="none"/>
        </w:rPr>
        <w:t xml:space="preserve"> Interaction of Microparticules in Solution), il est recommandé de vérifier les résultats par des tests tels que chromatographie gazeuse/spectrométrie de masse.</w:t>
      </w:r>
    </w:p>
    <w:p w14:paraId="3D7664C9"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020552DB"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709"/>
      </w:tblGrid>
      <w:tr w:rsidR="00C15DED" w:rsidRPr="00C15DED" w14:paraId="3580C31F" w14:textId="77777777" w:rsidTr="00C15DED">
        <w:tc>
          <w:tcPr>
            <w:tcW w:w="0" w:type="auto"/>
            <w:shd w:val="clear" w:color="auto" w:fill="CC3300"/>
            <w:tcMar>
              <w:top w:w="0" w:type="dxa"/>
              <w:left w:w="75" w:type="dxa"/>
              <w:bottom w:w="0" w:type="dxa"/>
              <w:right w:w="75" w:type="dxa"/>
            </w:tcMar>
            <w:vAlign w:val="center"/>
            <w:hideMark/>
          </w:tcPr>
          <w:p w14:paraId="21485B40" w14:textId="77777777" w:rsidR="00C15DED" w:rsidRPr="00C15DED" w:rsidRDefault="00C15DED" w:rsidP="00C15DED">
            <w:pPr>
              <w:spacing w:after="105" w:line="240" w:lineRule="auto"/>
              <w:rPr>
                <w:rFonts w:ascii="Roboto" w:eastAsia="Times New Roman" w:hAnsi="Roboto" w:cs="Times New Roman"/>
                <w:b/>
                <w:bCs/>
                <w:color w:val="FFFFFF"/>
                <w:kern w:val="0"/>
                <w:sz w:val="21"/>
                <w:szCs w:val="21"/>
                <w:lang w:eastAsia="fr-FR"/>
                <w14:ligatures w14:val="none"/>
              </w:rPr>
            </w:pPr>
            <w:r w:rsidRPr="00C15DED">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6FE168DC" w14:textId="77777777" w:rsidR="00C15DED" w:rsidRPr="00C15DED" w:rsidRDefault="00C15DED" w:rsidP="00C15DED">
            <w:pPr>
              <w:spacing w:after="105" w:line="240" w:lineRule="auto"/>
              <w:rPr>
                <w:rFonts w:ascii="Roboto" w:eastAsia="Times New Roman" w:hAnsi="Roboto" w:cs="Times New Roman"/>
                <w:kern w:val="0"/>
                <w:sz w:val="18"/>
                <w:szCs w:val="18"/>
                <w:lang w:eastAsia="fr-FR"/>
                <w14:ligatures w14:val="none"/>
              </w:rPr>
            </w:pPr>
            <w:r w:rsidRPr="00C15DED">
              <w:rPr>
                <w:rFonts w:ascii="Roboto" w:eastAsia="Times New Roman" w:hAnsi="Roboto" w:cs="Times New Roman"/>
                <w:b/>
                <w:bCs/>
                <w:caps/>
                <w:color w:val="C70036"/>
                <w:kern w:val="0"/>
                <w:lang w:eastAsia="fr-FR"/>
                <w14:ligatures w14:val="none"/>
              </w:rPr>
              <w:t>INTERACTIONS</w:t>
            </w:r>
            <w:r w:rsidRPr="00C15DED">
              <w:rPr>
                <w:rFonts w:ascii="Roboto" w:eastAsia="Times New Roman" w:hAnsi="Roboto" w:cs="Times New Roman"/>
                <w:kern w:val="0"/>
                <w:sz w:val="18"/>
                <w:szCs w:val="18"/>
                <w:lang w:eastAsia="fr-FR"/>
                <w14:ligatures w14:val="none"/>
              </w:rPr>
              <w:t> </w:t>
            </w:r>
          </w:p>
        </w:tc>
      </w:tr>
    </w:tbl>
    <w:p w14:paraId="27CA583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Anti-infectieux et INR</w:t>
      </w:r>
    </w:p>
    <w:p w14:paraId="18A6718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De nombreux cas d'augmentation de l'activité antivitamine K ont été rapportés chez des patients recevant des antibiotiques. Le contexte infectieux ou inflammatoire marqué, l'âge et l'état général du patient apparaissent comme des facteurs de risque. Dans ces circonstances, il apparaît difficile de faire la part entre la pathologie infectieuse et son traitement dans la survenue du déséquilibre de l'INR.</w:t>
      </w:r>
    </w:p>
    <w:p w14:paraId="445CEE3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 xml:space="preserve">L'utilisation concomitante de la rifampicine avec d'autres antibiotiques provoquant une coagulopathie dépendante de la vitamine K, telle que la </w:t>
      </w:r>
      <w:proofErr w:type="spellStart"/>
      <w:r w:rsidRPr="00C15DED">
        <w:rPr>
          <w:rFonts w:ascii="Roboto" w:eastAsia="Times New Roman" w:hAnsi="Roboto" w:cs="Times New Roman"/>
          <w:color w:val="333333"/>
          <w:kern w:val="0"/>
          <w:sz w:val="19"/>
          <w:szCs w:val="19"/>
          <w:lang w:eastAsia="fr-FR"/>
          <w14:ligatures w14:val="none"/>
        </w:rPr>
        <w:t>céfazoline</w:t>
      </w:r>
      <w:proofErr w:type="spellEnd"/>
      <w:r w:rsidRPr="00C15DED">
        <w:rPr>
          <w:rFonts w:ascii="Roboto" w:eastAsia="Times New Roman" w:hAnsi="Roboto" w:cs="Times New Roman"/>
          <w:color w:val="333333"/>
          <w:kern w:val="0"/>
          <w:sz w:val="19"/>
          <w:szCs w:val="19"/>
          <w:lang w:eastAsia="fr-FR"/>
          <w14:ligatures w14:val="none"/>
        </w:rPr>
        <w:t xml:space="preserve"> (ou d'autres céphalosporines à chaînes latérales N-</w:t>
      </w:r>
      <w:proofErr w:type="spellStart"/>
      <w:r w:rsidRPr="00C15DED">
        <w:rPr>
          <w:rFonts w:ascii="Roboto" w:eastAsia="Times New Roman" w:hAnsi="Roboto" w:cs="Times New Roman"/>
          <w:color w:val="333333"/>
          <w:kern w:val="0"/>
          <w:sz w:val="19"/>
          <w:szCs w:val="19"/>
          <w:lang w:eastAsia="fr-FR"/>
          <w14:ligatures w14:val="none"/>
        </w:rPr>
        <w:t>méthylthiotétrazole</w:t>
      </w:r>
      <w:proofErr w:type="spellEnd"/>
      <w:r w:rsidRPr="00C15DED">
        <w:rPr>
          <w:rFonts w:ascii="Roboto" w:eastAsia="Times New Roman" w:hAnsi="Roboto" w:cs="Times New Roman"/>
          <w:color w:val="333333"/>
          <w:kern w:val="0"/>
          <w:sz w:val="19"/>
          <w:szCs w:val="19"/>
          <w:lang w:eastAsia="fr-FR"/>
          <w14:ligatures w14:val="none"/>
        </w:rPr>
        <w:t xml:space="preserve">) doit être évitée car elle peut entraîner de graves troubles de la coagulation pouvant conduire à des conséquences fatales (surtout à doses élevées). En cas de </w:t>
      </w:r>
      <w:proofErr w:type="spellStart"/>
      <w:r w:rsidRPr="00C15DED">
        <w:rPr>
          <w:rFonts w:ascii="Roboto" w:eastAsia="Times New Roman" w:hAnsi="Roboto" w:cs="Times New Roman"/>
          <w:color w:val="333333"/>
          <w:kern w:val="0"/>
          <w:sz w:val="19"/>
          <w:szCs w:val="19"/>
          <w:lang w:eastAsia="fr-FR"/>
          <w14:ligatures w14:val="none"/>
        </w:rPr>
        <w:t>co</w:t>
      </w:r>
      <w:proofErr w:type="spellEnd"/>
      <w:r w:rsidRPr="00C15DED">
        <w:rPr>
          <w:rFonts w:ascii="Roboto" w:eastAsia="Times New Roman" w:hAnsi="Roboto" w:cs="Times New Roman"/>
          <w:color w:val="333333"/>
          <w:kern w:val="0"/>
          <w:sz w:val="19"/>
          <w:szCs w:val="19"/>
          <w:lang w:eastAsia="fr-FR"/>
          <w14:ligatures w14:val="none"/>
        </w:rPr>
        <w:t>-administration, il est recommandé de renforcer la surveillance de l'INR.</w:t>
      </w:r>
    </w:p>
    <w:p w14:paraId="3C2BFFC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Induction enzymatique</w:t>
      </w:r>
    </w:p>
    <w:p w14:paraId="7F009E4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La rifampicine est un inducteur puissant d'enzymes du métabolisme, notamment les cytochromes P450 (CYP450) 1A2, 2B6, 2C8, 2C9, 2C19 et 3A4, les UDP-</w:t>
      </w:r>
      <w:proofErr w:type="spellStart"/>
      <w:r w:rsidRPr="00C15DED">
        <w:rPr>
          <w:rFonts w:ascii="Roboto" w:eastAsia="Times New Roman" w:hAnsi="Roboto" w:cs="Times New Roman"/>
          <w:color w:val="333333"/>
          <w:kern w:val="0"/>
          <w:sz w:val="19"/>
          <w:szCs w:val="19"/>
          <w:lang w:eastAsia="fr-FR"/>
          <w14:ligatures w14:val="none"/>
        </w:rPr>
        <w:t>glucuronosyltransférases</w:t>
      </w:r>
      <w:proofErr w:type="spellEnd"/>
      <w:r w:rsidRPr="00C15DED">
        <w:rPr>
          <w:rFonts w:ascii="Roboto" w:eastAsia="Times New Roman" w:hAnsi="Roboto" w:cs="Times New Roman"/>
          <w:color w:val="333333"/>
          <w:kern w:val="0"/>
          <w:sz w:val="19"/>
          <w:szCs w:val="19"/>
          <w:lang w:eastAsia="fr-FR"/>
          <w14:ligatures w14:val="none"/>
        </w:rPr>
        <w:t xml:space="preserve"> (UGT). Des études </w:t>
      </w:r>
      <w:r w:rsidRPr="00C15DED">
        <w:rPr>
          <w:rFonts w:ascii="Roboto" w:eastAsia="Times New Roman" w:hAnsi="Roboto" w:cs="Times New Roman"/>
          <w:i/>
          <w:iCs/>
          <w:color w:val="333333"/>
          <w:kern w:val="0"/>
          <w:sz w:val="19"/>
          <w:szCs w:val="19"/>
          <w:lang w:eastAsia="fr-FR"/>
          <w14:ligatures w14:val="none"/>
        </w:rPr>
        <w:t>in vitro</w:t>
      </w:r>
      <w:r w:rsidRPr="00C15DED">
        <w:rPr>
          <w:rFonts w:ascii="Roboto" w:eastAsia="Times New Roman" w:hAnsi="Roboto" w:cs="Times New Roman"/>
          <w:color w:val="333333"/>
          <w:kern w:val="0"/>
          <w:sz w:val="19"/>
          <w:szCs w:val="19"/>
          <w:lang w:eastAsia="fr-FR"/>
          <w14:ligatures w14:val="none"/>
        </w:rPr>
        <w:t> et </w:t>
      </w:r>
      <w:r w:rsidRPr="00C15DED">
        <w:rPr>
          <w:rFonts w:ascii="Roboto" w:eastAsia="Times New Roman" w:hAnsi="Roboto" w:cs="Times New Roman"/>
          <w:i/>
          <w:iCs/>
          <w:color w:val="333333"/>
          <w:kern w:val="0"/>
          <w:sz w:val="19"/>
          <w:szCs w:val="19"/>
          <w:lang w:eastAsia="fr-FR"/>
          <w14:ligatures w14:val="none"/>
        </w:rPr>
        <w:t>in vivo</w:t>
      </w:r>
      <w:r w:rsidRPr="00C15DED">
        <w:rPr>
          <w:rFonts w:ascii="Roboto" w:eastAsia="Times New Roman" w:hAnsi="Roboto" w:cs="Times New Roman"/>
          <w:color w:val="333333"/>
          <w:kern w:val="0"/>
          <w:sz w:val="19"/>
          <w:szCs w:val="19"/>
          <w:lang w:eastAsia="fr-FR"/>
          <w14:ligatures w14:val="none"/>
        </w:rPr>
        <w:t xml:space="preserve"> ont montré qu'elle induit également les transporteurs tels que la P-glycoprotéine (P-gp), la </w:t>
      </w:r>
      <w:proofErr w:type="spellStart"/>
      <w:r w:rsidRPr="00C15DED">
        <w:rPr>
          <w:rFonts w:ascii="Roboto" w:eastAsia="Times New Roman" w:hAnsi="Roboto" w:cs="Times New Roman"/>
          <w:color w:val="333333"/>
          <w:kern w:val="0"/>
          <w:sz w:val="19"/>
          <w:szCs w:val="19"/>
          <w:lang w:eastAsia="fr-FR"/>
          <w14:ligatures w14:val="none"/>
        </w:rPr>
        <w:t>Breast</w:t>
      </w:r>
      <w:proofErr w:type="spellEnd"/>
      <w:r w:rsidRPr="00C15DED">
        <w:rPr>
          <w:rFonts w:ascii="Roboto" w:eastAsia="Times New Roman" w:hAnsi="Roboto" w:cs="Times New Roman"/>
          <w:color w:val="333333"/>
          <w:kern w:val="0"/>
          <w:sz w:val="19"/>
          <w:szCs w:val="19"/>
          <w:lang w:eastAsia="fr-FR"/>
          <w14:ligatures w14:val="none"/>
        </w:rPr>
        <w:t xml:space="preserve"> Cancer Resistance </w:t>
      </w:r>
      <w:proofErr w:type="spellStart"/>
      <w:r w:rsidRPr="00C15DED">
        <w:rPr>
          <w:rFonts w:ascii="Roboto" w:eastAsia="Times New Roman" w:hAnsi="Roboto" w:cs="Times New Roman"/>
          <w:color w:val="333333"/>
          <w:kern w:val="0"/>
          <w:sz w:val="19"/>
          <w:szCs w:val="19"/>
          <w:lang w:eastAsia="fr-FR"/>
          <w14:ligatures w14:val="none"/>
        </w:rPr>
        <w:t>Protein</w:t>
      </w:r>
      <w:proofErr w:type="spellEnd"/>
      <w:r w:rsidRPr="00C15DED">
        <w:rPr>
          <w:rFonts w:ascii="Roboto" w:eastAsia="Times New Roman" w:hAnsi="Roboto" w:cs="Times New Roman"/>
          <w:color w:val="333333"/>
          <w:kern w:val="0"/>
          <w:sz w:val="19"/>
          <w:szCs w:val="19"/>
          <w:lang w:eastAsia="fr-FR"/>
          <w14:ligatures w14:val="none"/>
        </w:rPr>
        <w:t xml:space="preserve"> (BCRP) et la protéine 2 de </w:t>
      </w:r>
      <w:proofErr w:type="spellStart"/>
      <w:r w:rsidRPr="00C15DED">
        <w:rPr>
          <w:rFonts w:ascii="Roboto" w:eastAsia="Times New Roman" w:hAnsi="Roboto" w:cs="Times New Roman"/>
          <w:color w:val="333333"/>
          <w:kern w:val="0"/>
          <w:sz w:val="19"/>
          <w:szCs w:val="19"/>
          <w:lang w:eastAsia="fr-FR"/>
          <w14:ligatures w14:val="none"/>
        </w:rPr>
        <w:t>multi-résistance</w:t>
      </w:r>
      <w:proofErr w:type="spellEnd"/>
      <w:r w:rsidRPr="00C15DED">
        <w:rPr>
          <w:rFonts w:ascii="Roboto" w:eastAsia="Times New Roman" w:hAnsi="Roboto" w:cs="Times New Roman"/>
          <w:color w:val="333333"/>
          <w:kern w:val="0"/>
          <w:sz w:val="19"/>
          <w:szCs w:val="19"/>
          <w:lang w:eastAsia="fr-FR"/>
          <w14:ligatures w14:val="none"/>
        </w:rPr>
        <w:t xml:space="preserve"> aux médicaments (MRP2 - </w:t>
      </w:r>
      <w:proofErr w:type="spellStart"/>
      <w:r w:rsidRPr="00C15DED">
        <w:rPr>
          <w:rFonts w:ascii="Roboto" w:eastAsia="Times New Roman" w:hAnsi="Roboto" w:cs="Times New Roman"/>
          <w:color w:val="333333"/>
          <w:kern w:val="0"/>
          <w:sz w:val="19"/>
          <w:szCs w:val="19"/>
          <w:lang w:eastAsia="fr-FR"/>
          <w14:ligatures w14:val="none"/>
        </w:rPr>
        <w:t>Multidrug</w:t>
      </w:r>
      <w:proofErr w:type="spellEnd"/>
      <w:r w:rsidRPr="00C15DED">
        <w:rPr>
          <w:rFonts w:ascii="Roboto" w:eastAsia="Times New Roman" w:hAnsi="Roboto" w:cs="Times New Roman"/>
          <w:color w:val="333333"/>
          <w:kern w:val="0"/>
          <w:sz w:val="19"/>
          <w:szCs w:val="19"/>
          <w:lang w:eastAsia="fr-FR"/>
          <w14:ligatures w14:val="none"/>
        </w:rPr>
        <w:t xml:space="preserve"> Resistance </w:t>
      </w:r>
      <w:proofErr w:type="spellStart"/>
      <w:r w:rsidRPr="00C15DED">
        <w:rPr>
          <w:rFonts w:ascii="Roboto" w:eastAsia="Times New Roman" w:hAnsi="Roboto" w:cs="Times New Roman"/>
          <w:color w:val="333333"/>
          <w:kern w:val="0"/>
          <w:sz w:val="19"/>
          <w:szCs w:val="19"/>
          <w:lang w:eastAsia="fr-FR"/>
          <w14:ligatures w14:val="none"/>
        </w:rPr>
        <w:t>associated</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Protein</w:t>
      </w:r>
      <w:proofErr w:type="spellEnd"/>
      <w:r w:rsidRPr="00C15DED">
        <w:rPr>
          <w:rFonts w:ascii="Roboto" w:eastAsia="Times New Roman" w:hAnsi="Roboto" w:cs="Times New Roman"/>
          <w:color w:val="333333"/>
          <w:kern w:val="0"/>
          <w:sz w:val="19"/>
          <w:szCs w:val="19"/>
          <w:lang w:eastAsia="fr-FR"/>
          <w14:ligatures w14:val="none"/>
        </w:rPr>
        <w:t xml:space="preserve"> 2). De nombreux médicaments sont des substrats d'au moins une ou plusieurs enzymes ou/et de ces transporteurs. La rifampicine pourrait accélérer le métabolisme et donc diminuer l'activité de certains médicaments </w:t>
      </w:r>
      <w:proofErr w:type="spellStart"/>
      <w:r w:rsidRPr="00C15DED">
        <w:rPr>
          <w:rFonts w:ascii="Roboto" w:eastAsia="Times New Roman" w:hAnsi="Roboto" w:cs="Times New Roman"/>
          <w:color w:val="333333"/>
          <w:kern w:val="0"/>
          <w:sz w:val="19"/>
          <w:szCs w:val="19"/>
          <w:lang w:eastAsia="fr-FR"/>
          <w14:ligatures w14:val="none"/>
        </w:rPr>
        <w:t>co-administrés</w:t>
      </w:r>
      <w:proofErr w:type="spellEnd"/>
      <w:r w:rsidRPr="00C15DED">
        <w:rPr>
          <w:rFonts w:ascii="Roboto" w:eastAsia="Times New Roman" w:hAnsi="Roboto" w:cs="Times New Roman"/>
          <w:color w:val="333333"/>
          <w:kern w:val="0"/>
          <w:sz w:val="19"/>
          <w:szCs w:val="19"/>
          <w:lang w:eastAsia="fr-FR"/>
          <w14:ligatures w14:val="none"/>
        </w:rPr>
        <w:t xml:space="preserve"> ou augmenter l'activité d'une prodrogue </w:t>
      </w:r>
      <w:proofErr w:type="spellStart"/>
      <w:r w:rsidRPr="00C15DED">
        <w:rPr>
          <w:rFonts w:ascii="Roboto" w:eastAsia="Times New Roman" w:hAnsi="Roboto" w:cs="Times New Roman"/>
          <w:color w:val="333333"/>
          <w:kern w:val="0"/>
          <w:sz w:val="19"/>
          <w:szCs w:val="19"/>
          <w:lang w:eastAsia="fr-FR"/>
          <w14:ligatures w14:val="none"/>
        </w:rPr>
        <w:t>co-administrée</w:t>
      </w:r>
      <w:proofErr w:type="spellEnd"/>
      <w:r w:rsidRPr="00C15DED">
        <w:rPr>
          <w:rFonts w:ascii="Roboto" w:eastAsia="Times New Roman" w:hAnsi="Roboto" w:cs="Times New Roman"/>
          <w:color w:val="333333"/>
          <w:kern w:val="0"/>
          <w:sz w:val="19"/>
          <w:szCs w:val="19"/>
          <w:lang w:eastAsia="fr-FR"/>
          <w14:ligatures w14:val="none"/>
        </w:rPr>
        <w:t xml:space="preserve"> (lorsqu'une activation métabolique est requise), et est par conséquent susceptible d'induire des interactions médicamenteuses cliniquement importantes avec de nombreux médicaments appartenant à différentes classes de médicaments. A l'instauration ou à l'arrêt de l'administration de ces médicaments, un ajustement de la posologie de ces traitements peut être nécessaire afin de maintenir des concentrations sanguines optimales sachant que l'effet inducteur atteint un niveau maximum en 15 jours environ et persiste 1 à 2 semaines après l'arrêt de la rifampicine.</w:t>
      </w:r>
    </w:p>
    <w:p w14:paraId="55C4147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Associations contre-indiquées (voir rubrique </w:t>
      </w:r>
      <w:hyperlink r:id="rId22" w:anchor="contre_indications" w:history="1">
        <w:r w:rsidRPr="00C15DED">
          <w:rPr>
            <w:rFonts w:ascii="Roboto" w:eastAsia="Times New Roman" w:hAnsi="Roboto" w:cs="Times New Roman"/>
            <w:b/>
            <w:bCs/>
            <w:color w:val="843D93"/>
            <w:kern w:val="0"/>
            <w:sz w:val="18"/>
            <w:szCs w:val="18"/>
            <w:lang w:eastAsia="fr-FR"/>
            <w14:ligatures w14:val="none"/>
          </w:rPr>
          <w:t>Contre-indications</w:t>
        </w:r>
      </w:hyperlink>
      <w:r w:rsidRPr="00C15DED">
        <w:rPr>
          <w:rFonts w:ascii="Roboto" w:eastAsia="Times New Roman" w:hAnsi="Roboto" w:cs="Times New Roman"/>
          <w:b/>
          <w:bCs/>
          <w:color w:val="333333"/>
          <w:kern w:val="0"/>
          <w:sz w:val="19"/>
          <w:szCs w:val="19"/>
          <w:u w:val="single"/>
          <w:lang w:eastAsia="fr-FR"/>
          <w14:ligatures w14:val="none"/>
        </w:rPr>
        <w:t>)</w:t>
      </w:r>
    </w:p>
    <w:p w14:paraId="5E51954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lang w:eastAsia="fr-FR"/>
          <w14:ligatures w14:val="none"/>
        </w:rPr>
        <w:t>Liées à la rifampicine</w:t>
      </w:r>
    </w:p>
    <w:p w14:paraId="7AD7ED2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Bictégravir</w:t>
      </w:r>
      <w:proofErr w:type="spellEnd"/>
    </w:p>
    <w:p w14:paraId="48B0D0E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très importante des concentrations du </w:t>
      </w:r>
      <w:proofErr w:type="spellStart"/>
      <w:r w:rsidRPr="00C15DED">
        <w:rPr>
          <w:rFonts w:ascii="Roboto" w:eastAsia="Times New Roman" w:hAnsi="Roboto" w:cs="Times New Roman"/>
          <w:color w:val="333333"/>
          <w:kern w:val="0"/>
          <w:sz w:val="19"/>
          <w:szCs w:val="19"/>
          <w:lang w:eastAsia="fr-FR"/>
          <w14:ligatures w14:val="none"/>
        </w:rPr>
        <w:t>bictégravir</w:t>
      </w:r>
      <w:proofErr w:type="spellEnd"/>
      <w:r w:rsidRPr="00C15DED">
        <w:rPr>
          <w:rFonts w:ascii="Roboto" w:eastAsia="Times New Roman" w:hAnsi="Roboto" w:cs="Times New Roman"/>
          <w:color w:val="333333"/>
          <w:kern w:val="0"/>
          <w:sz w:val="19"/>
          <w:szCs w:val="19"/>
          <w:lang w:eastAsia="fr-FR"/>
          <w14:ligatures w14:val="none"/>
        </w:rPr>
        <w:t xml:space="preserve"> avec risque de perte d'efficacité.</w:t>
      </w:r>
    </w:p>
    <w:p w14:paraId="424ACD2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Cobicistat</w:t>
      </w:r>
      <w:proofErr w:type="spellEnd"/>
    </w:p>
    <w:p w14:paraId="4AAD944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diminution de l'efficacité du </w:t>
      </w:r>
      <w:proofErr w:type="spellStart"/>
      <w:r w:rsidRPr="00C15DED">
        <w:rPr>
          <w:rFonts w:ascii="Roboto" w:eastAsia="Times New Roman" w:hAnsi="Roboto" w:cs="Times New Roman"/>
          <w:color w:val="333333"/>
          <w:kern w:val="0"/>
          <w:sz w:val="19"/>
          <w:szCs w:val="19"/>
          <w:lang w:eastAsia="fr-FR"/>
          <w14:ligatures w14:val="none"/>
        </w:rPr>
        <w:t>cobicistat</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001E67B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Daclatasvir</w:t>
      </w:r>
      <w:proofErr w:type="spellEnd"/>
    </w:p>
    <w:p w14:paraId="297CF3D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daclatasvir</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39A2CF8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Dasabuvir</w:t>
      </w:r>
      <w:proofErr w:type="spellEnd"/>
    </w:p>
    <w:p w14:paraId="3600492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diminution des concentrations plasmatiques du </w:t>
      </w:r>
      <w:proofErr w:type="spellStart"/>
      <w:r w:rsidRPr="00C15DED">
        <w:rPr>
          <w:rFonts w:ascii="Roboto" w:eastAsia="Times New Roman" w:hAnsi="Roboto" w:cs="Times New Roman"/>
          <w:color w:val="333333"/>
          <w:kern w:val="0"/>
          <w:sz w:val="19"/>
          <w:szCs w:val="19"/>
          <w:lang w:eastAsia="fr-FR"/>
          <w14:ligatures w14:val="none"/>
        </w:rPr>
        <w:t>dasabuvir</w:t>
      </w:r>
      <w:proofErr w:type="spellEnd"/>
      <w:r w:rsidRPr="00C15DED">
        <w:rPr>
          <w:rFonts w:ascii="Roboto" w:eastAsia="Times New Roman" w:hAnsi="Roboto" w:cs="Times New Roman"/>
          <w:color w:val="333333"/>
          <w:kern w:val="0"/>
          <w:sz w:val="19"/>
          <w:szCs w:val="19"/>
          <w:lang w:eastAsia="fr-FR"/>
          <w14:ligatures w14:val="none"/>
        </w:rPr>
        <w:t xml:space="preserve"> par la rifampicine.</w:t>
      </w:r>
    </w:p>
    <w:p w14:paraId="4403589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Délamanid</w:t>
      </w:r>
      <w:proofErr w:type="spellEnd"/>
    </w:p>
    <w:p w14:paraId="4F69DF7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délamanid</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2BAE867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Grazoprévir</w:t>
      </w:r>
      <w:proofErr w:type="spellEnd"/>
      <w:r w:rsidRPr="00C15DED">
        <w:rPr>
          <w:rFonts w:ascii="Roboto" w:eastAsia="Times New Roman" w:hAnsi="Roboto" w:cs="Times New Roman"/>
          <w:b/>
          <w:bCs/>
          <w:color w:val="333333"/>
          <w:kern w:val="0"/>
          <w:sz w:val="19"/>
          <w:szCs w:val="19"/>
          <w:lang w:eastAsia="fr-FR"/>
          <w14:ligatures w14:val="none"/>
        </w:rPr>
        <w:t>/</w:t>
      </w:r>
      <w:proofErr w:type="spellStart"/>
      <w:r w:rsidRPr="00C15DED">
        <w:rPr>
          <w:rFonts w:ascii="Roboto" w:eastAsia="Times New Roman" w:hAnsi="Roboto" w:cs="Times New Roman"/>
          <w:b/>
          <w:bCs/>
          <w:color w:val="333333"/>
          <w:kern w:val="0"/>
          <w:sz w:val="19"/>
          <w:szCs w:val="19"/>
          <w:lang w:eastAsia="fr-FR"/>
          <w14:ligatures w14:val="none"/>
        </w:rPr>
        <w:t>elbasvir</w:t>
      </w:r>
      <w:proofErr w:type="spellEnd"/>
    </w:p>
    <w:p w14:paraId="6169397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diminution des concentrations de </w:t>
      </w:r>
      <w:proofErr w:type="spellStart"/>
      <w:r w:rsidRPr="00C15DED">
        <w:rPr>
          <w:rFonts w:ascii="Roboto" w:eastAsia="Times New Roman" w:hAnsi="Roboto" w:cs="Times New Roman"/>
          <w:color w:val="333333"/>
          <w:kern w:val="0"/>
          <w:sz w:val="19"/>
          <w:szCs w:val="19"/>
          <w:lang w:eastAsia="fr-FR"/>
          <w14:ligatures w14:val="none"/>
        </w:rPr>
        <w:t>grazoprévir</w:t>
      </w:r>
      <w:proofErr w:type="spellEnd"/>
      <w:r w:rsidRPr="00C15DED">
        <w:rPr>
          <w:rFonts w:ascii="Roboto" w:eastAsia="Times New Roman" w:hAnsi="Roboto" w:cs="Times New Roman"/>
          <w:color w:val="333333"/>
          <w:kern w:val="0"/>
          <w:sz w:val="19"/>
          <w:szCs w:val="19"/>
          <w:lang w:eastAsia="fr-FR"/>
          <w14:ligatures w14:val="none"/>
        </w:rPr>
        <w:t xml:space="preserve"> et d'</w:t>
      </w:r>
      <w:proofErr w:type="spellStart"/>
      <w:r w:rsidRPr="00C15DED">
        <w:rPr>
          <w:rFonts w:ascii="Roboto" w:eastAsia="Times New Roman" w:hAnsi="Roboto" w:cs="Times New Roman"/>
          <w:color w:val="333333"/>
          <w:kern w:val="0"/>
          <w:sz w:val="19"/>
          <w:szCs w:val="19"/>
          <w:lang w:eastAsia="fr-FR"/>
          <w14:ligatures w14:val="none"/>
        </w:rPr>
        <w:t>elbasvir</w:t>
      </w:r>
      <w:proofErr w:type="spellEnd"/>
      <w:r w:rsidRPr="00C15DED">
        <w:rPr>
          <w:rFonts w:ascii="Roboto" w:eastAsia="Times New Roman" w:hAnsi="Roboto" w:cs="Times New Roman"/>
          <w:color w:val="333333"/>
          <w:kern w:val="0"/>
          <w:sz w:val="19"/>
          <w:szCs w:val="19"/>
          <w:lang w:eastAsia="fr-FR"/>
          <w14:ligatures w14:val="none"/>
        </w:rPr>
        <w:t xml:space="preserve"> par la rifampicine, avec possible retentissement sur l'efficacité.</w:t>
      </w:r>
    </w:p>
    <w:p w14:paraId="1CCEEAA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Inhibiteurs de protéases boostés par ritonavir (</w:t>
      </w:r>
      <w:proofErr w:type="spellStart"/>
      <w:r w:rsidRPr="00C15DED">
        <w:rPr>
          <w:rFonts w:ascii="Roboto" w:eastAsia="Times New Roman" w:hAnsi="Roboto" w:cs="Times New Roman"/>
          <w:b/>
          <w:bCs/>
          <w:color w:val="333333"/>
          <w:kern w:val="0"/>
          <w:sz w:val="19"/>
          <w:szCs w:val="19"/>
          <w:lang w:eastAsia="fr-FR"/>
          <w14:ligatures w14:val="none"/>
        </w:rPr>
        <w:t>amprénavir</w:t>
      </w:r>
      <w:proofErr w:type="spellEnd"/>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atazanavir</w:t>
      </w:r>
      <w:proofErr w:type="spellEnd"/>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darunavir</w:t>
      </w:r>
      <w:proofErr w:type="spellEnd"/>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fosamprénavir</w:t>
      </w:r>
      <w:proofErr w:type="spellEnd"/>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indinavir</w:t>
      </w:r>
      <w:proofErr w:type="spellEnd"/>
      <w:r w:rsidRPr="00C15DED">
        <w:rPr>
          <w:rFonts w:ascii="Roboto" w:eastAsia="Times New Roman" w:hAnsi="Roboto" w:cs="Times New Roman"/>
          <w:b/>
          <w:bCs/>
          <w:color w:val="333333"/>
          <w:kern w:val="0"/>
          <w:sz w:val="19"/>
          <w:szCs w:val="19"/>
          <w:lang w:eastAsia="fr-FR"/>
          <w14:ligatures w14:val="none"/>
        </w:rPr>
        <w:t xml:space="preserve">, lopinavir, </w:t>
      </w:r>
      <w:proofErr w:type="spellStart"/>
      <w:r w:rsidRPr="00C15DED">
        <w:rPr>
          <w:rFonts w:ascii="Roboto" w:eastAsia="Times New Roman" w:hAnsi="Roboto" w:cs="Times New Roman"/>
          <w:b/>
          <w:bCs/>
          <w:color w:val="333333"/>
          <w:kern w:val="0"/>
          <w:sz w:val="19"/>
          <w:szCs w:val="19"/>
          <w:lang w:eastAsia="fr-FR"/>
          <w14:ligatures w14:val="none"/>
        </w:rPr>
        <w:t>saquinavir</w:t>
      </w:r>
      <w:proofErr w:type="spellEnd"/>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tipranavir</w:t>
      </w:r>
      <w:proofErr w:type="spellEnd"/>
      <w:r w:rsidRPr="00C15DED">
        <w:rPr>
          <w:rFonts w:ascii="Roboto" w:eastAsia="Times New Roman" w:hAnsi="Roboto" w:cs="Times New Roman"/>
          <w:b/>
          <w:bCs/>
          <w:color w:val="333333"/>
          <w:kern w:val="0"/>
          <w:sz w:val="19"/>
          <w:szCs w:val="19"/>
          <w:lang w:eastAsia="fr-FR"/>
          <w14:ligatures w14:val="none"/>
        </w:rPr>
        <w:t>)</w:t>
      </w:r>
    </w:p>
    <w:p w14:paraId="490C6FF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très importante des concentrations plasmatiques de l'inhibiteur de protéases, par augmentation de son métabolisme hépatique par la rifampicine.</w:t>
      </w:r>
    </w:p>
    <w:p w14:paraId="7D2F4CA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Pour l'association (</w:t>
      </w:r>
      <w:proofErr w:type="spellStart"/>
      <w:r w:rsidRPr="00C15DED">
        <w:rPr>
          <w:rFonts w:ascii="Roboto" w:eastAsia="Times New Roman" w:hAnsi="Roboto" w:cs="Times New Roman"/>
          <w:color w:val="333333"/>
          <w:kern w:val="0"/>
          <w:sz w:val="19"/>
          <w:szCs w:val="19"/>
          <w:lang w:eastAsia="fr-FR"/>
          <w14:ligatures w14:val="none"/>
        </w:rPr>
        <w:t>saquinavir</w:t>
      </w:r>
      <w:proofErr w:type="spellEnd"/>
      <w:r w:rsidRPr="00C15DED">
        <w:rPr>
          <w:rFonts w:ascii="Roboto" w:eastAsia="Times New Roman" w:hAnsi="Roboto" w:cs="Times New Roman"/>
          <w:color w:val="333333"/>
          <w:kern w:val="0"/>
          <w:sz w:val="19"/>
          <w:szCs w:val="19"/>
          <w:lang w:eastAsia="fr-FR"/>
          <w14:ligatures w14:val="none"/>
        </w:rPr>
        <w:t xml:space="preserve"> + ritonavir) : risque de toxicité hépatocellulaire sévère. Dans l'attente de données complémentaires avec les inhibiteurs de protéases "boostés".</w:t>
      </w:r>
    </w:p>
    <w:p w14:paraId="1A9BEC1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Isavuconazole</w:t>
      </w:r>
      <w:proofErr w:type="spellEnd"/>
    </w:p>
    <w:p w14:paraId="6ABE321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w:t>
      </w:r>
      <w:proofErr w:type="spellStart"/>
      <w:r w:rsidRPr="00C15DED">
        <w:rPr>
          <w:rFonts w:ascii="Roboto" w:eastAsia="Times New Roman" w:hAnsi="Roboto" w:cs="Times New Roman"/>
          <w:color w:val="333333"/>
          <w:kern w:val="0"/>
          <w:sz w:val="19"/>
          <w:szCs w:val="19"/>
          <w:lang w:eastAsia="fr-FR"/>
          <w14:ligatures w14:val="none"/>
        </w:rPr>
        <w:t>isavuconazole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1D9535A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Lédipasvir</w:t>
      </w:r>
      <w:proofErr w:type="spellEnd"/>
    </w:p>
    <w:p w14:paraId="0037836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 xml:space="preserve">Diminution importante des concentrations plasmatiques du </w:t>
      </w:r>
      <w:proofErr w:type="spellStart"/>
      <w:r w:rsidRPr="00C15DED">
        <w:rPr>
          <w:rFonts w:ascii="Roboto" w:eastAsia="Times New Roman" w:hAnsi="Roboto" w:cs="Times New Roman"/>
          <w:color w:val="333333"/>
          <w:kern w:val="0"/>
          <w:sz w:val="19"/>
          <w:szCs w:val="19"/>
          <w:lang w:eastAsia="fr-FR"/>
          <w14:ligatures w14:val="none"/>
        </w:rPr>
        <w:t>lédipasvir</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6CB91AC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Lurasidone</w:t>
      </w:r>
      <w:proofErr w:type="spellEnd"/>
    </w:p>
    <w:p w14:paraId="144510A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 l'exposition à la </w:t>
      </w:r>
      <w:proofErr w:type="spellStart"/>
      <w:r w:rsidRPr="00C15DED">
        <w:rPr>
          <w:rFonts w:ascii="Roboto" w:eastAsia="Times New Roman" w:hAnsi="Roboto" w:cs="Times New Roman"/>
          <w:color w:val="333333"/>
          <w:kern w:val="0"/>
          <w:sz w:val="19"/>
          <w:szCs w:val="19"/>
          <w:lang w:eastAsia="fr-FR"/>
          <w14:ligatures w14:val="none"/>
        </w:rPr>
        <w:t>lurasidone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 Il a été montré que la rifampicine à la dose de 600 mg diminue nettement l'exposition à la </w:t>
      </w:r>
      <w:proofErr w:type="spellStart"/>
      <w:r w:rsidRPr="00C15DED">
        <w:rPr>
          <w:rFonts w:ascii="Roboto" w:eastAsia="Times New Roman" w:hAnsi="Roboto" w:cs="Times New Roman"/>
          <w:color w:val="333333"/>
          <w:kern w:val="0"/>
          <w:sz w:val="19"/>
          <w:szCs w:val="19"/>
          <w:lang w:eastAsia="fr-FR"/>
          <w14:ligatures w14:val="none"/>
        </w:rPr>
        <w:t>lurasidone</w:t>
      </w:r>
      <w:proofErr w:type="spellEnd"/>
      <w:r w:rsidRPr="00C15DED">
        <w:rPr>
          <w:rFonts w:ascii="Roboto" w:eastAsia="Times New Roman" w:hAnsi="Roboto" w:cs="Times New Roman"/>
          <w:color w:val="333333"/>
          <w:kern w:val="0"/>
          <w:sz w:val="19"/>
          <w:szCs w:val="19"/>
          <w:lang w:eastAsia="fr-FR"/>
          <w14:ligatures w14:val="none"/>
        </w:rPr>
        <w:t xml:space="preserve"> par rapport à l'utilisation de la </w:t>
      </w:r>
      <w:proofErr w:type="spellStart"/>
      <w:r w:rsidRPr="00C15DED">
        <w:rPr>
          <w:rFonts w:ascii="Roboto" w:eastAsia="Times New Roman" w:hAnsi="Roboto" w:cs="Times New Roman"/>
          <w:color w:val="333333"/>
          <w:kern w:val="0"/>
          <w:sz w:val="19"/>
          <w:szCs w:val="19"/>
          <w:lang w:eastAsia="fr-FR"/>
          <w14:ligatures w14:val="none"/>
        </w:rPr>
        <w:t>lurasidone</w:t>
      </w:r>
      <w:proofErr w:type="spellEnd"/>
      <w:r w:rsidRPr="00C15DED">
        <w:rPr>
          <w:rFonts w:ascii="Roboto" w:eastAsia="Times New Roman" w:hAnsi="Roboto" w:cs="Times New Roman"/>
          <w:color w:val="333333"/>
          <w:kern w:val="0"/>
          <w:sz w:val="19"/>
          <w:szCs w:val="19"/>
          <w:lang w:eastAsia="fr-FR"/>
          <w14:ligatures w14:val="none"/>
        </w:rPr>
        <w:t xml:space="preserve"> seule. La </w:t>
      </w:r>
      <w:proofErr w:type="spellStart"/>
      <w:r w:rsidRPr="00C15DED">
        <w:rPr>
          <w:rFonts w:ascii="Roboto" w:eastAsia="Times New Roman" w:hAnsi="Roboto" w:cs="Times New Roman"/>
          <w:color w:val="333333"/>
          <w:kern w:val="0"/>
          <w:sz w:val="19"/>
          <w:szCs w:val="19"/>
          <w:lang w:eastAsia="fr-FR"/>
          <w14:ligatures w14:val="none"/>
        </w:rPr>
        <w:t>lurasidone</w:t>
      </w:r>
      <w:proofErr w:type="spellEnd"/>
      <w:r w:rsidRPr="00C15DED">
        <w:rPr>
          <w:rFonts w:ascii="Roboto" w:eastAsia="Times New Roman" w:hAnsi="Roboto" w:cs="Times New Roman"/>
          <w:color w:val="333333"/>
          <w:kern w:val="0"/>
          <w:sz w:val="19"/>
          <w:szCs w:val="19"/>
          <w:lang w:eastAsia="fr-FR"/>
          <w14:ligatures w14:val="none"/>
        </w:rPr>
        <w:t xml:space="preserve"> ne doit pas être administrée de façon concomitante avec la rifampicine (voir rubrique </w:t>
      </w:r>
      <w:hyperlink r:id="rId23" w:anchor="contre_indications" w:history="1">
        <w:r w:rsidRPr="00C15DED">
          <w:rPr>
            <w:rFonts w:ascii="Roboto" w:eastAsia="Times New Roman" w:hAnsi="Roboto" w:cs="Times New Roman"/>
            <w:color w:val="843D93"/>
            <w:kern w:val="0"/>
            <w:sz w:val="18"/>
            <w:szCs w:val="18"/>
            <w:lang w:eastAsia="fr-FR"/>
            <w14:ligatures w14:val="none"/>
          </w:rPr>
          <w:t>Contre-indications</w:t>
        </w:r>
      </w:hyperlink>
      <w:r w:rsidRPr="00C15DED">
        <w:rPr>
          <w:rFonts w:ascii="Roboto" w:eastAsia="Times New Roman" w:hAnsi="Roboto" w:cs="Times New Roman"/>
          <w:color w:val="333333"/>
          <w:kern w:val="0"/>
          <w:sz w:val="19"/>
          <w:szCs w:val="19"/>
          <w:lang w:eastAsia="fr-FR"/>
          <w14:ligatures w14:val="none"/>
        </w:rPr>
        <w:t>).</w:t>
      </w:r>
    </w:p>
    <w:p w14:paraId="389C75C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Midostaurine</w:t>
      </w:r>
      <w:proofErr w:type="spellEnd"/>
    </w:p>
    <w:p w14:paraId="655EA24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de </w:t>
      </w:r>
      <w:proofErr w:type="spellStart"/>
      <w:r w:rsidRPr="00C15DED">
        <w:rPr>
          <w:rFonts w:ascii="Roboto" w:eastAsia="Times New Roman" w:hAnsi="Roboto" w:cs="Times New Roman"/>
          <w:color w:val="333333"/>
          <w:kern w:val="0"/>
          <w:sz w:val="19"/>
          <w:szCs w:val="19"/>
          <w:lang w:eastAsia="fr-FR"/>
          <w14:ligatures w14:val="none"/>
        </w:rPr>
        <w:t>midostaurine</w:t>
      </w:r>
      <w:proofErr w:type="spellEnd"/>
      <w:r w:rsidRPr="00C15DED">
        <w:rPr>
          <w:rFonts w:ascii="Roboto" w:eastAsia="Times New Roman" w:hAnsi="Roboto" w:cs="Times New Roman"/>
          <w:color w:val="333333"/>
          <w:kern w:val="0"/>
          <w:sz w:val="19"/>
          <w:szCs w:val="19"/>
          <w:lang w:eastAsia="fr-FR"/>
          <w14:ligatures w14:val="none"/>
        </w:rPr>
        <w:t xml:space="preserve"> par la rifampicine.</w:t>
      </w:r>
    </w:p>
    <w:p w14:paraId="7A84D2A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Ombitasvir-paritaprévir</w:t>
      </w:r>
      <w:proofErr w:type="spellEnd"/>
    </w:p>
    <w:p w14:paraId="54929F2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de la bithérapie par augmentation de son métabolisme hépatique par la rifampicine.</w:t>
      </w:r>
    </w:p>
    <w:p w14:paraId="17F1258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Praziquantel</w:t>
      </w:r>
    </w:p>
    <w:p w14:paraId="1939EEB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très importante des concentrations plasmatiques du praziquantel, avec risque d'échec du traitement, par augmentation du métabolisme hépatique du praziquantel par la rifampicine.</w:t>
      </w:r>
    </w:p>
    <w:p w14:paraId="5E876BD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Rilpivirine</w:t>
      </w:r>
      <w:proofErr w:type="spellEnd"/>
    </w:p>
    <w:p w14:paraId="0C41325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significative des concentrations plasmatiques de </w:t>
      </w:r>
      <w:proofErr w:type="spellStart"/>
      <w:r w:rsidRPr="00C15DED">
        <w:rPr>
          <w:rFonts w:ascii="Roboto" w:eastAsia="Times New Roman" w:hAnsi="Roboto" w:cs="Times New Roman"/>
          <w:color w:val="333333"/>
          <w:kern w:val="0"/>
          <w:sz w:val="19"/>
          <w:szCs w:val="19"/>
          <w:lang w:eastAsia="fr-FR"/>
          <w14:ligatures w14:val="none"/>
        </w:rPr>
        <w:t>rilpivirine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3C35B4A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Sofosbuvir</w:t>
      </w:r>
      <w:proofErr w:type="spellEnd"/>
    </w:p>
    <w:p w14:paraId="73617F6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sofosbuvir</w:t>
      </w:r>
      <w:proofErr w:type="spellEnd"/>
      <w:r w:rsidRPr="00C15DED">
        <w:rPr>
          <w:rFonts w:ascii="Roboto" w:eastAsia="Times New Roman" w:hAnsi="Roboto" w:cs="Times New Roman"/>
          <w:color w:val="333333"/>
          <w:kern w:val="0"/>
          <w:sz w:val="19"/>
          <w:szCs w:val="19"/>
          <w:lang w:eastAsia="fr-FR"/>
          <w14:ligatures w14:val="none"/>
        </w:rPr>
        <w:t xml:space="preserve"> par diminution de son absorption intestinale par la rifampicine.</w:t>
      </w:r>
    </w:p>
    <w:p w14:paraId="7E62815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Velpatasvir</w:t>
      </w:r>
      <w:proofErr w:type="spellEnd"/>
    </w:p>
    <w:p w14:paraId="2408D37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velpatasvir</w:t>
      </w:r>
      <w:proofErr w:type="spellEnd"/>
      <w:r w:rsidRPr="00C15DED">
        <w:rPr>
          <w:rFonts w:ascii="Roboto" w:eastAsia="Times New Roman" w:hAnsi="Roboto" w:cs="Times New Roman"/>
          <w:color w:val="333333"/>
          <w:kern w:val="0"/>
          <w:sz w:val="19"/>
          <w:szCs w:val="19"/>
          <w:lang w:eastAsia="fr-FR"/>
          <w14:ligatures w14:val="none"/>
        </w:rPr>
        <w:t xml:space="preserve"> par la rifampicine, avec possible retentissement sur l'efficacité.</w:t>
      </w:r>
    </w:p>
    <w:p w14:paraId="01A5C65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Voriconazole</w:t>
      </w:r>
    </w:p>
    <w:p w14:paraId="4FB5C07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importante des concentrations plasmatiques du voriconazole avec risque de perte d'efficacité, par augmentation de son métabolisme hépatique par la rifampicine.</w:t>
      </w:r>
    </w:p>
    <w:p w14:paraId="0AA60B3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Voxilaprévir</w:t>
      </w:r>
      <w:proofErr w:type="spellEnd"/>
    </w:p>
    <w:p w14:paraId="1F09552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C15DED">
        <w:rPr>
          <w:rFonts w:ascii="Roboto" w:eastAsia="Times New Roman" w:hAnsi="Roboto" w:cs="Times New Roman"/>
          <w:color w:val="333333"/>
          <w:kern w:val="0"/>
          <w:sz w:val="19"/>
          <w:szCs w:val="19"/>
          <w:lang w:eastAsia="fr-FR"/>
          <w14:ligatures w14:val="none"/>
        </w:rPr>
        <w:t>voxilaprévir</w:t>
      </w:r>
      <w:proofErr w:type="spellEnd"/>
      <w:r w:rsidRPr="00C15DED">
        <w:rPr>
          <w:rFonts w:ascii="Roboto" w:eastAsia="Times New Roman" w:hAnsi="Roboto" w:cs="Times New Roman"/>
          <w:color w:val="333333"/>
          <w:kern w:val="0"/>
          <w:sz w:val="19"/>
          <w:szCs w:val="19"/>
          <w:lang w:eastAsia="fr-FR"/>
          <w14:ligatures w14:val="none"/>
        </w:rPr>
        <w:t xml:space="preserve"> par la rifampicine avec risque de perte d'efficacité.</w:t>
      </w:r>
    </w:p>
    <w:p w14:paraId="4414DC5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Associations déconseillées (voir rubrique </w:t>
      </w:r>
      <w:hyperlink r:id="rId24" w:anchor="mises_en_garde_et_precautions_d_emploi" w:history="1">
        <w:r w:rsidRPr="00C15DED">
          <w:rPr>
            <w:rFonts w:ascii="Roboto" w:eastAsia="Times New Roman" w:hAnsi="Roboto" w:cs="Times New Roman"/>
            <w:b/>
            <w:bCs/>
            <w:color w:val="843D93"/>
            <w:kern w:val="0"/>
            <w:sz w:val="18"/>
            <w:szCs w:val="18"/>
            <w:lang w:eastAsia="fr-FR"/>
            <w14:ligatures w14:val="none"/>
          </w:rPr>
          <w:t>Mises en garde et précautions d'emploi</w:t>
        </w:r>
      </w:hyperlink>
      <w:r w:rsidRPr="00C15DED">
        <w:rPr>
          <w:rFonts w:ascii="Roboto" w:eastAsia="Times New Roman" w:hAnsi="Roboto" w:cs="Times New Roman"/>
          <w:b/>
          <w:bCs/>
          <w:color w:val="333333"/>
          <w:kern w:val="0"/>
          <w:sz w:val="19"/>
          <w:szCs w:val="19"/>
          <w:u w:val="single"/>
          <w:lang w:eastAsia="fr-FR"/>
          <w14:ligatures w14:val="none"/>
        </w:rPr>
        <w:t>)</w:t>
      </w:r>
    </w:p>
    <w:p w14:paraId="6F56A6C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lang w:eastAsia="fr-FR"/>
          <w14:ligatures w14:val="none"/>
        </w:rPr>
        <w:t>Liées à l'isoniazide</w:t>
      </w:r>
    </w:p>
    <w:p w14:paraId="6A49666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Carbamazépine</w:t>
      </w:r>
    </w:p>
    <w:p w14:paraId="1CEA612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Augmentation des concentrations plasmatiques de carbamazépine avec signes de surdosage par inhibition de son métabolisme hépatique.</w:t>
      </w:r>
    </w:p>
    <w:p w14:paraId="669DBF9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Disulfirame</w:t>
      </w:r>
    </w:p>
    <w:p w14:paraId="4CCB634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Troubles du comportement et de la coordination.</w:t>
      </w:r>
    </w:p>
    <w:p w14:paraId="31ABDAA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lang w:eastAsia="fr-FR"/>
          <w14:ligatures w14:val="none"/>
        </w:rPr>
        <w:t>Liées à la rifampicine</w:t>
      </w:r>
    </w:p>
    <w:p w14:paraId="28F0264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Abiratérone</w:t>
      </w:r>
      <w:proofErr w:type="spellEnd"/>
    </w:p>
    <w:p w14:paraId="1FF9B4C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notable des concentrations plasmatiques de l'</w:t>
      </w:r>
      <w:proofErr w:type="spellStart"/>
      <w:r w:rsidRPr="00C15DED">
        <w:rPr>
          <w:rFonts w:ascii="Roboto" w:eastAsia="Times New Roman" w:hAnsi="Roboto" w:cs="Times New Roman"/>
          <w:color w:val="333333"/>
          <w:kern w:val="0"/>
          <w:sz w:val="19"/>
          <w:szCs w:val="19"/>
          <w:lang w:eastAsia="fr-FR"/>
          <w14:ligatures w14:val="none"/>
        </w:rPr>
        <w:t>abiratérone</w:t>
      </w:r>
      <w:proofErr w:type="spellEnd"/>
      <w:r w:rsidRPr="00C15DED">
        <w:rPr>
          <w:rFonts w:ascii="Roboto" w:eastAsia="Times New Roman" w:hAnsi="Roboto" w:cs="Times New Roman"/>
          <w:color w:val="333333"/>
          <w:kern w:val="0"/>
          <w:sz w:val="19"/>
          <w:szCs w:val="19"/>
          <w:lang w:eastAsia="fr-FR"/>
          <w14:ligatures w14:val="none"/>
        </w:rPr>
        <w:t>, avec risque de moindre efficacité.</w:t>
      </w:r>
    </w:p>
    <w:p w14:paraId="4998421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Apixaban</w:t>
      </w:r>
      <w:proofErr w:type="spellEnd"/>
      <w:r w:rsidRPr="00C15DED">
        <w:rPr>
          <w:rFonts w:ascii="Roboto" w:eastAsia="Times New Roman" w:hAnsi="Roboto" w:cs="Times New Roman"/>
          <w:b/>
          <w:bCs/>
          <w:color w:val="333333"/>
          <w:kern w:val="0"/>
          <w:sz w:val="19"/>
          <w:szCs w:val="19"/>
          <w:lang w:eastAsia="fr-FR"/>
          <w14:ligatures w14:val="none"/>
        </w:rPr>
        <w:t xml:space="preserve">, dabigatran, </w:t>
      </w:r>
      <w:proofErr w:type="spellStart"/>
      <w:r w:rsidRPr="00C15DED">
        <w:rPr>
          <w:rFonts w:ascii="Roboto" w:eastAsia="Times New Roman" w:hAnsi="Roboto" w:cs="Times New Roman"/>
          <w:b/>
          <w:bCs/>
          <w:color w:val="333333"/>
          <w:kern w:val="0"/>
          <w:sz w:val="19"/>
          <w:szCs w:val="19"/>
          <w:lang w:eastAsia="fr-FR"/>
          <w14:ligatures w14:val="none"/>
        </w:rPr>
        <w:t>rivaroxaban</w:t>
      </w:r>
      <w:proofErr w:type="spellEnd"/>
    </w:p>
    <w:p w14:paraId="712BDDA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Diminution des concentrations plasmatiques de l'</w:t>
      </w:r>
      <w:proofErr w:type="spellStart"/>
      <w:r w:rsidRPr="00C15DED">
        <w:rPr>
          <w:rFonts w:ascii="Roboto" w:eastAsia="Times New Roman" w:hAnsi="Roboto" w:cs="Times New Roman"/>
          <w:color w:val="333333"/>
          <w:kern w:val="0"/>
          <w:sz w:val="19"/>
          <w:szCs w:val="19"/>
          <w:lang w:eastAsia="fr-FR"/>
          <w14:ligatures w14:val="none"/>
        </w:rPr>
        <w:t>apixaban</w:t>
      </w:r>
      <w:proofErr w:type="spellEnd"/>
      <w:r w:rsidRPr="00C15DED">
        <w:rPr>
          <w:rFonts w:ascii="Roboto" w:eastAsia="Times New Roman" w:hAnsi="Roboto" w:cs="Times New Roman"/>
          <w:color w:val="333333"/>
          <w:kern w:val="0"/>
          <w:sz w:val="19"/>
          <w:szCs w:val="19"/>
          <w:lang w:eastAsia="fr-FR"/>
          <w14:ligatures w14:val="none"/>
        </w:rPr>
        <w:t xml:space="preserve">, du dabigatran ou du </w:t>
      </w:r>
      <w:proofErr w:type="spellStart"/>
      <w:r w:rsidRPr="00C15DED">
        <w:rPr>
          <w:rFonts w:ascii="Roboto" w:eastAsia="Times New Roman" w:hAnsi="Roboto" w:cs="Times New Roman"/>
          <w:color w:val="333333"/>
          <w:kern w:val="0"/>
          <w:sz w:val="19"/>
          <w:szCs w:val="19"/>
          <w:lang w:eastAsia="fr-FR"/>
          <w14:ligatures w14:val="none"/>
        </w:rPr>
        <w:t>rivaroxaban</w:t>
      </w:r>
      <w:proofErr w:type="spellEnd"/>
      <w:r w:rsidRPr="00C15DED">
        <w:rPr>
          <w:rFonts w:ascii="Roboto" w:eastAsia="Times New Roman" w:hAnsi="Roboto" w:cs="Times New Roman"/>
          <w:color w:val="333333"/>
          <w:kern w:val="0"/>
          <w:sz w:val="19"/>
          <w:szCs w:val="19"/>
          <w:lang w:eastAsia="fr-FR"/>
          <w14:ligatures w14:val="none"/>
        </w:rPr>
        <w:t xml:space="preserve"> par la rifampicine, avec risque de diminution de leur effet thérapeutique.</w:t>
      </w:r>
    </w:p>
    <w:p w14:paraId="3AE3D23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Aprémilast</w:t>
      </w:r>
      <w:proofErr w:type="spellEnd"/>
    </w:p>
    <w:p w14:paraId="51058EB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w:t>
      </w:r>
      <w:proofErr w:type="spellStart"/>
      <w:r w:rsidRPr="00C15DED">
        <w:rPr>
          <w:rFonts w:ascii="Roboto" w:eastAsia="Times New Roman" w:hAnsi="Roboto" w:cs="Times New Roman"/>
          <w:color w:val="333333"/>
          <w:kern w:val="0"/>
          <w:sz w:val="19"/>
          <w:szCs w:val="19"/>
          <w:lang w:eastAsia="fr-FR"/>
          <w14:ligatures w14:val="none"/>
        </w:rPr>
        <w:t>aprémilast</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5D417F9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Aprépitant</w:t>
      </w:r>
      <w:proofErr w:type="spellEnd"/>
    </w:p>
    <w:p w14:paraId="34C88DA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très importante des concentrations d'</w:t>
      </w:r>
      <w:proofErr w:type="spellStart"/>
      <w:r w:rsidRPr="00C15DED">
        <w:rPr>
          <w:rFonts w:ascii="Roboto" w:eastAsia="Times New Roman" w:hAnsi="Roboto" w:cs="Times New Roman"/>
          <w:color w:val="333333"/>
          <w:kern w:val="0"/>
          <w:sz w:val="19"/>
          <w:szCs w:val="19"/>
          <w:lang w:eastAsia="fr-FR"/>
          <w14:ligatures w14:val="none"/>
        </w:rPr>
        <w:t>aprépitant</w:t>
      </w:r>
      <w:proofErr w:type="spellEnd"/>
      <w:r w:rsidRPr="00C15DED">
        <w:rPr>
          <w:rFonts w:ascii="Roboto" w:eastAsia="Times New Roman" w:hAnsi="Roboto" w:cs="Times New Roman"/>
          <w:color w:val="333333"/>
          <w:kern w:val="0"/>
          <w:sz w:val="19"/>
          <w:szCs w:val="19"/>
          <w:lang w:eastAsia="fr-FR"/>
          <w14:ligatures w14:val="none"/>
        </w:rPr>
        <w:t>.</w:t>
      </w:r>
    </w:p>
    <w:p w14:paraId="0CEF630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Atorvastatine, simvastatine</w:t>
      </w:r>
    </w:p>
    <w:p w14:paraId="56B6430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très importante des concentrations plasmatiques d'atorvastatine ou de simvastatine, par augmentation de leur métabolisme hépatique par la rifampicine.</w:t>
      </w:r>
    </w:p>
    <w:p w14:paraId="293654B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Atovaquone</w:t>
      </w:r>
      <w:proofErr w:type="spellEnd"/>
    </w:p>
    <w:p w14:paraId="245BA20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w:t>
      </w:r>
      <w:proofErr w:type="spellStart"/>
      <w:r w:rsidRPr="00C15DED">
        <w:rPr>
          <w:rFonts w:ascii="Roboto" w:eastAsia="Times New Roman" w:hAnsi="Roboto" w:cs="Times New Roman"/>
          <w:color w:val="333333"/>
          <w:kern w:val="0"/>
          <w:sz w:val="19"/>
          <w:szCs w:val="19"/>
          <w:lang w:eastAsia="fr-FR"/>
          <w14:ligatures w14:val="none"/>
        </w:rPr>
        <w:t>atovaquone</w:t>
      </w:r>
      <w:proofErr w:type="spellEnd"/>
      <w:r w:rsidRPr="00C15DED">
        <w:rPr>
          <w:rFonts w:ascii="Roboto" w:eastAsia="Times New Roman" w:hAnsi="Roboto" w:cs="Times New Roman"/>
          <w:color w:val="333333"/>
          <w:kern w:val="0"/>
          <w:sz w:val="19"/>
          <w:szCs w:val="19"/>
          <w:lang w:eastAsia="fr-FR"/>
          <w14:ligatures w14:val="none"/>
        </w:rPr>
        <w:t xml:space="preserve"> par l'inducteur enzymatique.</w:t>
      </w:r>
    </w:p>
    <w:p w14:paraId="6A64BCD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Bédaquiline</w:t>
      </w:r>
      <w:proofErr w:type="spellEnd"/>
    </w:p>
    <w:p w14:paraId="35AC6D9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bédaquiline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32F47D7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Bosentan</w:t>
      </w:r>
      <w:proofErr w:type="spellEnd"/>
    </w:p>
    <w:p w14:paraId="687E08A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diminution, importante pour la rifampicine, des concentrations plasmatiques de </w:t>
      </w:r>
      <w:proofErr w:type="spellStart"/>
      <w:r w:rsidRPr="00C15DED">
        <w:rPr>
          <w:rFonts w:ascii="Roboto" w:eastAsia="Times New Roman" w:hAnsi="Roboto" w:cs="Times New Roman"/>
          <w:color w:val="333333"/>
          <w:kern w:val="0"/>
          <w:sz w:val="19"/>
          <w:szCs w:val="19"/>
          <w:lang w:eastAsia="fr-FR"/>
          <w14:ligatures w14:val="none"/>
        </w:rPr>
        <w:t>bosentan</w:t>
      </w:r>
      <w:proofErr w:type="spellEnd"/>
      <w:r w:rsidRPr="00C15DED">
        <w:rPr>
          <w:rFonts w:ascii="Roboto" w:eastAsia="Times New Roman" w:hAnsi="Roboto" w:cs="Times New Roman"/>
          <w:color w:val="333333"/>
          <w:kern w:val="0"/>
          <w:sz w:val="19"/>
          <w:szCs w:val="19"/>
          <w:lang w:eastAsia="fr-FR"/>
          <w14:ligatures w14:val="none"/>
        </w:rPr>
        <w:t>.</w:t>
      </w:r>
    </w:p>
    <w:p w14:paraId="461E16D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Clopidogrel</w:t>
      </w:r>
    </w:p>
    <w:p w14:paraId="0B5F878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Induction forte du CYP2C19 entraînant à la fois une augmentation des concentrations plasmatiques du métabolite actif du clopidogrel et une inhibition plaquettaire, ce qui pourrait, en particulier, potentialiser le risque de saignement. Par précaution, l'utilisation concomitante de clopidogrel et de rifampicine doit être déconseillée.</w:t>
      </w:r>
    </w:p>
    <w:p w14:paraId="6ADF3A2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Cyclophosphamide</w:t>
      </w:r>
    </w:p>
    <w:p w14:paraId="10C7E56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d'augmentation des concentrations plasmatiques du métabolite actif du cyclophosphamide par la rifampicine, et donc de sa toxicité.</w:t>
      </w:r>
    </w:p>
    <w:p w14:paraId="5FB79F0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Cyprotérone, dans son utilisation comme contraceptif hormonal</w:t>
      </w:r>
    </w:p>
    <w:p w14:paraId="225C420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de diminution de l'efficacité de la cyprotérone. Utiliser une méthode additionnelle de type mécanique (préservatif) pendant la durée de l'association, et un cycle suivant l'arrêt de la rifampicine.</w:t>
      </w:r>
    </w:p>
    <w:p w14:paraId="485EF89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Docétaxel</w:t>
      </w:r>
      <w:proofErr w:type="spellEnd"/>
    </w:p>
    <w:p w14:paraId="7E747D9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560312E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Dolutégravir</w:t>
      </w:r>
      <w:proofErr w:type="spellEnd"/>
      <w:r w:rsidRPr="00C15DED">
        <w:rPr>
          <w:rFonts w:ascii="Roboto" w:eastAsia="Times New Roman" w:hAnsi="Roboto" w:cs="Times New Roman"/>
          <w:b/>
          <w:bCs/>
          <w:color w:val="333333"/>
          <w:kern w:val="0"/>
          <w:sz w:val="19"/>
          <w:szCs w:val="19"/>
          <w:lang w:eastAsia="fr-FR"/>
          <w14:ligatures w14:val="none"/>
        </w:rPr>
        <w:t>, en cas de résistance à la classe des inhibiteurs d'intégrase</w:t>
      </w:r>
    </w:p>
    <w:p w14:paraId="4EF8E3E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dolutégravir</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3D4D349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Dronédarone</w:t>
      </w:r>
      <w:proofErr w:type="spellEnd"/>
    </w:p>
    <w:p w14:paraId="55E887B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importante des concentrations de </w:t>
      </w:r>
      <w:proofErr w:type="spellStart"/>
      <w:r w:rsidRPr="00C15DED">
        <w:rPr>
          <w:rFonts w:ascii="Roboto" w:eastAsia="Times New Roman" w:hAnsi="Roboto" w:cs="Times New Roman"/>
          <w:color w:val="333333"/>
          <w:kern w:val="0"/>
          <w:sz w:val="19"/>
          <w:szCs w:val="19"/>
          <w:lang w:eastAsia="fr-FR"/>
          <w14:ligatures w14:val="none"/>
        </w:rPr>
        <w:t>dronédarone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sans modification notable du métabolite actif.</w:t>
      </w:r>
    </w:p>
    <w:p w14:paraId="54AB23B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Estroprogestatifs</w:t>
      </w:r>
      <w:proofErr w:type="spellEnd"/>
      <w:r w:rsidRPr="00C15DED">
        <w:rPr>
          <w:rFonts w:ascii="Roboto" w:eastAsia="Times New Roman" w:hAnsi="Roboto" w:cs="Times New Roman"/>
          <w:b/>
          <w:bCs/>
          <w:color w:val="333333"/>
          <w:kern w:val="0"/>
          <w:sz w:val="19"/>
          <w:szCs w:val="19"/>
          <w:lang w:eastAsia="fr-FR"/>
          <w14:ligatures w14:val="none"/>
        </w:rPr>
        <w:t xml:space="preserve"> et progestatifs contraceptifs</w:t>
      </w:r>
    </w:p>
    <w:p w14:paraId="4484F73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 l'efficacité contraceptive, par augmentation du métabolisme hépatique du contraceptif hormonal par la rifampicine.</w:t>
      </w:r>
    </w:p>
    <w:p w14:paraId="3C0D08D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Utiliser une méthode additionnelle de type mécanique (préservatif) pendant la durée de l'association, et un cycle suivant l'arrêt de la rifampicine.</w:t>
      </w:r>
    </w:p>
    <w:p w14:paraId="5B1916B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lastRenderedPageBreak/>
        <w:t xml:space="preserve">+ </w:t>
      </w:r>
      <w:proofErr w:type="spellStart"/>
      <w:r w:rsidRPr="00C15DED">
        <w:rPr>
          <w:rFonts w:ascii="Roboto" w:eastAsia="Times New Roman" w:hAnsi="Roboto" w:cs="Times New Roman"/>
          <w:b/>
          <w:bCs/>
          <w:color w:val="333333"/>
          <w:kern w:val="0"/>
          <w:sz w:val="19"/>
          <w:szCs w:val="19"/>
          <w:lang w:eastAsia="fr-FR"/>
          <w14:ligatures w14:val="none"/>
        </w:rPr>
        <w:t>Etoposide</w:t>
      </w:r>
      <w:proofErr w:type="spellEnd"/>
    </w:p>
    <w:p w14:paraId="6C8958E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w:t>
      </w:r>
      <w:proofErr w:type="spellStart"/>
      <w:r w:rsidRPr="00C15DED">
        <w:rPr>
          <w:rFonts w:ascii="Roboto" w:eastAsia="Times New Roman" w:hAnsi="Roboto" w:cs="Times New Roman"/>
          <w:color w:val="333333"/>
          <w:kern w:val="0"/>
          <w:sz w:val="19"/>
          <w:szCs w:val="19"/>
          <w:lang w:eastAsia="fr-FR"/>
          <w14:ligatures w14:val="none"/>
        </w:rPr>
        <w:t>étoposide</w:t>
      </w:r>
      <w:proofErr w:type="spellEnd"/>
      <w:r w:rsidRPr="00C15DED">
        <w:rPr>
          <w:rFonts w:ascii="Roboto" w:eastAsia="Times New Roman" w:hAnsi="Roboto" w:cs="Times New Roman"/>
          <w:color w:val="333333"/>
          <w:kern w:val="0"/>
          <w:sz w:val="19"/>
          <w:szCs w:val="19"/>
          <w:lang w:eastAsia="fr-FR"/>
          <w14:ligatures w14:val="none"/>
        </w:rPr>
        <w:t xml:space="preserve"> par la rifampicine. Si l'association s'avère nécessaire, surveillance clinique et adaptation éventuelle de la posologie d'</w:t>
      </w:r>
      <w:proofErr w:type="spellStart"/>
      <w:r w:rsidRPr="00C15DED">
        <w:rPr>
          <w:rFonts w:ascii="Roboto" w:eastAsia="Times New Roman" w:hAnsi="Roboto" w:cs="Times New Roman"/>
          <w:color w:val="333333"/>
          <w:kern w:val="0"/>
          <w:sz w:val="19"/>
          <w:szCs w:val="19"/>
          <w:lang w:eastAsia="fr-FR"/>
          <w14:ligatures w14:val="none"/>
        </w:rPr>
        <w:t>étoposide</w:t>
      </w:r>
      <w:proofErr w:type="spellEnd"/>
      <w:r w:rsidRPr="00C15DED">
        <w:rPr>
          <w:rFonts w:ascii="Roboto" w:eastAsia="Times New Roman" w:hAnsi="Roboto" w:cs="Times New Roman"/>
          <w:color w:val="333333"/>
          <w:kern w:val="0"/>
          <w:sz w:val="19"/>
          <w:szCs w:val="19"/>
          <w:lang w:eastAsia="fr-FR"/>
          <w14:ligatures w14:val="none"/>
        </w:rPr>
        <w:t xml:space="preserve"> pendant l'association, et 1 à 2 semaines après l'arrêt de la rifampicine.</w:t>
      </w:r>
    </w:p>
    <w:p w14:paraId="6C254BE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Fentanyl</w:t>
      </w:r>
    </w:p>
    <w:p w14:paraId="6DDD7B4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de fentanyl par augmentation de son métabolisme hépatique par la rifampicine. Préférer un autre morphinique.</w:t>
      </w:r>
    </w:p>
    <w:p w14:paraId="64CEA8E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Fluconazole</w:t>
      </w:r>
      <w:proofErr w:type="spellEnd"/>
    </w:p>
    <w:p w14:paraId="6732B7F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des deux anti-infectieux (induction enzymatique par la rifampicine et diminution de l'absorption intestinale par l'azolé antifongique).</w:t>
      </w:r>
    </w:p>
    <w:p w14:paraId="1FC7E62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Idélalisib</w:t>
      </w:r>
      <w:proofErr w:type="spellEnd"/>
    </w:p>
    <w:p w14:paraId="52D5503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w:t>
      </w:r>
      <w:proofErr w:type="spellStart"/>
      <w:r w:rsidRPr="00C15DED">
        <w:rPr>
          <w:rFonts w:ascii="Roboto" w:eastAsia="Times New Roman" w:hAnsi="Roboto" w:cs="Times New Roman"/>
          <w:color w:val="333333"/>
          <w:kern w:val="0"/>
          <w:sz w:val="19"/>
          <w:szCs w:val="19"/>
          <w:lang w:eastAsia="fr-FR"/>
          <w14:ligatures w14:val="none"/>
        </w:rPr>
        <w:t>idélalisib</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5C72427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Inhibiteurs de la 5-alpha-réductase (</w:t>
      </w:r>
      <w:proofErr w:type="spellStart"/>
      <w:r w:rsidRPr="00C15DED">
        <w:rPr>
          <w:rFonts w:ascii="Roboto" w:eastAsia="Times New Roman" w:hAnsi="Roboto" w:cs="Times New Roman"/>
          <w:b/>
          <w:bCs/>
          <w:color w:val="333333"/>
          <w:kern w:val="0"/>
          <w:sz w:val="19"/>
          <w:szCs w:val="19"/>
          <w:lang w:eastAsia="fr-FR"/>
          <w14:ligatures w14:val="none"/>
        </w:rPr>
        <w:t>dutastéride</w:t>
      </w:r>
      <w:proofErr w:type="spellEnd"/>
      <w:r w:rsidRPr="00C15DED">
        <w:rPr>
          <w:rFonts w:ascii="Roboto" w:eastAsia="Times New Roman" w:hAnsi="Roboto" w:cs="Times New Roman"/>
          <w:b/>
          <w:bCs/>
          <w:color w:val="333333"/>
          <w:kern w:val="0"/>
          <w:sz w:val="19"/>
          <w:szCs w:val="19"/>
          <w:lang w:eastAsia="fr-FR"/>
          <w14:ligatures w14:val="none"/>
        </w:rPr>
        <w:t>, finastéride)</w:t>
      </w:r>
    </w:p>
    <w:p w14:paraId="266CA0D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de l'inhibiteur de la 5-alpha réductase par la rifampicine. Si l'association ne peut être évitée, surveillance clinique étroite.</w:t>
      </w:r>
    </w:p>
    <w:p w14:paraId="3062B77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Inhibiteurs des tyrosine kinases métabolisés</w:t>
      </w:r>
    </w:p>
    <w:p w14:paraId="5624160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 l'inhibiteur de tyrosine kinase, par augmentation de son métabolisme par la rifampicine.</w:t>
      </w:r>
    </w:p>
    <w:p w14:paraId="416E22A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Irinotécan</w:t>
      </w:r>
      <w:proofErr w:type="spellEnd"/>
    </w:p>
    <w:p w14:paraId="393409C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probable des concentrations plasmatiques du métabolite actif de l'</w:t>
      </w:r>
      <w:proofErr w:type="spellStart"/>
      <w:r w:rsidRPr="00C15DED">
        <w:rPr>
          <w:rFonts w:ascii="Roboto" w:eastAsia="Times New Roman" w:hAnsi="Roboto" w:cs="Times New Roman"/>
          <w:color w:val="333333"/>
          <w:kern w:val="0"/>
          <w:sz w:val="19"/>
          <w:szCs w:val="19"/>
          <w:lang w:eastAsia="fr-FR"/>
          <w14:ligatures w14:val="none"/>
        </w:rPr>
        <w:t>irinotécan</w:t>
      </w:r>
      <w:proofErr w:type="spellEnd"/>
      <w:r w:rsidRPr="00C15DED">
        <w:rPr>
          <w:rFonts w:ascii="Roboto" w:eastAsia="Times New Roman" w:hAnsi="Roboto" w:cs="Times New Roman"/>
          <w:color w:val="333333"/>
          <w:kern w:val="0"/>
          <w:sz w:val="19"/>
          <w:szCs w:val="19"/>
          <w:lang w:eastAsia="fr-FR"/>
          <w14:ligatures w14:val="none"/>
        </w:rPr>
        <w:t>, avec risque d'échec du traitement cytotoxique.</w:t>
      </w:r>
    </w:p>
    <w:p w14:paraId="1C68F2F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Itraconazole</w:t>
      </w:r>
      <w:proofErr w:type="spellEnd"/>
    </w:p>
    <w:p w14:paraId="013D9A0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des deux anti-infectieux (induction enzymatique par la rifampicine et diminution de l'absorption intestinale par l'azolé antifongique).</w:t>
      </w:r>
    </w:p>
    <w:p w14:paraId="334A4C5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Ivacaftor</w:t>
      </w:r>
      <w:proofErr w:type="spellEnd"/>
    </w:p>
    <w:p w14:paraId="445F8AF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importante des concentrations de l'</w:t>
      </w:r>
      <w:proofErr w:type="spellStart"/>
      <w:r w:rsidRPr="00C15DED">
        <w:rPr>
          <w:rFonts w:ascii="Roboto" w:eastAsia="Times New Roman" w:hAnsi="Roboto" w:cs="Times New Roman"/>
          <w:color w:val="333333"/>
          <w:kern w:val="0"/>
          <w:sz w:val="19"/>
          <w:szCs w:val="19"/>
          <w:lang w:eastAsia="fr-FR"/>
          <w14:ligatures w14:val="none"/>
        </w:rPr>
        <w:t>ivacaftor</w:t>
      </w:r>
      <w:proofErr w:type="spellEnd"/>
      <w:r w:rsidRPr="00C15DED">
        <w:rPr>
          <w:rFonts w:ascii="Roboto" w:eastAsia="Times New Roman" w:hAnsi="Roboto" w:cs="Times New Roman"/>
          <w:color w:val="333333"/>
          <w:kern w:val="0"/>
          <w:sz w:val="19"/>
          <w:szCs w:val="19"/>
          <w:lang w:eastAsia="fr-FR"/>
          <w14:ligatures w14:val="none"/>
        </w:rPr>
        <w:t>, avec risque de perte de l'efficacité.</w:t>
      </w:r>
    </w:p>
    <w:p w14:paraId="2063C1A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Kétoconazole</w:t>
      </w:r>
      <w:proofErr w:type="spellEnd"/>
    </w:p>
    <w:p w14:paraId="2E09B6A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des deux anti-infectieux (induction enzymatique par la rifampicine et diminution de l'absorption intestinale par l'azolé antifongique).</w:t>
      </w:r>
    </w:p>
    <w:p w14:paraId="45B1165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Macitentan</w:t>
      </w:r>
      <w:proofErr w:type="spellEnd"/>
    </w:p>
    <w:p w14:paraId="35B2A9C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macitentan</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2227E42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Miansérine</w:t>
      </w:r>
    </w:p>
    <w:p w14:paraId="6F69649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d'inefficacité de la miansérine.</w:t>
      </w:r>
    </w:p>
    <w:p w14:paraId="3945EC2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Midazolam</w:t>
      </w:r>
    </w:p>
    <w:p w14:paraId="4A8227A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d'absence d'effet du midazolam avec diminution très importante de ses concentrations plasmatiques par augmentation de son métabolisme hépatique.</w:t>
      </w:r>
    </w:p>
    <w:p w14:paraId="7E3913E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Naloxégol</w:t>
      </w:r>
      <w:proofErr w:type="spellEnd"/>
    </w:p>
    <w:p w14:paraId="6EBE638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de </w:t>
      </w:r>
      <w:proofErr w:type="spellStart"/>
      <w:r w:rsidRPr="00C15DED">
        <w:rPr>
          <w:rFonts w:ascii="Roboto" w:eastAsia="Times New Roman" w:hAnsi="Roboto" w:cs="Times New Roman"/>
          <w:color w:val="333333"/>
          <w:kern w:val="0"/>
          <w:sz w:val="19"/>
          <w:szCs w:val="19"/>
          <w:lang w:eastAsia="fr-FR"/>
          <w14:ligatures w14:val="none"/>
        </w:rPr>
        <w:t>naloxégol</w:t>
      </w:r>
      <w:proofErr w:type="spellEnd"/>
      <w:r w:rsidRPr="00C15DED">
        <w:rPr>
          <w:rFonts w:ascii="Roboto" w:eastAsia="Times New Roman" w:hAnsi="Roboto" w:cs="Times New Roman"/>
          <w:color w:val="333333"/>
          <w:kern w:val="0"/>
          <w:sz w:val="19"/>
          <w:szCs w:val="19"/>
          <w:lang w:eastAsia="fr-FR"/>
          <w14:ligatures w14:val="none"/>
        </w:rPr>
        <w:t xml:space="preserve"> par la rifampicine.</w:t>
      </w:r>
    </w:p>
    <w:p w14:paraId="18FC482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Névirapine</w:t>
      </w:r>
    </w:p>
    <w:p w14:paraId="216980A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Diminution des concentrations plasmatiques de la névirapine par augmentation de son métabolisme hépatique par la rifampicine.</w:t>
      </w:r>
    </w:p>
    <w:p w14:paraId="677930C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Nimodipine</w:t>
      </w:r>
      <w:proofErr w:type="spellEnd"/>
    </w:p>
    <w:p w14:paraId="2F511F4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de l'antagoniste du calcium par augmentation de son métabolisme hépatique. Surveillance clinique et adaptation éventuelle de la posologie de l'antagoniste du calcium pendant le traitement par la rifampicine et après son arrêt.</w:t>
      </w:r>
    </w:p>
    <w:p w14:paraId="5629D09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Olaparib</w:t>
      </w:r>
      <w:proofErr w:type="spellEnd"/>
    </w:p>
    <w:p w14:paraId="1D341CF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éventuellement très importante par la rifampicine, des concentrations plasmatiques de l'</w:t>
      </w:r>
      <w:proofErr w:type="spellStart"/>
      <w:r w:rsidRPr="00C15DED">
        <w:rPr>
          <w:rFonts w:ascii="Roboto" w:eastAsia="Times New Roman" w:hAnsi="Roboto" w:cs="Times New Roman"/>
          <w:color w:val="333333"/>
          <w:kern w:val="0"/>
          <w:sz w:val="19"/>
          <w:szCs w:val="19"/>
          <w:lang w:eastAsia="fr-FR"/>
          <w14:ligatures w14:val="none"/>
        </w:rPr>
        <w:t>olaparib</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734880C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Oxycodone</w:t>
      </w:r>
    </w:p>
    <w:p w14:paraId="3F8149F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de l'oxycodone par augmentation de son métabolisme par la rifampicine. Adaptation éventuelle de la posologie d'oxycodone.</w:t>
      </w:r>
    </w:p>
    <w:p w14:paraId="5DFEF2A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Paclitaxel</w:t>
      </w:r>
    </w:p>
    <w:p w14:paraId="18AECDE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051EC2D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Posaconazole</w:t>
      </w:r>
      <w:proofErr w:type="spellEnd"/>
    </w:p>
    <w:p w14:paraId="0826298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des deux anti-infectieux (induction enzymatique par la rifampicine et diminution de l'absorption intestinale par l'azolé antifongique).</w:t>
      </w:r>
    </w:p>
    <w:p w14:paraId="3B13A49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Quétiapine</w:t>
      </w:r>
    </w:p>
    <w:p w14:paraId="7B9EF7F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très importante des concentrations plasmatiques de quétiapine par augmentation de son métabolisme hépatique par inducteur, avec risque d'inefficacité.</w:t>
      </w:r>
    </w:p>
    <w:p w14:paraId="1C9AE1B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Quinine</w:t>
      </w:r>
    </w:p>
    <w:p w14:paraId="7CD3265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de perte de l'efficacité de la quinine par augmentation de son métabolisme hépatique par la rifampicine.</w:t>
      </w:r>
    </w:p>
    <w:p w14:paraId="4B72BC2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Raltégravir</w:t>
      </w:r>
      <w:proofErr w:type="spellEnd"/>
    </w:p>
    <w:p w14:paraId="0BA941B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du </w:t>
      </w:r>
      <w:proofErr w:type="spellStart"/>
      <w:r w:rsidRPr="00C15DED">
        <w:rPr>
          <w:rFonts w:ascii="Roboto" w:eastAsia="Times New Roman" w:hAnsi="Roboto" w:cs="Times New Roman"/>
          <w:color w:val="333333"/>
          <w:kern w:val="0"/>
          <w:sz w:val="19"/>
          <w:szCs w:val="19"/>
          <w:lang w:eastAsia="fr-FR"/>
          <w14:ligatures w14:val="none"/>
        </w:rPr>
        <w:t>raltégravir</w:t>
      </w:r>
      <w:proofErr w:type="spellEnd"/>
      <w:r w:rsidRPr="00C15DED">
        <w:rPr>
          <w:rFonts w:ascii="Roboto" w:eastAsia="Times New Roman" w:hAnsi="Roboto" w:cs="Times New Roman"/>
          <w:color w:val="333333"/>
          <w:kern w:val="0"/>
          <w:sz w:val="19"/>
          <w:szCs w:val="19"/>
          <w:lang w:eastAsia="fr-FR"/>
          <w14:ligatures w14:val="none"/>
        </w:rPr>
        <w:t xml:space="preserve"> par la rifampicine. Si l'association ne peut être évitée, un doublement de la dose de </w:t>
      </w:r>
      <w:proofErr w:type="spellStart"/>
      <w:r w:rsidRPr="00C15DED">
        <w:rPr>
          <w:rFonts w:ascii="Roboto" w:eastAsia="Times New Roman" w:hAnsi="Roboto" w:cs="Times New Roman"/>
          <w:color w:val="333333"/>
          <w:kern w:val="0"/>
          <w:sz w:val="19"/>
          <w:szCs w:val="19"/>
          <w:lang w:eastAsia="fr-FR"/>
          <w14:ligatures w14:val="none"/>
        </w:rPr>
        <w:t>raltégravir</w:t>
      </w:r>
      <w:proofErr w:type="spellEnd"/>
      <w:r w:rsidRPr="00C15DED">
        <w:rPr>
          <w:rFonts w:ascii="Roboto" w:eastAsia="Times New Roman" w:hAnsi="Roboto" w:cs="Times New Roman"/>
          <w:color w:val="333333"/>
          <w:kern w:val="0"/>
          <w:sz w:val="19"/>
          <w:szCs w:val="19"/>
          <w:lang w:eastAsia="fr-FR"/>
          <w14:ligatures w14:val="none"/>
        </w:rPr>
        <w:t xml:space="preserve"> peut être envisagé.</w:t>
      </w:r>
    </w:p>
    <w:p w14:paraId="774BEF7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Ranolazine</w:t>
      </w:r>
      <w:proofErr w:type="spellEnd"/>
    </w:p>
    <w:p w14:paraId="372F639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très importante des concentrations de </w:t>
      </w:r>
      <w:proofErr w:type="spellStart"/>
      <w:r w:rsidRPr="00C15DED">
        <w:rPr>
          <w:rFonts w:ascii="Roboto" w:eastAsia="Times New Roman" w:hAnsi="Roboto" w:cs="Times New Roman"/>
          <w:color w:val="333333"/>
          <w:kern w:val="0"/>
          <w:sz w:val="19"/>
          <w:szCs w:val="19"/>
          <w:lang w:eastAsia="fr-FR"/>
          <w14:ligatures w14:val="none"/>
        </w:rPr>
        <w:t>ranolazine</w:t>
      </w:r>
      <w:proofErr w:type="spellEnd"/>
      <w:r w:rsidRPr="00C15DED">
        <w:rPr>
          <w:rFonts w:ascii="Roboto" w:eastAsia="Times New Roman" w:hAnsi="Roboto" w:cs="Times New Roman"/>
          <w:color w:val="333333"/>
          <w:kern w:val="0"/>
          <w:sz w:val="19"/>
          <w:szCs w:val="19"/>
          <w:lang w:eastAsia="fr-FR"/>
          <w14:ligatures w14:val="none"/>
        </w:rPr>
        <w:t>.</w:t>
      </w:r>
    </w:p>
    <w:p w14:paraId="300CF90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Régorafénib</w:t>
      </w:r>
      <w:proofErr w:type="spellEnd"/>
    </w:p>
    <w:p w14:paraId="7CB9E1C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régorafénib</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0217422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Rolapitant</w:t>
      </w:r>
      <w:proofErr w:type="spellEnd"/>
    </w:p>
    <w:p w14:paraId="5152525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très importante des concentrations du </w:t>
      </w:r>
      <w:proofErr w:type="spellStart"/>
      <w:r w:rsidRPr="00C15DED">
        <w:rPr>
          <w:rFonts w:ascii="Roboto" w:eastAsia="Times New Roman" w:hAnsi="Roboto" w:cs="Times New Roman"/>
          <w:color w:val="333333"/>
          <w:kern w:val="0"/>
          <w:sz w:val="19"/>
          <w:szCs w:val="19"/>
          <w:lang w:eastAsia="fr-FR"/>
          <w14:ligatures w14:val="none"/>
        </w:rPr>
        <w:t>rolapitant</w:t>
      </w:r>
      <w:proofErr w:type="spellEnd"/>
      <w:r w:rsidRPr="00C15DED">
        <w:rPr>
          <w:rFonts w:ascii="Roboto" w:eastAsia="Times New Roman" w:hAnsi="Roboto" w:cs="Times New Roman"/>
          <w:color w:val="333333"/>
          <w:kern w:val="0"/>
          <w:sz w:val="19"/>
          <w:szCs w:val="19"/>
          <w:lang w:eastAsia="fr-FR"/>
          <w14:ligatures w14:val="none"/>
        </w:rPr>
        <w:t xml:space="preserve"> avec risque de perte d'efficacité.</w:t>
      </w:r>
    </w:p>
    <w:p w14:paraId="5E2DFB4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Sertraline</w:t>
      </w:r>
      <w:proofErr w:type="spellEnd"/>
    </w:p>
    <w:p w14:paraId="250E70B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d'inefficacité du traitement antidépresseur.</w:t>
      </w:r>
    </w:p>
    <w:p w14:paraId="3607221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Ténofovir</w:t>
      </w:r>
      <w:proofErr w:type="spellEnd"/>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alafénamide</w:t>
      </w:r>
      <w:proofErr w:type="spellEnd"/>
    </w:p>
    <w:p w14:paraId="4AB32DE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C15DED">
        <w:rPr>
          <w:rFonts w:ascii="Roboto" w:eastAsia="Times New Roman" w:hAnsi="Roboto" w:cs="Times New Roman"/>
          <w:color w:val="333333"/>
          <w:kern w:val="0"/>
          <w:sz w:val="19"/>
          <w:szCs w:val="19"/>
          <w:lang w:eastAsia="fr-FR"/>
          <w14:ligatures w14:val="none"/>
        </w:rPr>
        <w:t>ténofovir</w:t>
      </w:r>
      <w:proofErr w:type="spellEnd"/>
      <w:r w:rsidRPr="00C15DED">
        <w:rPr>
          <w:rFonts w:ascii="Roboto" w:eastAsia="Times New Roman" w:hAnsi="Roboto" w:cs="Times New Roman"/>
          <w:color w:val="333333"/>
          <w:kern w:val="0"/>
          <w:sz w:val="19"/>
          <w:szCs w:val="19"/>
          <w:lang w:eastAsia="fr-FR"/>
          <w14:ligatures w14:val="none"/>
        </w:rPr>
        <w:t xml:space="preserve"> </w:t>
      </w:r>
      <w:proofErr w:type="spellStart"/>
      <w:r w:rsidRPr="00C15DED">
        <w:rPr>
          <w:rFonts w:ascii="Roboto" w:eastAsia="Times New Roman" w:hAnsi="Roboto" w:cs="Times New Roman"/>
          <w:color w:val="333333"/>
          <w:kern w:val="0"/>
          <w:sz w:val="19"/>
          <w:szCs w:val="19"/>
          <w:lang w:eastAsia="fr-FR"/>
          <w14:ligatures w14:val="none"/>
        </w:rPr>
        <w:t>alafénamide</w:t>
      </w:r>
      <w:proofErr w:type="spellEnd"/>
      <w:r w:rsidRPr="00C15DED">
        <w:rPr>
          <w:rFonts w:ascii="Roboto" w:eastAsia="Times New Roman" w:hAnsi="Roboto" w:cs="Times New Roman"/>
          <w:color w:val="333333"/>
          <w:kern w:val="0"/>
          <w:sz w:val="19"/>
          <w:szCs w:val="19"/>
          <w:lang w:eastAsia="fr-FR"/>
          <w14:ligatures w14:val="none"/>
        </w:rPr>
        <w:t xml:space="preserve"> par diminution de son absorption par la rifampicine. Surveillance clinique pendant l'association et 1 à 2 semaines après l'arrêt de la rifampicine.</w:t>
      </w:r>
    </w:p>
    <w:p w14:paraId="56F60D6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Télithromycine</w:t>
      </w:r>
      <w:proofErr w:type="spellEnd"/>
    </w:p>
    <w:p w14:paraId="386D119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 xml:space="preserve">Diminution très importante des concentrations plasmatiques de la </w:t>
      </w:r>
      <w:proofErr w:type="spellStart"/>
      <w:r w:rsidRPr="00C15DED">
        <w:rPr>
          <w:rFonts w:ascii="Roboto" w:eastAsia="Times New Roman" w:hAnsi="Roboto" w:cs="Times New Roman"/>
          <w:color w:val="333333"/>
          <w:kern w:val="0"/>
          <w:sz w:val="19"/>
          <w:szCs w:val="19"/>
          <w:lang w:eastAsia="fr-FR"/>
          <w14:ligatures w14:val="none"/>
        </w:rPr>
        <w:t>télithromycine</w:t>
      </w:r>
      <w:proofErr w:type="spellEnd"/>
      <w:r w:rsidRPr="00C15DED">
        <w:rPr>
          <w:rFonts w:ascii="Roboto" w:eastAsia="Times New Roman" w:hAnsi="Roboto" w:cs="Times New Roman"/>
          <w:color w:val="333333"/>
          <w:kern w:val="0"/>
          <w:sz w:val="19"/>
          <w:szCs w:val="19"/>
          <w:lang w:eastAsia="fr-FR"/>
          <w14:ligatures w14:val="none"/>
        </w:rPr>
        <w:t xml:space="preserve">, avec risque d'échec du traitement anti-infectieux, par augmentation du métabolisme hépatique de la </w:t>
      </w:r>
      <w:proofErr w:type="spellStart"/>
      <w:r w:rsidRPr="00C15DED">
        <w:rPr>
          <w:rFonts w:ascii="Roboto" w:eastAsia="Times New Roman" w:hAnsi="Roboto" w:cs="Times New Roman"/>
          <w:color w:val="333333"/>
          <w:kern w:val="0"/>
          <w:sz w:val="19"/>
          <w:szCs w:val="19"/>
          <w:lang w:eastAsia="fr-FR"/>
          <w14:ligatures w14:val="none"/>
        </w:rPr>
        <w:t>télithromycine</w:t>
      </w:r>
      <w:proofErr w:type="spellEnd"/>
      <w:r w:rsidRPr="00C15DED">
        <w:rPr>
          <w:rFonts w:ascii="Roboto" w:eastAsia="Times New Roman" w:hAnsi="Roboto" w:cs="Times New Roman"/>
          <w:color w:val="333333"/>
          <w:kern w:val="0"/>
          <w:sz w:val="19"/>
          <w:szCs w:val="19"/>
          <w:lang w:eastAsia="fr-FR"/>
          <w14:ligatures w14:val="none"/>
        </w:rPr>
        <w:t xml:space="preserve"> par la rifampicine.</w:t>
      </w:r>
    </w:p>
    <w:p w14:paraId="4B49B52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Ticagrélor</w:t>
      </w:r>
      <w:proofErr w:type="spellEnd"/>
    </w:p>
    <w:p w14:paraId="65B6D84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importante des concentrations plasmatiques de </w:t>
      </w:r>
      <w:proofErr w:type="spellStart"/>
      <w:r w:rsidRPr="00C15DED">
        <w:rPr>
          <w:rFonts w:ascii="Roboto" w:eastAsia="Times New Roman" w:hAnsi="Roboto" w:cs="Times New Roman"/>
          <w:color w:val="333333"/>
          <w:kern w:val="0"/>
          <w:sz w:val="19"/>
          <w:szCs w:val="19"/>
          <w:lang w:eastAsia="fr-FR"/>
          <w14:ligatures w14:val="none"/>
        </w:rPr>
        <w:t>ticagrélor</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 avec risque de diminution de l'effet thérapeutique.</w:t>
      </w:r>
    </w:p>
    <w:p w14:paraId="3294107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Ulipristal</w:t>
      </w:r>
      <w:proofErr w:type="spellEnd"/>
    </w:p>
    <w:p w14:paraId="75482B3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de diminution de l'effet de l'</w:t>
      </w:r>
      <w:proofErr w:type="spellStart"/>
      <w:r w:rsidRPr="00C15DED">
        <w:rPr>
          <w:rFonts w:ascii="Roboto" w:eastAsia="Times New Roman" w:hAnsi="Roboto" w:cs="Times New Roman"/>
          <w:color w:val="333333"/>
          <w:kern w:val="0"/>
          <w:sz w:val="19"/>
          <w:szCs w:val="19"/>
          <w:lang w:eastAsia="fr-FR"/>
          <w14:ligatures w14:val="none"/>
        </w:rPr>
        <w:t>ulipristal</w:t>
      </w:r>
      <w:proofErr w:type="spellEnd"/>
      <w:r w:rsidRPr="00C15DED">
        <w:rPr>
          <w:rFonts w:ascii="Roboto" w:eastAsia="Times New Roman" w:hAnsi="Roboto" w:cs="Times New Roman"/>
          <w:color w:val="333333"/>
          <w:kern w:val="0"/>
          <w:sz w:val="19"/>
          <w:szCs w:val="19"/>
          <w:lang w:eastAsia="fr-FR"/>
          <w14:ligatures w14:val="none"/>
        </w:rPr>
        <w:t>, par augmentation de son métabolisme hépatique par la rifampicine. Préférer une alternative thérapeutique peu ou pas métabolisée.</w:t>
      </w:r>
    </w:p>
    <w:p w14:paraId="6CAF17E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Vémurafénib</w:t>
      </w:r>
      <w:proofErr w:type="spellEnd"/>
    </w:p>
    <w:p w14:paraId="1435C06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diminution des concentrations du </w:t>
      </w:r>
      <w:proofErr w:type="spellStart"/>
      <w:r w:rsidRPr="00C15DED">
        <w:rPr>
          <w:rFonts w:ascii="Roboto" w:eastAsia="Times New Roman" w:hAnsi="Roboto" w:cs="Times New Roman"/>
          <w:color w:val="333333"/>
          <w:kern w:val="0"/>
          <w:sz w:val="19"/>
          <w:szCs w:val="19"/>
          <w:lang w:eastAsia="fr-FR"/>
          <w14:ligatures w14:val="none"/>
        </w:rPr>
        <w:t>vémurafénib</w:t>
      </w:r>
      <w:proofErr w:type="spellEnd"/>
      <w:r w:rsidRPr="00C15DED">
        <w:rPr>
          <w:rFonts w:ascii="Roboto" w:eastAsia="Times New Roman" w:hAnsi="Roboto" w:cs="Times New Roman"/>
          <w:color w:val="333333"/>
          <w:kern w:val="0"/>
          <w:sz w:val="19"/>
          <w:szCs w:val="19"/>
          <w:lang w:eastAsia="fr-FR"/>
          <w14:ligatures w14:val="none"/>
        </w:rPr>
        <w:t>, avec moindre efficacité.</w:t>
      </w:r>
    </w:p>
    <w:p w14:paraId="6D24140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Vinca</w:t>
      </w:r>
      <w:proofErr w:type="spellEnd"/>
      <w:r w:rsidRPr="00C15DED">
        <w:rPr>
          <w:rFonts w:ascii="Roboto" w:eastAsia="Times New Roman" w:hAnsi="Roboto" w:cs="Times New Roman"/>
          <w:b/>
          <w:bCs/>
          <w:color w:val="333333"/>
          <w:kern w:val="0"/>
          <w:sz w:val="19"/>
          <w:szCs w:val="19"/>
          <w:lang w:eastAsia="fr-FR"/>
          <w14:ligatures w14:val="none"/>
        </w:rPr>
        <w:t>-alcaloïdes cytotoxiques</w:t>
      </w:r>
    </w:p>
    <w:p w14:paraId="1C202E4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C15DED">
        <w:rPr>
          <w:rFonts w:ascii="Roboto" w:eastAsia="Times New Roman" w:hAnsi="Roboto" w:cs="Times New Roman"/>
          <w:color w:val="333333"/>
          <w:kern w:val="0"/>
          <w:sz w:val="19"/>
          <w:szCs w:val="19"/>
          <w:lang w:eastAsia="fr-FR"/>
          <w14:ligatures w14:val="none"/>
        </w:rPr>
        <w:t>vinca</w:t>
      </w:r>
      <w:proofErr w:type="spellEnd"/>
      <w:r w:rsidRPr="00C15DED">
        <w:rPr>
          <w:rFonts w:ascii="Roboto" w:eastAsia="Times New Roman" w:hAnsi="Roboto" w:cs="Times New Roman"/>
          <w:color w:val="333333"/>
          <w:kern w:val="0"/>
          <w:sz w:val="19"/>
          <w:szCs w:val="19"/>
          <w:lang w:eastAsia="fr-FR"/>
          <w14:ligatures w14:val="none"/>
        </w:rPr>
        <w:t>-alcaloïde par la rifampicine, avec possible retentissement sur l'efficacité.</w:t>
      </w:r>
    </w:p>
    <w:p w14:paraId="199B169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Vismodégib</w:t>
      </w:r>
      <w:proofErr w:type="spellEnd"/>
    </w:p>
    <w:p w14:paraId="6DBF0B7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vismodégib</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552838F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Zidovudine</w:t>
      </w:r>
    </w:p>
    <w:p w14:paraId="031F0A8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 moitié des concentrations de la zidovudine par augmentation de son métabolisme par la rifampicine. Si l'association s'avère nécessaire, surveillance clinique et biologique renforcée ;</w:t>
      </w:r>
    </w:p>
    <w:p w14:paraId="58E3442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Associations faisant l'objet de précautions d'emploi</w:t>
      </w:r>
    </w:p>
    <w:p w14:paraId="21BAF3C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lang w:eastAsia="fr-FR"/>
          <w14:ligatures w14:val="none"/>
        </w:rPr>
        <w:t>Liées à l'isoniazide</w:t>
      </w:r>
    </w:p>
    <w:p w14:paraId="1C26CEB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Anesthésiques volatils halogénés</w:t>
      </w:r>
    </w:p>
    <w:p w14:paraId="17D52FE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Potentialisation de l'effet hépatotoxique de l'isoniazide avec formation accrue de métabolites toxiques de l'isoniazide. En cas d'intervention programmée, par prudence, arrêter le traitement par l'isoniazide une semaine avant l'intervention et ne le reprendre que 15 jours après.</w:t>
      </w:r>
    </w:p>
    <w:p w14:paraId="689A85B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Glucocorticoïdes (sauf hydrocortisone en traitement substitutif)</w:t>
      </w:r>
    </w:p>
    <w:p w14:paraId="0B0848B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Décrit pour la prednisolone. Diminution des concentrations plasmatiques de l'isoniazide. Mécanisme invoqué : augmentation du métabolisme hépatique de l'isoniazide et diminution de celui des glucocorticoïdes. Surveillance clinique et biologique.</w:t>
      </w:r>
    </w:p>
    <w:p w14:paraId="57DA9E1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Kétoconazole</w:t>
      </w:r>
      <w:proofErr w:type="spellEnd"/>
    </w:p>
    <w:p w14:paraId="78F0FEF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kétoconazole</w:t>
      </w:r>
      <w:proofErr w:type="spellEnd"/>
      <w:r w:rsidRPr="00C15DED">
        <w:rPr>
          <w:rFonts w:ascii="Roboto" w:eastAsia="Times New Roman" w:hAnsi="Roboto" w:cs="Times New Roman"/>
          <w:color w:val="333333"/>
          <w:kern w:val="0"/>
          <w:sz w:val="19"/>
          <w:szCs w:val="19"/>
          <w:lang w:eastAsia="fr-FR"/>
          <w14:ligatures w14:val="none"/>
        </w:rPr>
        <w:t>.</w:t>
      </w:r>
    </w:p>
    <w:p w14:paraId="50719B8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Espacer les prises des deux anti-infectieux d'au moins 12 heures. Surveiller les concentrations plasmatiques du </w:t>
      </w:r>
      <w:proofErr w:type="spellStart"/>
      <w:r w:rsidRPr="00C15DED">
        <w:rPr>
          <w:rFonts w:ascii="Roboto" w:eastAsia="Times New Roman" w:hAnsi="Roboto" w:cs="Times New Roman"/>
          <w:color w:val="333333"/>
          <w:kern w:val="0"/>
          <w:sz w:val="19"/>
          <w:szCs w:val="19"/>
          <w:lang w:eastAsia="fr-FR"/>
          <w14:ligatures w14:val="none"/>
        </w:rPr>
        <w:t>kétoconazole</w:t>
      </w:r>
      <w:proofErr w:type="spellEnd"/>
      <w:r w:rsidRPr="00C15DED">
        <w:rPr>
          <w:rFonts w:ascii="Roboto" w:eastAsia="Times New Roman" w:hAnsi="Roboto" w:cs="Times New Roman"/>
          <w:color w:val="333333"/>
          <w:kern w:val="0"/>
          <w:sz w:val="19"/>
          <w:szCs w:val="19"/>
          <w:lang w:eastAsia="fr-FR"/>
          <w14:ligatures w14:val="none"/>
        </w:rPr>
        <w:t xml:space="preserve"> et adapter éventuellement sa posologie.</w:t>
      </w:r>
    </w:p>
    <w:p w14:paraId="316754A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Phénytoïne (et par extrapolation, </w:t>
      </w:r>
      <w:proofErr w:type="spellStart"/>
      <w:r w:rsidRPr="00C15DED">
        <w:rPr>
          <w:rFonts w:ascii="Roboto" w:eastAsia="Times New Roman" w:hAnsi="Roboto" w:cs="Times New Roman"/>
          <w:b/>
          <w:bCs/>
          <w:color w:val="333333"/>
          <w:kern w:val="0"/>
          <w:sz w:val="19"/>
          <w:szCs w:val="19"/>
          <w:lang w:eastAsia="fr-FR"/>
          <w14:ligatures w14:val="none"/>
        </w:rPr>
        <w:t>Fosphénytoïne</w:t>
      </w:r>
      <w:proofErr w:type="spellEnd"/>
      <w:r w:rsidRPr="00C15DED">
        <w:rPr>
          <w:rFonts w:ascii="Roboto" w:eastAsia="Times New Roman" w:hAnsi="Roboto" w:cs="Times New Roman"/>
          <w:b/>
          <w:bCs/>
          <w:color w:val="333333"/>
          <w:kern w:val="0"/>
          <w:sz w:val="19"/>
          <w:szCs w:val="19"/>
          <w:lang w:eastAsia="fr-FR"/>
          <w14:ligatures w14:val="none"/>
        </w:rPr>
        <w:t>)</w:t>
      </w:r>
    </w:p>
    <w:p w14:paraId="6426FAE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Surdosage en phénytoïne (diminution de son métabolisme). Surveillance clinique étroite, dosage des concentrations plasmatiques de phénytoïne et adaptation éventuelle de sa posologie pendant le traitement par l'isoniazide et après son arrêt (voir rubrique </w:t>
      </w:r>
      <w:hyperlink r:id="rId25"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w:t>
      </w:r>
    </w:p>
    <w:p w14:paraId="4675771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Pyrazinamide</w:t>
      </w:r>
      <w:proofErr w:type="spellEnd"/>
    </w:p>
    <w:p w14:paraId="2367A10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Addition des effets hépatotoxiques. Surveillance clinique et biologique.</w:t>
      </w:r>
    </w:p>
    <w:p w14:paraId="5998547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Rifampicine</w:t>
      </w:r>
    </w:p>
    <w:p w14:paraId="43EC4BE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Augmentation de l'effet hépatotoxique de l'isoniazide (augmentation de la formation de métabolites toxiques de l'isoniazide - voir rubriques </w:t>
      </w:r>
      <w:hyperlink r:id="rId26"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 et </w:t>
      </w:r>
      <w:hyperlink r:id="rId27" w:anchor="effets_indesirables" w:history="1">
        <w:r w:rsidRPr="00C15DED">
          <w:rPr>
            <w:rFonts w:ascii="Roboto" w:eastAsia="Times New Roman" w:hAnsi="Roboto" w:cs="Times New Roman"/>
            <w:color w:val="843D93"/>
            <w:kern w:val="0"/>
            <w:sz w:val="18"/>
            <w:szCs w:val="18"/>
            <w:lang w:eastAsia="fr-FR"/>
            <w14:ligatures w14:val="none"/>
          </w:rPr>
          <w:t>Effets indésirables</w:t>
        </w:r>
      </w:hyperlink>
      <w:r w:rsidRPr="00C15DED">
        <w:rPr>
          <w:rFonts w:ascii="Roboto" w:eastAsia="Times New Roman" w:hAnsi="Roboto" w:cs="Times New Roman"/>
          <w:color w:val="333333"/>
          <w:kern w:val="0"/>
          <w:sz w:val="19"/>
          <w:szCs w:val="19"/>
          <w:lang w:eastAsia="fr-FR"/>
          <w14:ligatures w14:val="none"/>
        </w:rPr>
        <w:t>). Surveillance clinique et biologique de cette association classique. En cas d'hépatite, arrêter l'isoniazide.</w:t>
      </w:r>
    </w:p>
    <w:p w14:paraId="5B293A2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Stavudine</w:t>
      </w:r>
      <w:proofErr w:type="spellEnd"/>
    </w:p>
    <w:p w14:paraId="57A9DF4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majoré de survenue de neuropathies périphériques par addition d'effets indésirables. Surveillance clinique et biologique régulière, notamment en début de traitement.</w:t>
      </w:r>
    </w:p>
    <w:p w14:paraId="2AE8C96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lang w:eastAsia="fr-FR"/>
          <w14:ligatures w14:val="none"/>
        </w:rPr>
        <w:t>Liées à la rifampicine</w:t>
      </w:r>
    </w:p>
    <w:p w14:paraId="3F83E10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Acide valproïque (et par extrapolation </w:t>
      </w:r>
      <w:proofErr w:type="spellStart"/>
      <w:r w:rsidRPr="00C15DED">
        <w:rPr>
          <w:rFonts w:ascii="Roboto" w:eastAsia="Times New Roman" w:hAnsi="Roboto" w:cs="Times New Roman"/>
          <w:b/>
          <w:bCs/>
          <w:color w:val="333333"/>
          <w:kern w:val="0"/>
          <w:sz w:val="19"/>
          <w:szCs w:val="19"/>
          <w:lang w:eastAsia="fr-FR"/>
          <w14:ligatures w14:val="none"/>
        </w:rPr>
        <w:t>valpromide</w:t>
      </w:r>
      <w:proofErr w:type="spellEnd"/>
      <w:r w:rsidRPr="00C15DED">
        <w:rPr>
          <w:rFonts w:ascii="Roboto" w:eastAsia="Times New Roman" w:hAnsi="Roboto" w:cs="Times New Roman"/>
          <w:b/>
          <w:bCs/>
          <w:color w:val="333333"/>
          <w:kern w:val="0"/>
          <w:sz w:val="19"/>
          <w:szCs w:val="19"/>
          <w:lang w:eastAsia="fr-FR"/>
          <w14:ligatures w14:val="none"/>
        </w:rPr>
        <w:t>)</w:t>
      </w:r>
    </w:p>
    <w:p w14:paraId="415D2E4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de survenue de crises convulsives, par augmentation du métabolisme hépatique du valproate par la rifampicine. Surveillance clinique et biologique, et adaptation éventuelle de la posologie de l'anticonvulsivant pendant le traitement par la rifampicine et après son arrêt.</w:t>
      </w:r>
    </w:p>
    <w:p w14:paraId="2EC6088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Afatinib</w:t>
      </w:r>
      <w:proofErr w:type="spellEnd"/>
    </w:p>
    <w:p w14:paraId="7E41101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de l'</w:t>
      </w:r>
      <w:proofErr w:type="spellStart"/>
      <w:r w:rsidRPr="00C15DED">
        <w:rPr>
          <w:rFonts w:ascii="Roboto" w:eastAsia="Times New Roman" w:hAnsi="Roboto" w:cs="Times New Roman"/>
          <w:color w:val="333333"/>
          <w:kern w:val="0"/>
          <w:sz w:val="19"/>
          <w:szCs w:val="19"/>
          <w:lang w:eastAsia="fr-FR"/>
          <w14:ligatures w14:val="none"/>
        </w:rPr>
        <w:t>afatinib</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par la rifampicine. Surveillance clinique pendant l'association et 1 à 2 semaines après leur arrêt.</w:t>
      </w:r>
    </w:p>
    <w:p w14:paraId="2113D47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Albendazole</w:t>
      </w:r>
      <w:proofErr w:type="spellEnd"/>
    </w:p>
    <w:p w14:paraId="10C9DDF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importante des concentrations plasmatiques de l'</w:t>
      </w:r>
      <w:proofErr w:type="spellStart"/>
      <w:r w:rsidRPr="00C15DED">
        <w:rPr>
          <w:rFonts w:ascii="Roboto" w:eastAsia="Times New Roman" w:hAnsi="Roboto" w:cs="Times New Roman"/>
          <w:color w:val="333333"/>
          <w:kern w:val="0"/>
          <w:sz w:val="19"/>
          <w:szCs w:val="19"/>
          <w:lang w:eastAsia="fr-FR"/>
          <w14:ligatures w14:val="none"/>
        </w:rPr>
        <w:t>albendazole</w:t>
      </w:r>
      <w:proofErr w:type="spellEnd"/>
      <w:r w:rsidRPr="00C15DED">
        <w:rPr>
          <w:rFonts w:ascii="Roboto" w:eastAsia="Times New Roman" w:hAnsi="Roboto" w:cs="Times New Roman"/>
          <w:color w:val="333333"/>
          <w:kern w:val="0"/>
          <w:sz w:val="19"/>
          <w:szCs w:val="19"/>
          <w:lang w:eastAsia="fr-FR"/>
          <w14:ligatures w14:val="none"/>
        </w:rPr>
        <w:t xml:space="preserve"> et de son métabolite actif par la rifampicine, avec risque de baisse de son efficacité. Surveillance clinique de la réponse thérapeutique et adaptation éventuelle de la posologie de l'</w:t>
      </w:r>
      <w:proofErr w:type="spellStart"/>
      <w:r w:rsidRPr="00C15DED">
        <w:rPr>
          <w:rFonts w:ascii="Roboto" w:eastAsia="Times New Roman" w:hAnsi="Roboto" w:cs="Times New Roman"/>
          <w:color w:val="333333"/>
          <w:kern w:val="0"/>
          <w:sz w:val="19"/>
          <w:szCs w:val="19"/>
          <w:lang w:eastAsia="fr-FR"/>
          <w14:ligatures w14:val="none"/>
        </w:rPr>
        <w:t>albendazole</w:t>
      </w:r>
      <w:proofErr w:type="spellEnd"/>
      <w:r w:rsidRPr="00C15DED">
        <w:rPr>
          <w:rFonts w:ascii="Roboto" w:eastAsia="Times New Roman" w:hAnsi="Roboto" w:cs="Times New Roman"/>
          <w:color w:val="333333"/>
          <w:kern w:val="0"/>
          <w:sz w:val="19"/>
          <w:szCs w:val="19"/>
          <w:lang w:eastAsia="fr-FR"/>
          <w14:ligatures w14:val="none"/>
        </w:rPr>
        <w:t xml:space="preserve"> pendant le traitement avec la rifampicine et après son arrêt.</w:t>
      </w:r>
    </w:p>
    <w:p w14:paraId="2B557B0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Androgènes (</w:t>
      </w:r>
      <w:proofErr w:type="spellStart"/>
      <w:r w:rsidRPr="00C15DED">
        <w:rPr>
          <w:rFonts w:ascii="Roboto" w:eastAsia="Times New Roman" w:hAnsi="Roboto" w:cs="Times New Roman"/>
          <w:b/>
          <w:bCs/>
          <w:color w:val="333333"/>
          <w:kern w:val="0"/>
          <w:sz w:val="19"/>
          <w:szCs w:val="19"/>
          <w:lang w:eastAsia="fr-FR"/>
          <w14:ligatures w14:val="none"/>
        </w:rPr>
        <w:t>androstanolone</w:t>
      </w:r>
      <w:proofErr w:type="spellEnd"/>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noréthandrolone</w:t>
      </w:r>
      <w:proofErr w:type="spellEnd"/>
      <w:r w:rsidRPr="00C15DED">
        <w:rPr>
          <w:rFonts w:ascii="Roboto" w:eastAsia="Times New Roman" w:hAnsi="Roboto" w:cs="Times New Roman"/>
          <w:b/>
          <w:bCs/>
          <w:color w:val="333333"/>
          <w:kern w:val="0"/>
          <w:sz w:val="19"/>
          <w:szCs w:val="19"/>
          <w:lang w:eastAsia="fr-FR"/>
          <w14:ligatures w14:val="none"/>
        </w:rPr>
        <w:t>, testostérone)</w:t>
      </w:r>
    </w:p>
    <w:p w14:paraId="095D0EF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de diminution des concentrations plasmatiques de l'androgène et par conséquent de son efficacité, par augmentation de son métabolisme hépatique par la rifampicine. Surveillance clinique et biologique pendant l'association et 1 à 2 semaines après l'arrêt de la rifampicine.</w:t>
      </w:r>
    </w:p>
    <w:p w14:paraId="5213CA4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Antagonistes des canaux calciques (à l'exception de la </w:t>
      </w:r>
      <w:proofErr w:type="spellStart"/>
      <w:r w:rsidRPr="00C15DED">
        <w:rPr>
          <w:rFonts w:ascii="Roboto" w:eastAsia="Times New Roman" w:hAnsi="Roboto" w:cs="Times New Roman"/>
          <w:b/>
          <w:bCs/>
          <w:color w:val="333333"/>
          <w:kern w:val="0"/>
          <w:sz w:val="19"/>
          <w:szCs w:val="19"/>
          <w:lang w:eastAsia="fr-FR"/>
          <w14:ligatures w14:val="none"/>
        </w:rPr>
        <w:t>nimodipine</w:t>
      </w:r>
      <w:proofErr w:type="spellEnd"/>
      <w:r w:rsidRPr="00C15DED">
        <w:rPr>
          <w:rFonts w:ascii="Roboto" w:eastAsia="Times New Roman" w:hAnsi="Roboto" w:cs="Times New Roman"/>
          <w:b/>
          <w:bCs/>
          <w:color w:val="333333"/>
          <w:kern w:val="0"/>
          <w:sz w:val="19"/>
          <w:szCs w:val="19"/>
          <w:lang w:eastAsia="fr-FR"/>
          <w14:ligatures w14:val="none"/>
        </w:rPr>
        <w:t>)</w:t>
      </w:r>
    </w:p>
    <w:p w14:paraId="5C4420F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de l'antagoniste du calcium par augmentation de son métabolisme hépatique. Surveillance clinique et adaptation éventuelle de la posologie de l'antagoniste du calcium pendant le traitement par la rifampicine et après son arrêt.</w:t>
      </w:r>
    </w:p>
    <w:p w14:paraId="3CB1AAC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Antiarythmiques de classe IA (</w:t>
      </w:r>
      <w:proofErr w:type="spellStart"/>
      <w:r w:rsidRPr="00C15DED">
        <w:rPr>
          <w:rFonts w:ascii="Roboto" w:eastAsia="Times New Roman" w:hAnsi="Roboto" w:cs="Times New Roman"/>
          <w:b/>
          <w:bCs/>
          <w:color w:val="333333"/>
          <w:kern w:val="0"/>
          <w:sz w:val="19"/>
          <w:szCs w:val="19"/>
          <w:lang w:eastAsia="fr-FR"/>
          <w14:ligatures w14:val="none"/>
        </w:rPr>
        <w:t>disopyramide</w:t>
      </w:r>
      <w:proofErr w:type="spellEnd"/>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hydroquinidine</w:t>
      </w:r>
      <w:proofErr w:type="spellEnd"/>
      <w:r w:rsidRPr="00C15DED">
        <w:rPr>
          <w:rFonts w:ascii="Roboto" w:eastAsia="Times New Roman" w:hAnsi="Roboto" w:cs="Times New Roman"/>
          <w:b/>
          <w:bCs/>
          <w:color w:val="333333"/>
          <w:kern w:val="0"/>
          <w:sz w:val="19"/>
          <w:szCs w:val="19"/>
          <w:lang w:eastAsia="fr-FR"/>
          <w14:ligatures w14:val="none"/>
        </w:rPr>
        <w:t>, quinidine)</w:t>
      </w:r>
    </w:p>
    <w:p w14:paraId="06F06DB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 l'antiarythmique (augmentation de son métabolisme hépatique).</w:t>
      </w:r>
    </w:p>
    <w:p w14:paraId="50AE5A9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Surveillance clinique, ECG et éventuellement de la concentration plasmatique de l'antiarythmique. Si besoin, adaptation de la posologie de l'antiarythmique pendant le traitement par la rifampicine et après son arrêt (risque de surdosage en antiarythmique).</w:t>
      </w:r>
    </w:p>
    <w:p w14:paraId="4BD5A9B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Antivitamines K (warfarine, </w:t>
      </w:r>
      <w:proofErr w:type="spellStart"/>
      <w:r w:rsidRPr="00C15DED">
        <w:rPr>
          <w:rFonts w:ascii="Roboto" w:eastAsia="Times New Roman" w:hAnsi="Roboto" w:cs="Times New Roman"/>
          <w:b/>
          <w:bCs/>
          <w:color w:val="333333"/>
          <w:kern w:val="0"/>
          <w:sz w:val="19"/>
          <w:szCs w:val="19"/>
          <w:lang w:eastAsia="fr-FR"/>
          <w14:ligatures w14:val="none"/>
        </w:rPr>
        <w:t>acénocoumarol</w:t>
      </w:r>
      <w:proofErr w:type="spellEnd"/>
      <w:r w:rsidRPr="00C15DED">
        <w:rPr>
          <w:rFonts w:ascii="Roboto" w:eastAsia="Times New Roman" w:hAnsi="Roboto" w:cs="Times New Roman"/>
          <w:b/>
          <w:bCs/>
          <w:color w:val="333333"/>
          <w:kern w:val="0"/>
          <w:sz w:val="19"/>
          <w:szCs w:val="19"/>
          <w:lang w:eastAsia="fr-FR"/>
          <w14:ligatures w14:val="none"/>
        </w:rPr>
        <w:t>, fluindione)</w:t>
      </w:r>
    </w:p>
    <w:p w14:paraId="5EDCDC6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 l'effet de l'antivitamine K par augmentation de son métabolisme hépatique par la rifampicine. Contrôle plus fréquent de l'INR. Adaptation éventuelle de la posologie de l'antivitamine K pendant le traitement par la rifampicine et 8 jours après son arrêt.</w:t>
      </w:r>
    </w:p>
    <w:p w14:paraId="5A0005C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Aripiprazole</w:t>
      </w:r>
      <w:proofErr w:type="spellEnd"/>
    </w:p>
    <w:p w14:paraId="4DE988A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de l'</w:t>
      </w:r>
      <w:proofErr w:type="spellStart"/>
      <w:r w:rsidRPr="00C15DED">
        <w:rPr>
          <w:rFonts w:ascii="Roboto" w:eastAsia="Times New Roman" w:hAnsi="Roboto" w:cs="Times New Roman"/>
          <w:color w:val="333333"/>
          <w:kern w:val="0"/>
          <w:sz w:val="19"/>
          <w:szCs w:val="19"/>
          <w:lang w:eastAsia="fr-FR"/>
          <w14:ligatures w14:val="none"/>
        </w:rPr>
        <w:t>aripiprazole</w:t>
      </w:r>
      <w:proofErr w:type="spellEnd"/>
      <w:r w:rsidRPr="00C15DED">
        <w:rPr>
          <w:rFonts w:ascii="Roboto" w:eastAsia="Times New Roman" w:hAnsi="Roboto" w:cs="Times New Roman"/>
          <w:color w:val="333333"/>
          <w:kern w:val="0"/>
          <w:sz w:val="19"/>
          <w:szCs w:val="19"/>
          <w:lang w:eastAsia="fr-FR"/>
          <w14:ligatures w14:val="none"/>
        </w:rPr>
        <w:t>. Surveillance clinique et adaptation éventuelle de la posologie de l'</w:t>
      </w:r>
      <w:proofErr w:type="spellStart"/>
      <w:r w:rsidRPr="00C15DED">
        <w:rPr>
          <w:rFonts w:ascii="Roboto" w:eastAsia="Times New Roman" w:hAnsi="Roboto" w:cs="Times New Roman"/>
          <w:color w:val="333333"/>
          <w:kern w:val="0"/>
          <w:sz w:val="19"/>
          <w:szCs w:val="19"/>
          <w:lang w:eastAsia="fr-FR"/>
          <w14:ligatures w14:val="none"/>
        </w:rPr>
        <w:t>aripiprazole</w:t>
      </w:r>
      <w:proofErr w:type="spellEnd"/>
      <w:r w:rsidRPr="00C15DED">
        <w:rPr>
          <w:rFonts w:ascii="Roboto" w:eastAsia="Times New Roman" w:hAnsi="Roboto" w:cs="Times New Roman"/>
          <w:color w:val="333333"/>
          <w:kern w:val="0"/>
          <w:sz w:val="19"/>
          <w:szCs w:val="19"/>
          <w:lang w:eastAsia="fr-FR"/>
          <w14:ligatures w14:val="none"/>
        </w:rPr>
        <w:t xml:space="preserve"> pendant l'association et 1 à 2 semaines après l'arrêt de la rifampicine.</w:t>
      </w:r>
    </w:p>
    <w:p w14:paraId="132BD90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Bazédoxifène</w:t>
      </w:r>
      <w:proofErr w:type="spellEnd"/>
    </w:p>
    <w:p w14:paraId="1431355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bazédoxifène</w:t>
      </w:r>
      <w:proofErr w:type="spellEnd"/>
      <w:r w:rsidRPr="00C15DED">
        <w:rPr>
          <w:rFonts w:ascii="Roboto" w:eastAsia="Times New Roman" w:hAnsi="Roboto" w:cs="Times New Roman"/>
          <w:color w:val="333333"/>
          <w:kern w:val="0"/>
          <w:sz w:val="19"/>
          <w:szCs w:val="19"/>
          <w:lang w:eastAsia="fr-FR"/>
          <w14:ligatures w14:val="none"/>
        </w:rPr>
        <w:t xml:space="preserve"> par la rifampicine. Surveillance d'éventuels signes évocateurs d'une perte d'efficacité (saignements).</w:t>
      </w:r>
    </w:p>
    <w:p w14:paraId="3ED7F7A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Buspirone</w:t>
      </w:r>
      <w:proofErr w:type="spellEnd"/>
    </w:p>
    <w:p w14:paraId="7E44086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 xml:space="preserve">Diminution des concentrations plasmatiques de la </w:t>
      </w:r>
      <w:proofErr w:type="spellStart"/>
      <w:r w:rsidRPr="00C15DED">
        <w:rPr>
          <w:rFonts w:ascii="Roboto" w:eastAsia="Times New Roman" w:hAnsi="Roboto" w:cs="Times New Roman"/>
          <w:color w:val="333333"/>
          <w:kern w:val="0"/>
          <w:sz w:val="19"/>
          <w:szCs w:val="19"/>
          <w:lang w:eastAsia="fr-FR"/>
          <w14:ligatures w14:val="none"/>
        </w:rPr>
        <w:t>buspirone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 Surveillance clinique et adaptation éventuelle de la posologie de la </w:t>
      </w:r>
      <w:proofErr w:type="spellStart"/>
      <w:r w:rsidRPr="00C15DED">
        <w:rPr>
          <w:rFonts w:ascii="Roboto" w:eastAsia="Times New Roman" w:hAnsi="Roboto" w:cs="Times New Roman"/>
          <w:color w:val="333333"/>
          <w:kern w:val="0"/>
          <w:sz w:val="19"/>
          <w:szCs w:val="19"/>
          <w:lang w:eastAsia="fr-FR"/>
          <w14:ligatures w14:val="none"/>
        </w:rPr>
        <w:t>buspirone</w:t>
      </w:r>
      <w:proofErr w:type="spellEnd"/>
      <w:r w:rsidRPr="00C15DED">
        <w:rPr>
          <w:rFonts w:ascii="Roboto" w:eastAsia="Times New Roman" w:hAnsi="Roboto" w:cs="Times New Roman"/>
          <w:color w:val="333333"/>
          <w:kern w:val="0"/>
          <w:sz w:val="19"/>
          <w:szCs w:val="19"/>
          <w:lang w:eastAsia="fr-FR"/>
          <w14:ligatures w14:val="none"/>
        </w:rPr>
        <w:t xml:space="preserve"> pendant le traitement par rifampicine et après son arrêt.</w:t>
      </w:r>
    </w:p>
    <w:p w14:paraId="1303F9C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Carbamazépine</w:t>
      </w:r>
    </w:p>
    <w:p w14:paraId="1A91A8A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 la carbamazépine par augmentation de son métabolisme hépatique par la rifampicine. Surveillance clinique, contrôle des concentrations plasmatiques et adaptation de la posologie de la carbamazépine pendant le traitement par la rifampicine et après son arrêt.</w:t>
      </w:r>
    </w:p>
    <w:p w14:paraId="60FFB6F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Carvédilol</w:t>
      </w:r>
    </w:p>
    <w:p w14:paraId="4D1B8A6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importante des concentrations plasmatiques du carvédilol, par augmentation de son métabolisme hépatique par la rifampicine. Surveillance clinique régulière et adaptation de la posologie du carvédilol pendant le traitement par la rifampicine. A l'arrêt de la rifampicine, risque de remontée importante des concentrations plasmatiques de carvédilol imposant une réduction posologique et une surveillance clinique étroite.</w:t>
      </w:r>
    </w:p>
    <w:p w14:paraId="3498AB3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Caspofungine</w:t>
      </w:r>
      <w:proofErr w:type="spellEnd"/>
    </w:p>
    <w:p w14:paraId="5FED401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 l'exposition à la </w:t>
      </w:r>
      <w:proofErr w:type="spellStart"/>
      <w:r w:rsidRPr="00C15DED">
        <w:rPr>
          <w:rFonts w:ascii="Roboto" w:eastAsia="Times New Roman" w:hAnsi="Roboto" w:cs="Times New Roman"/>
          <w:color w:val="333333"/>
          <w:kern w:val="0"/>
          <w:sz w:val="19"/>
          <w:szCs w:val="19"/>
          <w:lang w:eastAsia="fr-FR"/>
          <w14:ligatures w14:val="none"/>
        </w:rPr>
        <w:t>caspofungine</w:t>
      </w:r>
      <w:proofErr w:type="spellEnd"/>
      <w:r w:rsidRPr="00C15DED">
        <w:rPr>
          <w:rFonts w:ascii="Roboto" w:eastAsia="Times New Roman" w:hAnsi="Roboto" w:cs="Times New Roman"/>
          <w:color w:val="333333"/>
          <w:kern w:val="0"/>
          <w:sz w:val="19"/>
          <w:szCs w:val="19"/>
          <w:lang w:eastAsia="fr-FR"/>
          <w14:ligatures w14:val="none"/>
        </w:rPr>
        <w:t xml:space="preserve">. Après deux semaines d'administration répétée de rifampicine, les concentrations minimales de </w:t>
      </w:r>
      <w:proofErr w:type="spellStart"/>
      <w:r w:rsidRPr="00C15DED">
        <w:rPr>
          <w:rFonts w:ascii="Roboto" w:eastAsia="Times New Roman" w:hAnsi="Roboto" w:cs="Times New Roman"/>
          <w:color w:val="333333"/>
          <w:kern w:val="0"/>
          <w:sz w:val="19"/>
          <w:szCs w:val="19"/>
          <w:lang w:eastAsia="fr-FR"/>
          <w14:ligatures w14:val="none"/>
        </w:rPr>
        <w:t>caspofungine</w:t>
      </w:r>
      <w:proofErr w:type="spellEnd"/>
      <w:r w:rsidRPr="00C15DED">
        <w:rPr>
          <w:rFonts w:ascii="Roboto" w:eastAsia="Times New Roman" w:hAnsi="Roboto" w:cs="Times New Roman"/>
          <w:color w:val="333333"/>
          <w:kern w:val="0"/>
          <w:sz w:val="19"/>
          <w:szCs w:val="19"/>
          <w:lang w:eastAsia="fr-FR"/>
          <w14:ligatures w14:val="none"/>
        </w:rPr>
        <w:t xml:space="preserve"> étaient 30 % inférieures à celles observées chez des adultes ayant reçu la </w:t>
      </w:r>
      <w:proofErr w:type="spellStart"/>
      <w:r w:rsidRPr="00C15DED">
        <w:rPr>
          <w:rFonts w:ascii="Roboto" w:eastAsia="Times New Roman" w:hAnsi="Roboto" w:cs="Times New Roman"/>
          <w:color w:val="333333"/>
          <w:kern w:val="0"/>
          <w:sz w:val="19"/>
          <w:szCs w:val="19"/>
          <w:lang w:eastAsia="fr-FR"/>
          <w14:ligatures w14:val="none"/>
        </w:rPr>
        <w:t>caspofungine</w:t>
      </w:r>
      <w:proofErr w:type="spellEnd"/>
      <w:r w:rsidRPr="00C15DED">
        <w:rPr>
          <w:rFonts w:ascii="Roboto" w:eastAsia="Times New Roman" w:hAnsi="Roboto" w:cs="Times New Roman"/>
          <w:color w:val="333333"/>
          <w:kern w:val="0"/>
          <w:sz w:val="19"/>
          <w:szCs w:val="19"/>
          <w:lang w:eastAsia="fr-FR"/>
          <w14:ligatures w14:val="none"/>
        </w:rPr>
        <w:t xml:space="preserve"> seule. En cas de traitement par la rifampicine, maintenir la posologie à 70 mg par jour dès le 2e jour.</w:t>
      </w:r>
    </w:p>
    <w:p w14:paraId="2BC157E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Clarithromycine</w:t>
      </w:r>
    </w:p>
    <w:p w14:paraId="3356EC3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risque de baisse de l'efficacité de la clarithromycine, notamment chez le patient HIV, par augmentation de son métabolisme hépatique par la rifampicine. Surveillance clinique et biologique régulière.</w:t>
      </w:r>
    </w:p>
    <w:p w14:paraId="28B036D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Clozapine</w:t>
      </w:r>
    </w:p>
    <w:p w14:paraId="0B34DFE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d'inefficacité du traitement antipsychotique (diminution des concentrations plasmatiques de clozapine par augmentation de son métabolisme hépatique). Surveillance clinique et augmentation éventuelle de la posologie de la clozapine durant le traitement par la rifampicine.</w:t>
      </w:r>
    </w:p>
    <w:p w14:paraId="067E55D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Cyprotérone, dans ses indications comme anti-androgène</w:t>
      </w:r>
    </w:p>
    <w:p w14:paraId="37AF15E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de diminution de l'efficacité de la cyprotérone. Surveillance clinique et adaptation éventuelle de la posologie de la cyprotérone pendant l'association et après son arrêt.</w:t>
      </w:r>
    </w:p>
    <w:p w14:paraId="52E83D1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Dapsone</w:t>
      </w:r>
      <w:proofErr w:type="spellEnd"/>
    </w:p>
    <w:p w14:paraId="327CBD6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Augmentation de l'exposition au métabolite hydroxylamine, responsable d'effets indésirables incluant une méthémoglobinémie, une anémie hémolytique, une agranulocytose et une hémolyse.</w:t>
      </w:r>
    </w:p>
    <w:p w14:paraId="767BD42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Déférasirox</w:t>
      </w:r>
      <w:proofErr w:type="spellEnd"/>
    </w:p>
    <w:p w14:paraId="078739B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déférasirox</w:t>
      </w:r>
      <w:proofErr w:type="spellEnd"/>
      <w:r w:rsidRPr="00C15DED">
        <w:rPr>
          <w:rFonts w:ascii="Roboto" w:eastAsia="Times New Roman" w:hAnsi="Roboto" w:cs="Times New Roman"/>
          <w:color w:val="333333"/>
          <w:kern w:val="0"/>
          <w:sz w:val="19"/>
          <w:szCs w:val="19"/>
          <w:lang w:eastAsia="fr-FR"/>
          <w14:ligatures w14:val="none"/>
        </w:rPr>
        <w:t xml:space="preserve">. Surveiller la ferritinémie pendant et après le traitement par la rifampicine. Si besoin, adaptation de la posologie de </w:t>
      </w:r>
      <w:proofErr w:type="spellStart"/>
      <w:r w:rsidRPr="00C15DED">
        <w:rPr>
          <w:rFonts w:ascii="Roboto" w:eastAsia="Times New Roman" w:hAnsi="Roboto" w:cs="Times New Roman"/>
          <w:color w:val="333333"/>
          <w:kern w:val="0"/>
          <w:sz w:val="19"/>
          <w:szCs w:val="19"/>
          <w:lang w:eastAsia="fr-FR"/>
          <w14:ligatures w14:val="none"/>
        </w:rPr>
        <w:t>déférasirox</w:t>
      </w:r>
      <w:proofErr w:type="spellEnd"/>
      <w:r w:rsidRPr="00C15DED">
        <w:rPr>
          <w:rFonts w:ascii="Roboto" w:eastAsia="Times New Roman" w:hAnsi="Roboto" w:cs="Times New Roman"/>
          <w:color w:val="333333"/>
          <w:kern w:val="0"/>
          <w:sz w:val="19"/>
          <w:szCs w:val="19"/>
          <w:lang w:eastAsia="fr-FR"/>
          <w14:ligatures w14:val="none"/>
        </w:rPr>
        <w:t>.</w:t>
      </w:r>
    </w:p>
    <w:p w14:paraId="69BE991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Digoxine</w:t>
      </w:r>
      <w:proofErr w:type="spellEnd"/>
    </w:p>
    <w:p w14:paraId="5004FA1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modeste des concentrations de </w:t>
      </w:r>
      <w:proofErr w:type="spellStart"/>
      <w:r w:rsidRPr="00C15DED">
        <w:rPr>
          <w:rFonts w:ascii="Roboto" w:eastAsia="Times New Roman" w:hAnsi="Roboto" w:cs="Times New Roman"/>
          <w:color w:val="333333"/>
          <w:kern w:val="0"/>
          <w:sz w:val="19"/>
          <w:szCs w:val="19"/>
          <w:lang w:eastAsia="fr-FR"/>
          <w14:ligatures w14:val="none"/>
        </w:rPr>
        <w:t>digoxine</w:t>
      </w:r>
      <w:proofErr w:type="spellEnd"/>
      <w:r w:rsidRPr="00C15DED">
        <w:rPr>
          <w:rFonts w:ascii="Roboto" w:eastAsia="Times New Roman" w:hAnsi="Roboto" w:cs="Times New Roman"/>
          <w:color w:val="333333"/>
          <w:kern w:val="0"/>
          <w:sz w:val="19"/>
          <w:szCs w:val="19"/>
          <w:lang w:eastAsia="fr-FR"/>
          <w14:ligatures w14:val="none"/>
        </w:rPr>
        <w:t>. Surveillance clinique et ECG.</w:t>
      </w:r>
    </w:p>
    <w:p w14:paraId="69FB87F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Disopyramide</w:t>
      </w:r>
      <w:proofErr w:type="spellEnd"/>
    </w:p>
    <w:p w14:paraId="719CFF3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diminution des concentrations du </w:t>
      </w:r>
      <w:proofErr w:type="spellStart"/>
      <w:r w:rsidRPr="00C15DED">
        <w:rPr>
          <w:rFonts w:ascii="Roboto" w:eastAsia="Times New Roman" w:hAnsi="Roboto" w:cs="Times New Roman"/>
          <w:color w:val="333333"/>
          <w:kern w:val="0"/>
          <w:sz w:val="19"/>
          <w:szCs w:val="19"/>
          <w:lang w:eastAsia="fr-FR"/>
          <w14:ligatures w14:val="none"/>
        </w:rPr>
        <w:t>disopyramide</w:t>
      </w:r>
      <w:proofErr w:type="spellEnd"/>
      <w:r w:rsidRPr="00C15DED">
        <w:rPr>
          <w:rFonts w:ascii="Roboto" w:eastAsia="Times New Roman" w:hAnsi="Roboto" w:cs="Times New Roman"/>
          <w:color w:val="333333"/>
          <w:kern w:val="0"/>
          <w:sz w:val="19"/>
          <w:szCs w:val="19"/>
          <w:lang w:eastAsia="fr-FR"/>
          <w14:ligatures w14:val="none"/>
        </w:rPr>
        <w:t xml:space="preserve"> par la rifampicine. Surveillance clinique et éventuellement adaptation de la posologie du </w:t>
      </w:r>
      <w:proofErr w:type="spellStart"/>
      <w:r w:rsidRPr="00C15DED">
        <w:rPr>
          <w:rFonts w:ascii="Roboto" w:eastAsia="Times New Roman" w:hAnsi="Roboto" w:cs="Times New Roman"/>
          <w:color w:val="333333"/>
          <w:kern w:val="0"/>
          <w:sz w:val="19"/>
          <w:szCs w:val="19"/>
          <w:lang w:eastAsia="fr-FR"/>
          <w14:ligatures w14:val="none"/>
        </w:rPr>
        <w:t>disopyramide</w:t>
      </w:r>
      <w:proofErr w:type="spellEnd"/>
      <w:r w:rsidRPr="00C15DED">
        <w:rPr>
          <w:rFonts w:ascii="Roboto" w:eastAsia="Times New Roman" w:hAnsi="Roboto" w:cs="Times New Roman"/>
          <w:color w:val="333333"/>
          <w:kern w:val="0"/>
          <w:sz w:val="19"/>
          <w:szCs w:val="19"/>
          <w:lang w:eastAsia="fr-FR"/>
          <w14:ligatures w14:val="none"/>
        </w:rPr>
        <w:t xml:space="preserve"> pendant l'association et 1 à 2 semaines après l'arrêt de la rifampicine.</w:t>
      </w:r>
    </w:p>
    <w:p w14:paraId="2EF839C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Dolutégravir</w:t>
      </w:r>
      <w:proofErr w:type="spellEnd"/>
      <w:r w:rsidRPr="00C15DED">
        <w:rPr>
          <w:rFonts w:ascii="Roboto" w:eastAsia="Times New Roman" w:hAnsi="Roboto" w:cs="Times New Roman"/>
          <w:b/>
          <w:bCs/>
          <w:color w:val="333333"/>
          <w:kern w:val="0"/>
          <w:sz w:val="19"/>
          <w:szCs w:val="19"/>
          <w:lang w:eastAsia="fr-FR"/>
          <w14:ligatures w14:val="none"/>
        </w:rPr>
        <w:t>, en l'absence de résistance à la classe des inhibiteurs d'intégrase</w:t>
      </w:r>
    </w:p>
    <w:p w14:paraId="03CC40F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w:t>
      </w:r>
      <w:proofErr w:type="spellStart"/>
      <w:r w:rsidRPr="00C15DED">
        <w:rPr>
          <w:rFonts w:ascii="Roboto" w:eastAsia="Times New Roman" w:hAnsi="Roboto" w:cs="Times New Roman"/>
          <w:color w:val="333333"/>
          <w:kern w:val="0"/>
          <w:sz w:val="19"/>
          <w:szCs w:val="19"/>
          <w:lang w:eastAsia="fr-FR"/>
          <w14:ligatures w14:val="none"/>
        </w:rPr>
        <w:t>dolutégravir</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par la rifampicine.</w:t>
      </w:r>
    </w:p>
    <w:p w14:paraId="4DE4D86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Adaptation de la posologie de </w:t>
      </w:r>
      <w:proofErr w:type="spellStart"/>
      <w:r w:rsidRPr="00C15DED">
        <w:rPr>
          <w:rFonts w:ascii="Roboto" w:eastAsia="Times New Roman" w:hAnsi="Roboto" w:cs="Times New Roman"/>
          <w:color w:val="333333"/>
          <w:kern w:val="0"/>
          <w:sz w:val="19"/>
          <w:szCs w:val="19"/>
          <w:lang w:eastAsia="fr-FR"/>
          <w14:ligatures w14:val="none"/>
        </w:rPr>
        <w:t>dolutégravir</w:t>
      </w:r>
      <w:proofErr w:type="spellEnd"/>
      <w:r w:rsidRPr="00C15DED">
        <w:rPr>
          <w:rFonts w:ascii="Roboto" w:eastAsia="Times New Roman" w:hAnsi="Roboto" w:cs="Times New Roman"/>
          <w:color w:val="333333"/>
          <w:kern w:val="0"/>
          <w:sz w:val="19"/>
          <w:szCs w:val="19"/>
          <w:lang w:eastAsia="fr-FR"/>
          <w14:ligatures w14:val="none"/>
        </w:rPr>
        <w:t xml:space="preserve"> à 50 mg 2 fois par jour pendant l'association et une semaine après son arrêt.</w:t>
      </w:r>
    </w:p>
    <w:p w14:paraId="5F4F131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lastRenderedPageBreak/>
        <w:t>+ Efavirenz</w:t>
      </w:r>
    </w:p>
    <w:p w14:paraId="779BC56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 l'éfavirenz par augmentation de son métabolisme hépatique par la rifampicine. Surveillance clinique et biologique régulière, notamment en début d'association.</w:t>
      </w:r>
    </w:p>
    <w:p w14:paraId="2DF1B44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Enalapril</w:t>
      </w:r>
      <w:proofErr w:type="spellEnd"/>
    </w:p>
    <w:p w14:paraId="2C9EAF6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 l'exposition aux métabolites actifs de l'</w:t>
      </w:r>
      <w:proofErr w:type="spellStart"/>
      <w:r w:rsidRPr="00C15DED">
        <w:rPr>
          <w:rFonts w:ascii="Roboto" w:eastAsia="Times New Roman" w:hAnsi="Roboto" w:cs="Times New Roman"/>
          <w:color w:val="333333"/>
          <w:kern w:val="0"/>
          <w:sz w:val="19"/>
          <w:szCs w:val="19"/>
          <w:lang w:eastAsia="fr-FR"/>
          <w14:ligatures w14:val="none"/>
        </w:rPr>
        <w:t>énalapril</w:t>
      </w:r>
      <w:proofErr w:type="spellEnd"/>
      <w:r w:rsidRPr="00C15DED">
        <w:rPr>
          <w:rFonts w:ascii="Roboto" w:eastAsia="Times New Roman" w:hAnsi="Roboto" w:cs="Times New Roman"/>
          <w:color w:val="333333"/>
          <w:kern w:val="0"/>
          <w:sz w:val="19"/>
          <w:szCs w:val="19"/>
          <w:lang w:eastAsia="fr-FR"/>
          <w14:ligatures w14:val="none"/>
        </w:rPr>
        <w:t>. Lorsque l'état clinique du patient le nécessite, un ajustement des posologies peut s'avérer nécessaire.</w:t>
      </w:r>
    </w:p>
    <w:p w14:paraId="5EBB326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Glucocorticoïdes (sauf hydrocortisone en traitement substitutif)</w:t>
      </w:r>
    </w:p>
    <w:p w14:paraId="4E8926D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et de l'efficacité des corticoïdes par augmentation de leur métabolisme hépatique par la rifampicine ; les conséquences sont particulièrement importantes chez les </w:t>
      </w:r>
      <w:proofErr w:type="spellStart"/>
      <w:r w:rsidRPr="00C15DED">
        <w:rPr>
          <w:rFonts w:ascii="Roboto" w:eastAsia="Times New Roman" w:hAnsi="Roboto" w:cs="Times New Roman"/>
          <w:color w:val="333333"/>
          <w:kern w:val="0"/>
          <w:sz w:val="19"/>
          <w:szCs w:val="19"/>
          <w:lang w:eastAsia="fr-FR"/>
          <w14:ligatures w14:val="none"/>
        </w:rPr>
        <w:t>addisoniens</w:t>
      </w:r>
      <w:proofErr w:type="spellEnd"/>
      <w:r w:rsidRPr="00C15DED">
        <w:rPr>
          <w:rFonts w:ascii="Roboto" w:eastAsia="Times New Roman" w:hAnsi="Roboto" w:cs="Times New Roman"/>
          <w:color w:val="333333"/>
          <w:kern w:val="0"/>
          <w:sz w:val="19"/>
          <w:szCs w:val="19"/>
          <w:lang w:eastAsia="fr-FR"/>
          <w14:ligatures w14:val="none"/>
        </w:rPr>
        <w:t xml:space="preserve"> traités par l'hydrocortisone et en cas de transplantation.</w:t>
      </w:r>
    </w:p>
    <w:p w14:paraId="7EA3808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Surveillance clinique et biologique ; adaptation de la posologie des corticoïdes pendant le traitement par la rifampicine et après son arrêt.</w:t>
      </w:r>
    </w:p>
    <w:p w14:paraId="6187DD3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Avec l'hydrocortisone : risque de diminution de l'efficacité de l'hydrocortisone (augmentation de son métabolisme) ; les conséquences sont graves lorsque l'hydrocortisone est administrée en traitement substitutif ou en cas de transplantation. Surveillance clinique et biologique ; adaptation de la posologie de l'hydrocortisone pendant l'association et après l'arrêt de la rifampicine.</w:t>
      </w:r>
    </w:p>
    <w:p w14:paraId="343E7D2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Halopéridol</w:t>
      </w:r>
    </w:p>
    <w:p w14:paraId="5C53B91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de diminution des concentrations plasmatiques de l'halopéridol et de son efficacité thérapeutique, par augmentation de son métabolisme hépatique par la rifampicine. Surveillance clinique et, si besoin, adaptation posologique pendant le traitement par la rifampicine et après son arrêt.</w:t>
      </w:r>
    </w:p>
    <w:p w14:paraId="12EFF66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Hormones thyroïdiennes (décrit pour la phénytoïne, la rifampicine, la carbamazépine)</w:t>
      </w:r>
    </w:p>
    <w:p w14:paraId="1ACD9C5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d'hypothyroïdie clinique chez les patients hypothyroïdiens, par augmentation du métabolisme de la T3 et de la T4.</w:t>
      </w:r>
    </w:p>
    <w:p w14:paraId="5CF3D99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Surveillance des concentrations sériques de T3 et de T4 et adaptation si besoin de la posologie des hormones thyroïdiennes pendant le traitement par la rifampicine et après son arrêt.</w:t>
      </w:r>
    </w:p>
    <w:p w14:paraId="11F09A0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Hydroxychloroquine</w:t>
      </w:r>
    </w:p>
    <w:p w14:paraId="5652D72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de diminution de l'effet thérapeutique de l'hydroxychloroquine, par augmentation de son métabolisme par la rifampicine. Surveillance clinique et adaptation éventuelle de la posologie de l'hydroxychloroquine pendant le traitement par rifampicine et après son arrêt.</w:t>
      </w:r>
    </w:p>
    <w:p w14:paraId="4314419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Immunosuppresseurs</w:t>
      </w:r>
    </w:p>
    <w:p w14:paraId="7B24281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sanguines et de l'efficacité de l'immunosuppresseur, par augmentation de son métabolisme hépatique par la rifampicine. Augmentation de la posologie de l'immunosuppresseur sous contrôle des concentrations sanguines. Réduction de la posologie après l'arrêt de la rifampicine.</w:t>
      </w:r>
    </w:p>
    <w:p w14:paraId="352236E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Isoniazide</w:t>
      </w:r>
    </w:p>
    <w:p w14:paraId="7CA1C34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Augmentation de l'hépatotoxicité de l'isoniazide (augmentation de la formation de métabolites toxiques de l'isoniazide). Surveillance clinique et biologique de cette association classique. En cas d'hépatite, arrêter l'isoniazide.</w:t>
      </w:r>
    </w:p>
    <w:p w14:paraId="64CDD9A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Ivabradine</w:t>
      </w:r>
      <w:proofErr w:type="spellEnd"/>
    </w:p>
    <w:p w14:paraId="4822D71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de diminution de l'efficacité de l'</w:t>
      </w:r>
      <w:proofErr w:type="spellStart"/>
      <w:r w:rsidRPr="00C15DED">
        <w:rPr>
          <w:rFonts w:ascii="Roboto" w:eastAsia="Times New Roman" w:hAnsi="Roboto" w:cs="Times New Roman"/>
          <w:color w:val="333333"/>
          <w:kern w:val="0"/>
          <w:sz w:val="19"/>
          <w:szCs w:val="19"/>
          <w:lang w:eastAsia="fr-FR"/>
          <w14:ligatures w14:val="none"/>
        </w:rPr>
        <w:t>ivabradine</w:t>
      </w:r>
      <w:proofErr w:type="spellEnd"/>
      <w:r w:rsidRPr="00C15DED">
        <w:rPr>
          <w:rFonts w:ascii="Roboto" w:eastAsia="Times New Roman" w:hAnsi="Roboto" w:cs="Times New Roman"/>
          <w:color w:val="333333"/>
          <w:kern w:val="0"/>
          <w:sz w:val="19"/>
          <w:szCs w:val="19"/>
          <w:lang w:eastAsia="fr-FR"/>
          <w14:ligatures w14:val="none"/>
        </w:rPr>
        <w:t>, par augmentation de son métabolisme par la rifampicine. Surveillance clinique et adaptation de la posologie de l'</w:t>
      </w:r>
      <w:proofErr w:type="spellStart"/>
      <w:r w:rsidRPr="00C15DED">
        <w:rPr>
          <w:rFonts w:ascii="Roboto" w:eastAsia="Times New Roman" w:hAnsi="Roboto" w:cs="Times New Roman"/>
          <w:color w:val="333333"/>
          <w:kern w:val="0"/>
          <w:sz w:val="19"/>
          <w:szCs w:val="19"/>
          <w:lang w:eastAsia="fr-FR"/>
          <w14:ligatures w14:val="none"/>
        </w:rPr>
        <w:t>ivabradine</w:t>
      </w:r>
      <w:proofErr w:type="spellEnd"/>
      <w:r w:rsidRPr="00C15DED">
        <w:rPr>
          <w:rFonts w:ascii="Roboto" w:eastAsia="Times New Roman" w:hAnsi="Roboto" w:cs="Times New Roman"/>
          <w:color w:val="333333"/>
          <w:kern w:val="0"/>
          <w:sz w:val="19"/>
          <w:szCs w:val="19"/>
          <w:lang w:eastAsia="fr-FR"/>
          <w14:ligatures w14:val="none"/>
        </w:rPr>
        <w:t xml:space="preserve"> pendant l'association et après l'arrêt de la rifampicine.</w:t>
      </w:r>
    </w:p>
    <w:p w14:paraId="7BA38DB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Lévonorgestrel</w:t>
      </w:r>
    </w:p>
    <w:p w14:paraId="4C815E7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Avec le lévonorgestrel utilisé dans l'indication contraception d'urgence, diminution importante des concentrations plasmatiques de lévonorgestrel, avec risque d'inefficacité. En cas de prise d'un médicament inducteur dans les 4 dernières semaines, l'utilisation d'une contraception d'urgence non hormonale (DIU au </w:t>
      </w:r>
      <w:r w:rsidRPr="00C15DED">
        <w:rPr>
          <w:rFonts w:ascii="Roboto" w:eastAsia="Times New Roman" w:hAnsi="Roboto" w:cs="Times New Roman"/>
          <w:color w:val="333333"/>
          <w:kern w:val="0"/>
          <w:sz w:val="19"/>
          <w:szCs w:val="19"/>
          <w:lang w:eastAsia="fr-FR"/>
          <w14:ligatures w14:val="none"/>
        </w:rPr>
        <w:lastRenderedPageBreak/>
        <w:t>cuivre) devrait s'envisager. Si ce n'est pas possible, le doublement de la dose de lévonorgestrel est une autre option.</w:t>
      </w:r>
    </w:p>
    <w:p w14:paraId="1A117D6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Linézolide</w:t>
      </w:r>
      <w:proofErr w:type="spellEnd"/>
    </w:p>
    <w:p w14:paraId="2C04BC8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diminution de l'efficacité du </w:t>
      </w:r>
      <w:proofErr w:type="spellStart"/>
      <w:r w:rsidRPr="00C15DED">
        <w:rPr>
          <w:rFonts w:ascii="Roboto" w:eastAsia="Times New Roman" w:hAnsi="Roboto" w:cs="Times New Roman"/>
          <w:color w:val="333333"/>
          <w:kern w:val="0"/>
          <w:sz w:val="19"/>
          <w:szCs w:val="19"/>
          <w:lang w:eastAsia="fr-FR"/>
          <w14:ligatures w14:val="none"/>
        </w:rPr>
        <w:t>linézolide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 Surveillance clinique et augmentation éventuelle de la posologie du </w:t>
      </w:r>
      <w:proofErr w:type="spellStart"/>
      <w:r w:rsidRPr="00C15DED">
        <w:rPr>
          <w:rFonts w:ascii="Roboto" w:eastAsia="Times New Roman" w:hAnsi="Roboto" w:cs="Times New Roman"/>
          <w:color w:val="333333"/>
          <w:kern w:val="0"/>
          <w:sz w:val="19"/>
          <w:szCs w:val="19"/>
          <w:lang w:eastAsia="fr-FR"/>
          <w14:ligatures w14:val="none"/>
        </w:rPr>
        <w:t>linézolide</w:t>
      </w:r>
      <w:proofErr w:type="spellEnd"/>
      <w:r w:rsidRPr="00C15DED">
        <w:rPr>
          <w:rFonts w:ascii="Roboto" w:eastAsia="Times New Roman" w:hAnsi="Roboto" w:cs="Times New Roman"/>
          <w:color w:val="333333"/>
          <w:kern w:val="0"/>
          <w:sz w:val="19"/>
          <w:szCs w:val="19"/>
          <w:lang w:eastAsia="fr-FR"/>
          <w14:ligatures w14:val="none"/>
        </w:rPr>
        <w:t xml:space="preserve"> pendant le traitement par la rifampicine.</w:t>
      </w:r>
    </w:p>
    <w:p w14:paraId="4CC12DE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Maraviroc</w:t>
      </w:r>
      <w:proofErr w:type="spellEnd"/>
    </w:p>
    <w:p w14:paraId="2A0BE7B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En l'absence de </w:t>
      </w:r>
      <w:proofErr w:type="spellStart"/>
      <w:r w:rsidRPr="00C15DED">
        <w:rPr>
          <w:rFonts w:ascii="Roboto" w:eastAsia="Times New Roman" w:hAnsi="Roboto" w:cs="Times New Roman"/>
          <w:color w:val="333333"/>
          <w:kern w:val="0"/>
          <w:sz w:val="19"/>
          <w:szCs w:val="19"/>
          <w:lang w:eastAsia="fr-FR"/>
          <w14:ligatures w14:val="none"/>
        </w:rPr>
        <w:t>co</w:t>
      </w:r>
      <w:proofErr w:type="spellEnd"/>
      <w:r w:rsidRPr="00C15DED">
        <w:rPr>
          <w:rFonts w:ascii="Roboto" w:eastAsia="Times New Roman" w:hAnsi="Roboto" w:cs="Times New Roman"/>
          <w:color w:val="333333"/>
          <w:kern w:val="0"/>
          <w:sz w:val="19"/>
          <w:szCs w:val="19"/>
          <w:lang w:eastAsia="fr-FR"/>
          <w14:ligatures w14:val="none"/>
        </w:rPr>
        <w:t xml:space="preserve">-administration avec un inhibiteur puissant du CYP3A4, diminution des concentrations de </w:t>
      </w:r>
      <w:proofErr w:type="spellStart"/>
      <w:r w:rsidRPr="00C15DED">
        <w:rPr>
          <w:rFonts w:ascii="Roboto" w:eastAsia="Times New Roman" w:hAnsi="Roboto" w:cs="Times New Roman"/>
          <w:color w:val="333333"/>
          <w:kern w:val="0"/>
          <w:sz w:val="19"/>
          <w:szCs w:val="19"/>
          <w:lang w:eastAsia="fr-FR"/>
          <w14:ligatures w14:val="none"/>
        </w:rPr>
        <w:t>maraviroc</w:t>
      </w:r>
      <w:proofErr w:type="spellEnd"/>
      <w:r w:rsidRPr="00C15DED">
        <w:rPr>
          <w:rFonts w:ascii="Roboto" w:eastAsia="Times New Roman" w:hAnsi="Roboto" w:cs="Times New Roman"/>
          <w:color w:val="333333"/>
          <w:kern w:val="0"/>
          <w:sz w:val="19"/>
          <w:szCs w:val="19"/>
          <w:lang w:eastAsia="fr-FR"/>
          <w14:ligatures w14:val="none"/>
        </w:rPr>
        <w:t xml:space="preserve"> par la rifampicine. La dose de </w:t>
      </w:r>
      <w:proofErr w:type="spellStart"/>
      <w:r w:rsidRPr="00C15DED">
        <w:rPr>
          <w:rFonts w:ascii="Roboto" w:eastAsia="Times New Roman" w:hAnsi="Roboto" w:cs="Times New Roman"/>
          <w:color w:val="333333"/>
          <w:kern w:val="0"/>
          <w:sz w:val="19"/>
          <w:szCs w:val="19"/>
          <w:lang w:eastAsia="fr-FR"/>
          <w14:ligatures w14:val="none"/>
        </w:rPr>
        <w:t>maraviroc</w:t>
      </w:r>
      <w:proofErr w:type="spellEnd"/>
      <w:r w:rsidRPr="00C15DED">
        <w:rPr>
          <w:rFonts w:ascii="Roboto" w:eastAsia="Times New Roman" w:hAnsi="Roboto" w:cs="Times New Roman"/>
          <w:color w:val="333333"/>
          <w:kern w:val="0"/>
          <w:sz w:val="19"/>
          <w:szCs w:val="19"/>
          <w:lang w:eastAsia="fr-FR"/>
          <w14:ligatures w14:val="none"/>
        </w:rPr>
        <w:t xml:space="preserve"> doit être augmentée à 600 mg deux fois par jour dans cette situation.</w:t>
      </w:r>
    </w:p>
    <w:p w14:paraId="25C532A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Méthadone</w:t>
      </w:r>
    </w:p>
    <w:p w14:paraId="1935A62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de méthadone avec risque d'apparition d'un syndrome de sevrage, par augmentation de son métabolisme hépatique. Augmenter la fréquence des prises de méthadone (2 à 3 fois par jour au lieu d'une fois par jour).</w:t>
      </w:r>
    </w:p>
    <w:p w14:paraId="3A33424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Métronidazole</w:t>
      </w:r>
    </w:p>
    <w:p w14:paraId="5B82E5D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du métronidazole par augmentation de son métabolisme hépatique par la rifampicine. Surveillance clinique et adaptation éventuelle de la posologie de métronidazole pendant le traitement par la rifampicine et après son arrêt.</w:t>
      </w:r>
    </w:p>
    <w:p w14:paraId="47B8B54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Mifépristone</w:t>
      </w:r>
    </w:p>
    <w:p w14:paraId="140F8A3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 l'exposition à la mifépristone. Il a été montré que la rifampicine diminuait l'Aire sous la Courbe (ASC) de la mifépristone de 6,3 fois et l'ASC de ses métabolites 22-hydroxymifépristone et N-</w:t>
      </w:r>
      <w:proofErr w:type="spellStart"/>
      <w:r w:rsidRPr="00C15DED">
        <w:rPr>
          <w:rFonts w:ascii="Roboto" w:eastAsia="Times New Roman" w:hAnsi="Roboto" w:cs="Times New Roman"/>
          <w:color w:val="333333"/>
          <w:kern w:val="0"/>
          <w:sz w:val="19"/>
          <w:szCs w:val="19"/>
          <w:lang w:eastAsia="fr-FR"/>
          <w14:ligatures w14:val="none"/>
        </w:rPr>
        <w:t>déméthylmifépristone</w:t>
      </w:r>
      <w:proofErr w:type="spellEnd"/>
      <w:r w:rsidRPr="00C15DED">
        <w:rPr>
          <w:rFonts w:ascii="Roboto" w:eastAsia="Times New Roman" w:hAnsi="Roboto" w:cs="Times New Roman"/>
          <w:color w:val="333333"/>
          <w:kern w:val="0"/>
          <w:sz w:val="19"/>
          <w:szCs w:val="19"/>
          <w:lang w:eastAsia="fr-FR"/>
          <w14:ligatures w14:val="none"/>
        </w:rPr>
        <w:t xml:space="preserve"> de 20 fois et 5,9 fois respectivement. Par conséquent, une diminution de l'efficacité peut être attendue lorsque la mifépristone est administrée de façon concomitante avec la rifampicine. Si une utilisation concomitante est nécessaire, la dose de mifépristone doit être augmentée.</w:t>
      </w:r>
    </w:p>
    <w:p w14:paraId="3336FC0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Minéralocorticoïdes</w:t>
      </w:r>
    </w:p>
    <w:p w14:paraId="5F6FAFB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et de l'efficacité des corticoïdes par augmentation de leur métabolisme hépatique par la rifampicine ; les conséquences sont particulièrement importantes chez les </w:t>
      </w:r>
      <w:proofErr w:type="spellStart"/>
      <w:r w:rsidRPr="00C15DED">
        <w:rPr>
          <w:rFonts w:ascii="Roboto" w:eastAsia="Times New Roman" w:hAnsi="Roboto" w:cs="Times New Roman"/>
          <w:color w:val="333333"/>
          <w:kern w:val="0"/>
          <w:sz w:val="19"/>
          <w:szCs w:val="19"/>
          <w:lang w:eastAsia="fr-FR"/>
          <w14:ligatures w14:val="none"/>
        </w:rPr>
        <w:t>addisoniens</w:t>
      </w:r>
      <w:proofErr w:type="spellEnd"/>
      <w:r w:rsidRPr="00C15DED">
        <w:rPr>
          <w:rFonts w:ascii="Roboto" w:eastAsia="Times New Roman" w:hAnsi="Roboto" w:cs="Times New Roman"/>
          <w:color w:val="333333"/>
          <w:kern w:val="0"/>
          <w:sz w:val="19"/>
          <w:szCs w:val="19"/>
          <w:lang w:eastAsia="fr-FR"/>
          <w14:ligatures w14:val="none"/>
        </w:rPr>
        <w:t xml:space="preserve"> traités par l'hydrocortisone et en cas de transplantation.</w:t>
      </w:r>
    </w:p>
    <w:p w14:paraId="5AB6215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Surveillance clinique et biologique ; adaptation de la posologie des corticoïdes pendant le traitement par la rifampicine et après son arrêt.</w:t>
      </w:r>
    </w:p>
    <w:p w14:paraId="182A7A4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Montélukast</w:t>
      </w:r>
      <w:proofErr w:type="spellEnd"/>
    </w:p>
    <w:p w14:paraId="30A19D9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Risque de baisse de l'efficacité du </w:t>
      </w:r>
      <w:proofErr w:type="spellStart"/>
      <w:r w:rsidRPr="00C15DED">
        <w:rPr>
          <w:rFonts w:ascii="Roboto" w:eastAsia="Times New Roman" w:hAnsi="Roboto" w:cs="Times New Roman"/>
          <w:color w:val="333333"/>
          <w:kern w:val="0"/>
          <w:sz w:val="19"/>
          <w:szCs w:val="19"/>
          <w:lang w:eastAsia="fr-FR"/>
          <w14:ligatures w14:val="none"/>
        </w:rPr>
        <w:t>montélukast</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 Surveillance clinique et adaptation éventuelle de la posologie de l'antiasthmatique pendant le traitement par la rifampicine et après son arrêt.</w:t>
      </w:r>
    </w:p>
    <w:p w14:paraId="432721E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Morphine</w:t>
      </w:r>
    </w:p>
    <w:p w14:paraId="4F4CDE1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 la morphine et de son métabolite actif.</w:t>
      </w:r>
    </w:p>
    <w:p w14:paraId="52F1925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Surveillance clinique et adaptation éventuelle de la posologie de la morphine pendant le traitement par la rifampicine et après son arrêt.</w:t>
      </w:r>
    </w:p>
    <w:p w14:paraId="1887057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Nintédanib</w:t>
      </w:r>
      <w:proofErr w:type="spellEnd"/>
    </w:p>
    <w:p w14:paraId="0EE9907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du </w:t>
      </w:r>
      <w:proofErr w:type="spellStart"/>
      <w:r w:rsidRPr="00C15DED">
        <w:rPr>
          <w:rFonts w:ascii="Roboto" w:eastAsia="Times New Roman" w:hAnsi="Roboto" w:cs="Times New Roman"/>
          <w:color w:val="333333"/>
          <w:kern w:val="0"/>
          <w:sz w:val="19"/>
          <w:szCs w:val="19"/>
          <w:lang w:eastAsia="fr-FR"/>
          <w14:ligatures w14:val="none"/>
        </w:rPr>
        <w:t>nintédanib</w:t>
      </w:r>
      <w:proofErr w:type="spellEnd"/>
      <w:r w:rsidRPr="00C15DED">
        <w:rPr>
          <w:rFonts w:ascii="Roboto" w:eastAsia="Times New Roman" w:hAnsi="Roboto" w:cs="Times New Roman"/>
          <w:color w:val="333333"/>
          <w:kern w:val="0"/>
          <w:sz w:val="19"/>
          <w:szCs w:val="19"/>
          <w:lang w:eastAsia="fr-FR"/>
          <w14:ligatures w14:val="none"/>
        </w:rPr>
        <w:t xml:space="preserve"> par diminution de son absorption par la rifampicine. Surveillance clinique pendant l'association.</w:t>
      </w:r>
    </w:p>
    <w:p w14:paraId="315887E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Paracétamol</w:t>
      </w:r>
    </w:p>
    <w:p w14:paraId="2C61FB1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L'utilisation concomitante de paracétamol et de rifampicine peut augmenter le risque d'hépatotoxicité.</w:t>
      </w:r>
    </w:p>
    <w:p w14:paraId="45E9685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Pioglitazone</w:t>
      </w:r>
    </w:p>
    <w:p w14:paraId="2655593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Diminution des concentrations plasmatiques de la glitazone par augmentation de son métabolisme par la rifampicine. Surveillance clinique et biologique ; adaptation de la posologie de la glitazone pendant le traitement par la rifampicine et après son arrêt.</w:t>
      </w:r>
    </w:p>
    <w:p w14:paraId="334BFA2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Progestatifs non contraceptifs (associés ou non à un estrogène)</w:t>
      </w:r>
    </w:p>
    <w:p w14:paraId="04C98BD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 l'efficacité du progestatif. Surveillance clinique et adaptation éventuelle de la posologie du traitement hormonal pendant l'administration de l'inducteur et après son arrêt.</w:t>
      </w:r>
    </w:p>
    <w:p w14:paraId="43062B0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Propafénone</w:t>
      </w:r>
      <w:proofErr w:type="spellEnd"/>
    </w:p>
    <w:p w14:paraId="5EAE157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la </w:t>
      </w:r>
      <w:proofErr w:type="spellStart"/>
      <w:r w:rsidRPr="00C15DED">
        <w:rPr>
          <w:rFonts w:ascii="Roboto" w:eastAsia="Times New Roman" w:hAnsi="Roboto" w:cs="Times New Roman"/>
          <w:color w:val="333333"/>
          <w:kern w:val="0"/>
          <w:sz w:val="19"/>
          <w:szCs w:val="19"/>
          <w:lang w:eastAsia="fr-FR"/>
          <w14:ligatures w14:val="none"/>
        </w:rPr>
        <w:t>propafénone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 Surveillance clinique et ECG. S'il y a lieu, adaptation de la posologie de la </w:t>
      </w:r>
      <w:proofErr w:type="spellStart"/>
      <w:r w:rsidRPr="00C15DED">
        <w:rPr>
          <w:rFonts w:ascii="Roboto" w:eastAsia="Times New Roman" w:hAnsi="Roboto" w:cs="Times New Roman"/>
          <w:color w:val="333333"/>
          <w:kern w:val="0"/>
          <w:sz w:val="19"/>
          <w:szCs w:val="19"/>
          <w:lang w:eastAsia="fr-FR"/>
          <w14:ligatures w14:val="none"/>
        </w:rPr>
        <w:t>propafénone</w:t>
      </w:r>
      <w:proofErr w:type="spellEnd"/>
      <w:r w:rsidRPr="00C15DED">
        <w:rPr>
          <w:rFonts w:ascii="Roboto" w:eastAsia="Times New Roman" w:hAnsi="Roboto" w:cs="Times New Roman"/>
          <w:color w:val="333333"/>
          <w:kern w:val="0"/>
          <w:sz w:val="19"/>
          <w:szCs w:val="19"/>
          <w:lang w:eastAsia="fr-FR"/>
          <w14:ligatures w14:val="none"/>
        </w:rPr>
        <w:t xml:space="preserve"> pendant l'association et après l'arrêt de la rifampicine.</w:t>
      </w:r>
    </w:p>
    <w:p w14:paraId="577A799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Terbinafine</w:t>
      </w:r>
      <w:proofErr w:type="spellEnd"/>
    </w:p>
    <w:p w14:paraId="10970C9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et de l'efficacité de la </w:t>
      </w:r>
      <w:proofErr w:type="spellStart"/>
      <w:r w:rsidRPr="00C15DED">
        <w:rPr>
          <w:rFonts w:ascii="Roboto" w:eastAsia="Times New Roman" w:hAnsi="Roboto" w:cs="Times New Roman"/>
          <w:color w:val="333333"/>
          <w:kern w:val="0"/>
          <w:sz w:val="19"/>
          <w:szCs w:val="19"/>
          <w:lang w:eastAsia="fr-FR"/>
          <w14:ligatures w14:val="none"/>
        </w:rPr>
        <w:t>terbinafine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0DC9DC7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Surveillance clinique. Si besoin, adaptation de la posologie de la </w:t>
      </w:r>
      <w:proofErr w:type="spellStart"/>
      <w:r w:rsidRPr="00C15DED">
        <w:rPr>
          <w:rFonts w:ascii="Roboto" w:eastAsia="Times New Roman" w:hAnsi="Roboto" w:cs="Times New Roman"/>
          <w:color w:val="333333"/>
          <w:kern w:val="0"/>
          <w:sz w:val="19"/>
          <w:szCs w:val="19"/>
          <w:lang w:eastAsia="fr-FR"/>
          <w14:ligatures w14:val="none"/>
        </w:rPr>
        <w:t>terbinafine</w:t>
      </w:r>
      <w:proofErr w:type="spellEnd"/>
      <w:r w:rsidRPr="00C15DED">
        <w:rPr>
          <w:rFonts w:ascii="Roboto" w:eastAsia="Times New Roman" w:hAnsi="Roboto" w:cs="Times New Roman"/>
          <w:color w:val="333333"/>
          <w:kern w:val="0"/>
          <w:sz w:val="19"/>
          <w:szCs w:val="19"/>
          <w:lang w:eastAsia="fr-FR"/>
          <w14:ligatures w14:val="none"/>
        </w:rPr>
        <w:t xml:space="preserve"> pendant le traitement par la rifampicine.</w:t>
      </w:r>
    </w:p>
    <w:p w14:paraId="141A6C4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Théophylline (et par extrapolation aminophylline)</w:t>
      </w:r>
    </w:p>
    <w:p w14:paraId="54B8FDD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 la théophylline (augmentation de son métabolisme par induction enzymatique).</w:t>
      </w:r>
    </w:p>
    <w:p w14:paraId="57EE17D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Surveillance clinique et si besoin, de la </w:t>
      </w:r>
      <w:proofErr w:type="spellStart"/>
      <w:r w:rsidRPr="00C15DED">
        <w:rPr>
          <w:rFonts w:ascii="Roboto" w:eastAsia="Times New Roman" w:hAnsi="Roboto" w:cs="Times New Roman"/>
          <w:color w:val="333333"/>
          <w:kern w:val="0"/>
          <w:sz w:val="19"/>
          <w:szCs w:val="19"/>
          <w:lang w:eastAsia="fr-FR"/>
          <w14:ligatures w14:val="none"/>
        </w:rPr>
        <w:t>théophyllinémie</w:t>
      </w:r>
      <w:proofErr w:type="spellEnd"/>
      <w:r w:rsidRPr="00C15DED">
        <w:rPr>
          <w:rFonts w:ascii="Roboto" w:eastAsia="Times New Roman" w:hAnsi="Roboto" w:cs="Times New Roman"/>
          <w:color w:val="333333"/>
          <w:kern w:val="0"/>
          <w:sz w:val="19"/>
          <w:szCs w:val="19"/>
          <w:lang w:eastAsia="fr-FR"/>
          <w14:ligatures w14:val="none"/>
        </w:rPr>
        <w:t>. Adapter, s'il y a lieu, la posologie de la théophylline pendant le traitement par la rifampicine et après son arrêt.</w:t>
      </w:r>
    </w:p>
    <w:p w14:paraId="64154F9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Tiagabine</w:t>
      </w:r>
      <w:proofErr w:type="spellEnd"/>
    </w:p>
    <w:p w14:paraId="209A844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des concentrations plasmatiques de la </w:t>
      </w:r>
      <w:proofErr w:type="spellStart"/>
      <w:r w:rsidRPr="00C15DED">
        <w:rPr>
          <w:rFonts w:ascii="Roboto" w:eastAsia="Times New Roman" w:hAnsi="Roboto" w:cs="Times New Roman"/>
          <w:color w:val="333333"/>
          <w:kern w:val="0"/>
          <w:sz w:val="19"/>
          <w:szCs w:val="19"/>
          <w:lang w:eastAsia="fr-FR"/>
          <w14:ligatures w14:val="none"/>
        </w:rPr>
        <w:t>tiagabine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Une augmentation de la posologie de la </w:t>
      </w:r>
      <w:proofErr w:type="spellStart"/>
      <w:r w:rsidRPr="00C15DED">
        <w:rPr>
          <w:rFonts w:ascii="Roboto" w:eastAsia="Times New Roman" w:hAnsi="Roboto" w:cs="Times New Roman"/>
          <w:color w:val="333333"/>
          <w:kern w:val="0"/>
          <w:sz w:val="19"/>
          <w:szCs w:val="19"/>
          <w:lang w:eastAsia="fr-FR"/>
          <w14:ligatures w14:val="none"/>
        </w:rPr>
        <w:t>tiagabine</w:t>
      </w:r>
      <w:proofErr w:type="spellEnd"/>
      <w:r w:rsidRPr="00C15DED">
        <w:rPr>
          <w:rFonts w:ascii="Roboto" w:eastAsia="Times New Roman" w:hAnsi="Roboto" w:cs="Times New Roman"/>
          <w:color w:val="333333"/>
          <w:kern w:val="0"/>
          <w:sz w:val="19"/>
          <w:szCs w:val="19"/>
          <w:lang w:eastAsia="fr-FR"/>
          <w14:ligatures w14:val="none"/>
        </w:rPr>
        <w:t xml:space="preserve"> peut s'avérer nécessaire en cas d'association à la rifampicine.</w:t>
      </w:r>
    </w:p>
    <w:p w14:paraId="62D19BB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Vitamine D</w:t>
      </w:r>
    </w:p>
    <w:p w14:paraId="1E509CD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de vitamine D plus marquée qu'en l'absence de traitement par la rifampicine. Dosage des concentrations de vitamine D et supplémentation si nécessaire.</w:t>
      </w:r>
    </w:p>
    <w:p w14:paraId="159DD5A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Zolpidem</w:t>
      </w:r>
    </w:p>
    <w:p w14:paraId="631915B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du zolpidem par augmentation de son métabolisme hépatique par la rifampicine. Surveillance clinique. Utiliser éventuellement un autre hypnotique.</w:t>
      </w:r>
    </w:p>
    <w:p w14:paraId="54630F5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Zopiclone</w:t>
      </w:r>
    </w:p>
    <w:p w14:paraId="7750016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de la zopiclone par augmentation de son métabolisme hépatique par la rifampicine. Surveillance clinique. Utiliser éventuellement un autre hypnotique.</w:t>
      </w:r>
    </w:p>
    <w:p w14:paraId="535297D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Associations à prendre en compte</w:t>
      </w:r>
    </w:p>
    <w:p w14:paraId="22991C8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lang w:eastAsia="fr-FR"/>
          <w14:ligatures w14:val="none"/>
        </w:rPr>
        <w:t>Liées à la rifampicine</w:t>
      </w:r>
    </w:p>
    <w:p w14:paraId="66E9458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Bortézomib</w:t>
      </w:r>
      <w:proofErr w:type="spellEnd"/>
    </w:p>
    <w:p w14:paraId="1E1E4DD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0B9D61F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Cabazitaxel</w:t>
      </w:r>
      <w:proofErr w:type="spellEnd"/>
    </w:p>
    <w:p w14:paraId="2FC3017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du cytotoxique par augmentation de son métabolisme par la rifampicine, avec risque de moindre efficacité.</w:t>
      </w:r>
    </w:p>
    <w:p w14:paraId="671B09F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Exémestane</w:t>
      </w:r>
      <w:proofErr w:type="spellEnd"/>
    </w:p>
    <w:p w14:paraId="13593DB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de diminution de l'efficacité de l'</w:t>
      </w:r>
      <w:proofErr w:type="spellStart"/>
      <w:r w:rsidRPr="00C15DED">
        <w:rPr>
          <w:rFonts w:ascii="Roboto" w:eastAsia="Times New Roman" w:hAnsi="Roboto" w:cs="Times New Roman"/>
          <w:color w:val="333333"/>
          <w:kern w:val="0"/>
          <w:sz w:val="19"/>
          <w:szCs w:val="19"/>
          <w:lang w:eastAsia="fr-FR"/>
          <w14:ligatures w14:val="none"/>
        </w:rPr>
        <w:t>exémestane</w:t>
      </w:r>
      <w:proofErr w:type="spellEnd"/>
      <w:r w:rsidRPr="00C15DED">
        <w:rPr>
          <w:rFonts w:ascii="Roboto" w:eastAsia="Times New Roman" w:hAnsi="Roboto" w:cs="Times New Roman"/>
          <w:color w:val="333333"/>
          <w:kern w:val="0"/>
          <w:sz w:val="19"/>
          <w:szCs w:val="19"/>
          <w:lang w:eastAsia="fr-FR"/>
          <w14:ligatures w14:val="none"/>
        </w:rPr>
        <w:t xml:space="preserve"> par augmentation de son métabolisme hépatique par la rifampicine.</w:t>
      </w:r>
    </w:p>
    <w:p w14:paraId="61A257A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lastRenderedPageBreak/>
        <w:t>+ Metformine</w:t>
      </w:r>
    </w:p>
    <w:p w14:paraId="2C0A3D6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de metformine par la rifampicine.</w:t>
      </w:r>
    </w:p>
    <w:p w14:paraId="1FE32D3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Métoprolol</w:t>
      </w:r>
      <w:proofErr w:type="spellEnd"/>
      <w:r w:rsidRPr="00C15DED">
        <w:rPr>
          <w:rFonts w:ascii="Roboto" w:eastAsia="Times New Roman" w:hAnsi="Roboto" w:cs="Times New Roman"/>
          <w:b/>
          <w:bCs/>
          <w:color w:val="333333"/>
          <w:kern w:val="0"/>
          <w:sz w:val="19"/>
          <w:szCs w:val="19"/>
          <w:lang w:eastAsia="fr-FR"/>
          <w14:ligatures w14:val="none"/>
        </w:rPr>
        <w:t>, Propranolol</w:t>
      </w:r>
    </w:p>
    <w:p w14:paraId="6949FCF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Diminution des concentrations plasmatiques et de l'efficacité du bêta-bloquant (augmentation de son métabolisme hépatique).</w:t>
      </w:r>
    </w:p>
    <w:p w14:paraId="567B01E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xml:space="preserve">+ </w:t>
      </w:r>
      <w:proofErr w:type="spellStart"/>
      <w:r w:rsidRPr="00C15DED">
        <w:rPr>
          <w:rFonts w:ascii="Roboto" w:eastAsia="Times New Roman" w:hAnsi="Roboto" w:cs="Times New Roman"/>
          <w:b/>
          <w:bCs/>
          <w:color w:val="333333"/>
          <w:kern w:val="0"/>
          <w:sz w:val="19"/>
          <w:szCs w:val="19"/>
          <w:lang w:eastAsia="fr-FR"/>
          <w14:ligatures w14:val="none"/>
        </w:rPr>
        <w:t>Pérampanel</w:t>
      </w:r>
      <w:proofErr w:type="spellEnd"/>
    </w:p>
    <w:p w14:paraId="4804B0C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Diminution importante (jusqu'aux deux-tiers) des concentrations de </w:t>
      </w:r>
      <w:proofErr w:type="spellStart"/>
      <w:r w:rsidRPr="00C15DED">
        <w:rPr>
          <w:rFonts w:ascii="Roboto" w:eastAsia="Times New Roman" w:hAnsi="Roboto" w:cs="Times New Roman"/>
          <w:color w:val="333333"/>
          <w:kern w:val="0"/>
          <w:sz w:val="19"/>
          <w:szCs w:val="19"/>
          <w:lang w:eastAsia="fr-FR"/>
          <w14:ligatures w14:val="none"/>
        </w:rPr>
        <w:t>pérampanel</w:t>
      </w:r>
      <w:proofErr w:type="spellEnd"/>
      <w:r w:rsidRPr="00C15DED">
        <w:rPr>
          <w:rFonts w:ascii="Roboto" w:eastAsia="Times New Roman" w:hAnsi="Roboto" w:cs="Times New Roman"/>
          <w:color w:val="333333"/>
          <w:kern w:val="0"/>
          <w:sz w:val="19"/>
          <w:szCs w:val="19"/>
          <w:lang w:eastAsia="fr-FR"/>
          <w14:ligatures w14:val="none"/>
        </w:rPr>
        <w:t>.</w:t>
      </w:r>
    </w:p>
    <w:p w14:paraId="76FF263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 Tamoxifène</w:t>
      </w:r>
    </w:p>
    <w:p w14:paraId="356A47A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Risque d'inefficacité du tamoxifène par augmentation de son métabolisme par la rifampicine.</w:t>
      </w:r>
    </w:p>
    <w:p w14:paraId="494C9223"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198F1DD6"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4240"/>
      </w:tblGrid>
      <w:tr w:rsidR="00C15DED" w:rsidRPr="00C15DED" w14:paraId="7C3A1B99" w14:textId="77777777" w:rsidTr="00C15DED">
        <w:tc>
          <w:tcPr>
            <w:tcW w:w="0" w:type="auto"/>
            <w:shd w:val="clear" w:color="auto" w:fill="CC3300"/>
            <w:tcMar>
              <w:top w:w="0" w:type="dxa"/>
              <w:left w:w="75" w:type="dxa"/>
              <w:bottom w:w="0" w:type="dxa"/>
              <w:right w:w="75" w:type="dxa"/>
            </w:tcMar>
            <w:vAlign w:val="center"/>
            <w:hideMark/>
          </w:tcPr>
          <w:p w14:paraId="22785B68" w14:textId="77777777" w:rsidR="00C15DED" w:rsidRPr="00C15DED" w:rsidRDefault="00C15DED" w:rsidP="00C15DED">
            <w:pPr>
              <w:spacing w:after="105" w:line="240" w:lineRule="auto"/>
              <w:rPr>
                <w:rFonts w:ascii="Roboto" w:eastAsia="Times New Roman" w:hAnsi="Roboto" w:cs="Times New Roman"/>
                <w:b/>
                <w:bCs/>
                <w:color w:val="FFFFFF"/>
                <w:kern w:val="0"/>
                <w:sz w:val="21"/>
                <w:szCs w:val="21"/>
                <w:lang w:eastAsia="fr-FR"/>
                <w14:ligatures w14:val="none"/>
              </w:rPr>
            </w:pPr>
            <w:r w:rsidRPr="00C15DED">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7E577540" w14:textId="77777777" w:rsidR="00C15DED" w:rsidRPr="00C15DED" w:rsidRDefault="00C15DED" w:rsidP="00C15DED">
            <w:pPr>
              <w:spacing w:after="105" w:line="240" w:lineRule="auto"/>
              <w:rPr>
                <w:rFonts w:ascii="Roboto" w:eastAsia="Times New Roman" w:hAnsi="Roboto" w:cs="Times New Roman"/>
                <w:kern w:val="0"/>
                <w:sz w:val="18"/>
                <w:szCs w:val="18"/>
                <w:lang w:eastAsia="fr-FR"/>
                <w14:ligatures w14:val="none"/>
              </w:rPr>
            </w:pPr>
            <w:r w:rsidRPr="00C15DED">
              <w:rPr>
                <w:rFonts w:ascii="Roboto" w:eastAsia="Times New Roman" w:hAnsi="Roboto" w:cs="Times New Roman"/>
                <w:b/>
                <w:bCs/>
                <w:caps/>
                <w:color w:val="C70036"/>
                <w:kern w:val="0"/>
                <w:lang w:eastAsia="fr-FR"/>
                <w14:ligatures w14:val="none"/>
              </w:rPr>
              <w:t>FERTILITÉ/GROSSESSE/ALLAITEMENT</w:t>
            </w:r>
            <w:r w:rsidRPr="00C15DED">
              <w:rPr>
                <w:rFonts w:ascii="Roboto" w:eastAsia="Times New Roman" w:hAnsi="Roboto" w:cs="Times New Roman"/>
                <w:kern w:val="0"/>
                <w:sz w:val="18"/>
                <w:szCs w:val="18"/>
                <w:lang w:eastAsia="fr-FR"/>
                <w14:ligatures w14:val="none"/>
              </w:rPr>
              <w:t> </w:t>
            </w:r>
          </w:p>
        </w:tc>
      </w:tr>
    </w:tbl>
    <w:p w14:paraId="5C41A67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Grossesse</w:t>
      </w:r>
    </w:p>
    <w:p w14:paraId="5D9BA34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Rifampicine</w:t>
      </w:r>
    </w:p>
    <w:p w14:paraId="36D4C82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L'expérimentation animale a mis en évidence un effet tératogène, chez le rat et la souris, à doses élevées.</w:t>
      </w:r>
    </w:p>
    <w:p w14:paraId="1C0F00F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En clinique, l'utilisation de la rifampicine au cours d'un nombre limité de grossesses n'a apparemment révélé aucun effet malformatif ou </w:t>
      </w:r>
      <w:proofErr w:type="spellStart"/>
      <w:r w:rsidRPr="00C15DED">
        <w:rPr>
          <w:rFonts w:ascii="Roboto" w:eastAsia="Times New Roman" w:hAnsi="Roboto" w:cs="Times New Roman"/>
          <w:color w:val="333333"/>
          <w:kern w:val="0"/>
          <w:sz w:val="19"/>
          <w:szCs w:val="19"/>
          <w:lang w:eastAsia="fr-FR"/>
          <w14:ligatures w14:val="none"/>
        </w:rPr>
        <w:t>foetotoxique</w:t>
      </w:r>
      <w:proofErr w:type="spellEnd"/>
      <w:r w:rsidRPr="00C15DED">
        <w:rPr>
          <w:rFonts w:ascii="Roboto" w:eastAsia="Times New Roman" w:hAnsi="Roboto" w:cs="Times New Roman"/>
          <w:color w:val="333333"/>
          <w:kern w:val="0"/>
          <w:sz w:val="19"/>
          <w:szCs w:val="19"/>
          <w:lang w:eastAsia="fr-FR"/>
          <w14:ligatures w14:val="none"/>
        </w:rPr>
        <w:t xml:space="preserve"> particulier à ce jour. Bien que la rifampicine traverse la barrière placentaire et se retrouve dans le sang ombilical, des études complémentaires sont nécessaires pour évaluer les conséquences d'une exposition en cours de grossesse. En conséquence, l'utilisation de la rifampicine ne doit être envisagée, au cours de la grossesse, qu'en l'absence d'alternative thérapeutique.</w:t>
      </w:r>
    </w:p>
    <w:p w14:paraId="06A5EA0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lang w:eastAsia="fr-FR"/>
          <w14:ligatures w14:val="none"/>
        </w:rPr>
        <w:t>Isoniazide</w:t>
      </w:r>
    </w:p>
    <w:p w14:paraId="26104C5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Les études chez l'animal n'ont pas mis en évidence d'effet tératogène de l'isoniazide. En l'absence d'effet tératogène chez l'animal, un effet malformatif dans l'espèce humaine n'est pas attendu. En effet, à ce jour, les substances responsables de malformations dans l'espèce humaine se sont révélées tératogènes chez l'animal au cours d'études bien conduites sur deux espèces.</w:t>
      </w:r>
    </w:p>
    <w:p w14:paraId="5A4D5CC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En clinique, l'utilisation de l'isoniazide au cours d'un nombre limité de grossesses n'a apparemment révélé aucun effet malformatif ou </w:t>
      </w:r>
      <w:proofErr w:type="spellStart"/>
      <w:r w:rsidRPr="00C15DED">
        <w:rPr>
          <w:rFonts w:ascii="Roboto" w:eastAsia="Times New Roman" w:hAnsi="Roboto" w:cs="Times New Roman"/>
          <w:color w:val="333333"/>
          <w:kern w:val="0"/>
          <w:sz w:val="19"/>
          <w:szCs w:val="19"/>
          <w:lang w:eastAsia="fr-FR"/>
          <w14:ligatures w14:val="none"/>
        </w:rPr>
        <w:t>foetotoxique</w:t>
      </w:r>
      <w:proofErr w:type="spellEnd"/>
      <w:r w:rsidRPr="00C15DED">
        <w:rPr>
          <w:rFonts w:ascii="Roboto" w:eastAsia="Times New Roman" w:hAnsi="Roboto" w:cs="Times New Roman"/>
          <w:color w:val="333333"/>
          <w:kern w:val="0"/>
          <w:sz w:val="19"/>
          <w:szCs w:val="19"/>
          <w:lang w:eastAsia="fr-FR"/>
          <w14:ligatures w14:val="none"/>
        </w:rPr>
        <w:t xml:space="preserve"> particulier à ce jour. Toutefois, des études complémentaires sont nécessaires pour évaluer les conséquences d'une exposition en cours de grossesse.</w:t>
      </w:r>
    </w:p>
    <w:p w14:paraId="64EC25F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proofErr w:type="spellStart"/>
      <w:r w:rsidRPr="00C15DED">
        <w:rPr>
          <w:rFonts w:ascii="Roboto" w:eastAsia="Times New Roman" w:hAnsi="Roboto" w:cs="Times New Roman"/>
          <w:b/>
          <w:bCs/>
          <w:color w:val="333333"/>
          <w:kern w:val="0"/>
          <w:sz w:val="19"/>
          <w:szCs w:val="19"/>
          <w:lang w:eastAsia="fr-FR"/>
          <w14:ligatures w14:val="none"/>
        </w:rPr>
        <w:t>Pyrazinamide</w:t>
      </w:r>
      <w:proofErr w:type="spellEnd"/>
    </w:p>
    <w:p w14:paraId="5279440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Il n'y a pas de données fiables de tératogenèse chez l'animal.</w:t>
      </w:r>
    </w:p>
    <w:p w14:paraId="1132BAF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En clinique, il n'existe pas actuellement de données suffisamment pertinentes pour évaluer un éventuel effet malformatif ou </w:t>
      </w:r>
      <w:proofErr w:type="spellStart"/>
      <w:r w:rsidRPr="00C15DED">
        <w:rPr>
          <w:rFonts w:ascii="Roboto" w:eastAsia="Times New Roman" w:hAnsi="Roboto" w:cs="Times New Roman"/>
          <w:color w:val="333333"/>
          <w:kern w:val="0"/>
          <w:sz w:val="19"/>
          <w:szCs w:val="19"/>
          <w:lang w:eastAsia="fr-FR"/>
          <w14:ligatures w14:val="none"/>
        </w:rPr>
        <w:t>foetotoxique</w:t>
      </w:r>
      <w:proofErr w:type="spellEnd"/>
      <w:r w:rsidRPr="00C15DED">
        <w:rPr>
          <w:rFonts w:ascii="Roboto" w:eastAsia="Times New Roman" w:hAnsi="Roboto" w:cs="Times New Roman"/>
          <w:color w:val="333333"/>
          <w:kern w:val="0"/>
          <w:sz w:val="19"/>
          <w:szCs w:val="19"/>
          <w:lang w:eastAsia="fr-FR"/>
          <w14:ligatures w14:val="none"/>
        </w:rPr>
        <w:t xml:space="preserve"> du </w:t>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r w:rsidRPr="00C15DED">
        <w:rPr>
          <w:rFonts w:ascii="Roboto" w:eastAsia="Times New Roman" w:hAnsi="Roboto" w:cs="Times New Roman"/>
          <w:color w:val="333333"/>
          <w:kern w:val="0"/>
          <w:sz w:val="19"/>
          <w:szCs w:val="19"/>
          <w:lang w:eastAsia="fr-FR"/>
          <w14:ligatures w14:val="none"/>
        </w:rPr>
        <w:t xml:space="preserve"> lorsqu'il est administré pendant la grossesse.</w:t>
      </w:r>
    </w:p>
    <w:p w14:paraId="623AB4E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Au total pour l'association, en raison de la présence de </w:t>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r w:rsidRPr="00C15DED">
        <w:rPr>
          <w:rFonts w:ascii="Roboto" w:eastAsia="Times New Roman" w:hAnsi="Roboto" w:cs="Times New Roman"/>
          <w:color w:val="333333"/>
          <w:kern w:val="0"/>
          <w:sz w:val="19"/>
          <w:szCs w:val="19"/>
          <w:lang w:eastAsia="fr-FR"/>
          <w14:ligatures w14:val="none"/>
        </w:rPr>
        <w:t>, il est préférable de ne pas utiliser cette association, sauf s'il existe des facteurs de résistance. En conséquence, l'utilisation de cette association ne doit être envisagée au cours de la grossesse que si nécessaire, tout en sachant que, chez la femme enceinte, le traitement efficace d'une tuberculose active doit être maintenu tel qu'il était prescrit avant la grossesse.</w:t>
      </w:r>
    </w:p>
    <w:p w14:paraId="013BA7D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Lorsqu'elle est administrée en fin de grossesse, cette association peut entraîner des hémorragies maternelles et néonatales précoces. Le risque hémorragique est augmenté en association avec la rifampicine. Une prévention par la vitamine K1 per os chez la mère dans le mois précédant l'accouchement, et un apport adapté au moment de la naissance chez le nouveau-né, semblent efficaces. Une association avec la pyridoxine est souhaitable.</w:t>
      </w:r>
    </w:p>
    <w:p w14:paraId="68A392D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Allaitement</w:t>
      </w:r>
    </w:p>
    <w:p w14:paraId="6646105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En raison du passage dans le lait maternel des composés de cette association, l'allaitement est déconseillé. L'isoniazide est faiblement lié aux protéines plasmatiques et le passage dans le lait maternel est démontré, avec des concentrations équivalentes aux concentrations plasmatiques maternelles.</w:t>
      </w:r>
    </w:p>
    <w:p w14:paraId="28EE8A3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 xml:space="preserve">Dans la mesure où il existe un </w:t>
      </w:r>
      <w:proofErr w:type="gramStart"/>
      <w:r w:rsidRPr="00C15DED">
        <w:rPr>
          <w:rFonts w:ascii="Roboto" w:eastAsia="Times New Roman" w:hAnsi="Roboto" w:cs="Times New Roman"/>
          <w:color w:val="333333"/>
          <w:kern w:val="0"/>
          <w:sz w:val="19"/>
          <w:szCs w:val="19"/>
          <w:lang w:eastAsia="fr-FR"/>
          <w14:ligatures w14:val="none"/>
        </w:rPr>
        <w:t>risque potentiel</w:t>
      </w:r>
      <w:proofErr w:type="gramEnd"/>
      <w:r w:rsidRPr="00C15DED">
        <w:rPr>
          <w:rFonts w:ascii="Roboto" w:eastAsia="Times New Roman" w:hAnsi="Roboto" w:cs="Times New Roman"/>
          <w:color w:val="333333"/>
          <w:kern w:val="0"/>
          <w:sz w:val="19"/>
          <w:szCs w:val="19"/>
          <w:lang w:eastAsia="fr-FR"/>
          <w14:ligatures w14:val="none"/>
        </w:rPr>
        <w:t xml:space="preserve"> de défaut d'acétylation chez le nouveau-né et compte tenu de la neurotoxicité et de l'hépatotoxicité de l'isoniazide, l'allaitement est déconseillé.</w:t>
      </w:r>
    </w:p>
    <w:p w14:paraId="62383B70"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224D1606"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2529"/>
      </w:tblGrid>
      <w:tr w:rsidR="00C15DED" w:rsidRPr="00C15DED" w14:paraId="4387D768" w14:textId="77777777" w:rsidTr="00C15DED">
        <w:tc>
          <w:tcPr>
            <w:tcW w:w="0" w:type="auto"/>
            <w:shd w:val="clear" w:color="auto" w:fill="CC3300"/>
            <w:tcMar>
              <w:top w:w="0" w:type="dxa"/>
              <w:left w:w="75" w:type="dxa"/>
              <w:bottom w:w="0" w:type="dxa"/>
              <w:right w:w="75" w:type="dxa"/>
            </w:tcMar>
            <w:vAlign w:val="center"/>
            <w:hideMark/>
          </w:tcPr>
          <w:p w14:paraId="0252B1F6" w14:textId="77777777" w:rsidR="00C15DED" w:rsidRPr="00C15DED" w:rsidRDefault="00C15DED" w:rsidP="00C15DED">
            <w:pPr>
              <w:spacing w:after="105" w:line="240" w:lineRule="auto"/>
              <w:rPr>
                <w:rFonts w:ascii="Roboto" w:eastAsia="Times New Roman" w:hAnsi="Roboto" w:cs="Times New Roman"/>
                <w:b/>
                <w:bCs/>
                <w:color w:val="FFFFFF"/>
                <w:kern w:val="0"/>
                <w:sz w:val="21"/>
                <w:szCs w:val="21"/>
                <w:lang w:eastAsia="fr-FR"/>
                <w14:ligatures w14:val="none"/>
              </w:rPr>
            </w:pPr>
            <w:r w:rsidRPr="00C15DED">
              <w:rPr>
                <w:rFonts w:ascii="Roboto" w:eastAsia="Times New Roman" w:hAnsi="Roboto" w:cs="Times New Roman"/>
                <w:b/>
                <w:bCs/>
                <w:color w:val="FFFFFF"/>
                <w:kern w:val="0"/>
                <w:sz w:val="21"/>
                <w:szCs w:val="21"/>
                <w:lang w:eastAsia="fr-FR"/>
                <w14:ligatures w14:val="none"/>
              </w:rPr>
              <w:t>DC</w:t>
            </w:r>
          </w:p>
        </w:tc>
        <w:tc>
          <w:tcPr>
            <w:tcW w:w="0" w:type="auto"/>
            <w:shd w:val="clear" w:color="auto" w:fill="auto"/>
            <w:tcMar>
              <w:top w:w="0" w:type="dxa"/>
              <w:left w:w="0" w:type="dxa"/>
              <w:bottom w:w="0" w:type="dxa"/>
              <w:right w:w="0" w:type="dxa"/>
            </w:tcMar>
            <w:vAlign w:val="center"/>
            <w:hideMark/>
          </w:tcPr>
          <w:p w14:paraId="3981CC4F" w14:textId="77777777" w:rsidR="00C15DED" w:rsidRPr="00C15DED" w:rsidRDefault="00C15DED" w:rsidP="00C15DED">
            <w:pPr>
              <w:spacing w:after="105" w:line="240" w:lineRule="auto"/>
              <w:rPr>
                <w:rFonts w:ascii="Roboto" w:eastAsia="Times New Roman" w:hAnsi="Roboto" w:cs="Times New Roman"/>
                <w:kern w:val="0"/>
                <w:sz w:val="18"/>
                <w:szCs w:val="18"/>
                <w:lang w:eastAsia="fr-FR"/>
                <w14:ligatures w14:val="none"/>
              </w:rPr>
            </w:pPr>
            <w:r w:rsidRPr="00C15DED">
              <w:rPr>
                <w:rFonts w:ascii="Roboto" w:eastAsia="Times New Roman" w:hAnsi="Roboto" w:cs="Times New Roman"/>
                <w:b/>
                <w:bCs/>
                <w:caps/>
                <w:color w:val="C70036"/>
                <w:kern w:val="0"/>
                <w:lang w:eastAsia="fr-FR"/>
                <w14:ligatures w14:val="none"/>
              </w:rPr>
              <w:t>EFFETS INDÉSIRABLES</w:t>
            </w:r>
            <w:r w:rsidRPr="00C15DED">
              <w:rPr>
                <w:rFonts w:ascii="Roboto" w:eastAsia="Times New Roman" w:hAnsi="Roboto" w:cs="Times New Roman"/>
                <w:kern w:val="0"/>
                <w:sz w:val="18"/>
                <w:szCs w:val="18"/>
                <w:lang w:eastAsia="fr-FR"/>
                <w14:ligatures w14:val="none"/>
              </w:rPr>
              <w:t> </w:t>
            </w:r>
          </w:p>
        </w:tc>
      </w:tr>
    </w:tbl>
    <w:p w14:paraId="4D5F800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Les fréquences sont définies en utilisant la convention (CIOMS) suivante :</w:t>
      </w:r>
    </w:p>
    <w:p w14:paraId="63C079A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Très fréquent (≥ 10 %), fréquent (≥ 1 % et &lt; 10 %), peu fréquent (≥ 0,1 %, &lt; 1 %), rare (≥ 0,01 %, et &lt; 0,1 %), très rare (&lt; 0,01 %), fréquence indéterminée (ne peut être estimée sur la base des données disponibles).</w:t>
      </w:r>
    </w:p>
    <w:p w14:paraId="6A087421" w14:textId="77777777" w:rsidR="00C15DED" w:rsidRPr="00C15DED" w:rsidRDefault="00C15DED" w:rsidP="00C15DED">
      <w:pPr>
        <w:numPr>
          <w:ilvl w:val="0"/>
          <w:numId w:val="16"/>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Effets indésirables liés aux 3 composés</w:t>
      </w:r>
    </w:p>
    <w:p w14:paraId="615BFC1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Troubles généraux et anomalies au site d'administration</w:t>
      </w:r>
    </w:p>
    <w:p w14:paraId="20E3D47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Fréquent : réaction paradoxale (la réapparition ou l'apparition de nouveaux symptômes de tuberculose, de signes cliniques et radiologiques chez un patient ayant précédemment montré une amélioration avec un traitement antituberculeux approprié, est appelée réaction paradoxale. Une telle réaction est diagnostiquée après avoir exclu une mauvaise observance du traitement par le patient, une résistance au traitement, des effets indésirables du traitement antituberculeux et des infections bactériennes/fongiques secondaires</w:t>
      </w:r>
      <w:proofErr w:type="gramStart"/>
      <w:r w:rsidRPr="00C15DED">
        <w:rPr>
          <w:rFonts w:ascii="Roboto" w:eastAsia="Times New Roman" w:hAnsi="Roboto" w:cs="Times New Roman"/>
          <w:color w:val="333333"/>
          <w:kern w:val="0"/>
          <w:sz w:val="19"/>
          <w:szCs w:val="19"/>
          <w:lang w:eastAsia="fr-FR"/>
          <w14:ligatures w14:val="none"/>
        </w:rPr>
        <w:t>).*</w:t>
      </w:r>
      <w:proofErr w:type="gramEnd"/>
    </w:p>
    <w:p w14:paraId="5F5B346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Incidence de réaction paradoxale : la fréquence la plus faible rapportée est de 9,2 % (53/573) (données recueillies entre octobre 2007 et mars 2010) et la fréquence la plus élevée rapportée est de 25 % (19/76) (données recueillies entre 2000 et 2010).</w:t>
      </w:r>
    </w:p>
    <w:p w14:paraId="48F5EBFF" w14:textId="77777777" w:rsidR="00C15DED" w:rsidRPr="00C15DED" w:rsidRDefault="00C15DED" w:rsidP="00C15DED">
      <w:pPr>
        <w:numPr>
          <w:ilvl w:val="0"/>
          <w:numId w:val="17"/>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Effets indésirables liés à la rifampicine</w:t>
      </w:r>
    </w:p>
    <w:p w14:paraId="1D6B5F4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Des réactions à la rifampicine apparaissant lors des traitements quotidiens ou intermittents :</w:t>
      </w:r>
    </w:p>
    <w:p w14:paraId="3B3388E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Infections et infestations</w:t>
      </w:r>
    </w:p>
    <w:p w14:paraId="4318CD4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colite pseudomembraneuse, syndrome grippal et douleurs osseuses apparaissant le plus fréquemment entre le 3</w:t>
      </w:r>
      <w:r w:rsidRPr="00C15DED">
        <w:rPr>
          <w:rFonts w:ascii="Roboto" w:eastAsia="Times New Roman" w:hAnsi="Roboto" w:cs="Times New Roman"/>
          <w:color w:val="333333"/>
          <w:kern w:val="0"/>
          <w:sz w:val="14"/>
          <w:szCs w:val="14"/>
          <w:vertAlign w:val="superscript"/>
          <w:lang w:eastAsia="fr-FR"/>
          <w14:ligatures w14:val="none"/>
        </w:rPr>
        <w:t>ème</w:t>
      </w:r>
      <w:r w:rsidRPr="00C15DED">
        <w:rPr>
          <w:rFonts w:ascii="Roboto" w:eastAsia="Times New Roman" w:hAnsi="Roboto" w:cs="Times New Roman"/>
          <w:color w:val="333333"/>
          <w:kern w:val="0"/>
          <w:sz w:val="19"/>
          <w:szCs w:val="19"/>
          <w:lang w:eastAsia="fr-FR"/>
          <w14:ligatures w14:val="none"/>
        </w:rPr>
        <w:t> et le 6</w:t>
      </w:r>
      <w:r w:rsidRPr="00C15DED">
        <w:rPr>
          <w:rFonts w:ascii="Roboto" w:eastAsia="Times New Roman" w:hAnsi="Roboto" w:cs="Times New Roman"/>
          <w:color w:val="333333"/>
          <w:kern w:val="0"/>
          <w:sz w:val="14"/>
          <w:szCs w:val="14"/>
          <w:vertAlign w:val="superscript"/>
          <w:lang w:eastAsia="fr-FR"/>
          <w14:ligatures w14:val="none"/>
        </w:rPr>
        <w:t>ème</w:t>
      </w:r>
      <w:r w:rsidRPr="00C15DED">
        <w:rPr>
          <w:rFonts w:ascii="Roboto" w:eastAsia="Times New Roman" w:hAnsi="Roboto" w:cs="Times New Roman"/>
          <w:color w:val="333333"/>
          <w:kern w:val="0"/>
          <w:sz w:val="19"/>
          <w:szCs w:val="19"/>
          <w:lang w:eastAsia="fr-FR"/>
          <w14:ligatures w14:val="none"/>
        </w:rPr>
        <w:t> mois de traitement. La fréquence du syndrome varie mais elle peut s'observer chez 50 pour cent des patients recevant des traitements une fois par semaine à des posologies de 25 mg/kg ou plus.</w:t>
      </w:r>
    </w:p>
    <w:p w14:paraId="29880D3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hématologiques et du système lymphatique</w:t>
      </w:r>
    </w:p>
    <w:p w14:paraId="636EAF9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Fréquent : thrombocytopénie avec ou sans purpura, habituellement associée aux traitements intermittents. Ceci est réversible si le traitement est suspendu dès l'apparition du purpura.</w:t>
      </w:r>
    </w:p>
    <w:p w14:paraId="28534D2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Peu Fréquent : leucopénie.</w:t>
      </w:r>
    </w:p>
    <w:p w14:paraId="1EC3E9C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des cas de coagulation intravasculaire disséminée parfois fatals ont été rapportés, éosinophilie, agranulocytose, anémie hémolytique, troubles de la coagulation.</w:t>
      </w:r>
    </w:p>
    <w:p w14:paraId="5CED110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du système immunitaire</w:t>
      </w:r>
    </w:p>
    <w:p w14:paraId="0DB2EBD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réaction anaphylactique (urticaire, bronchospasme, œdème de Quincke), choc anaphylactique.</w:t>
      </w:r>
    </w:p>
    <w:p w14:paraId="240DAC8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endocriniennes</w:t>
      </w:r>
    </w:p>
    <w:p w14:paraId="3BA1B88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décompensation d'une insuffisance surrénale latente ou compensée par le traitement corticoïde avec apparition de manifestations d'insuffisance surrénale aiguë (voir rubrique </w:t>
      </w:r>
      <w:hyperlink r:id="rId28"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w:t>
      </w:r>
    </w:p>
    <w:p w14:paraId="4631C17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Trouble du métabolisme et de la nutrition</w:t>
      </w:r>
    </w:p>
    <w:p w14:paraId="7DD75CD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perte de l'appétit.</w:t>
      </w:r>
    </w:p>
    <w:p w14:paraId="4A12E02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psychiatriques</w:t>
      </w:r>
    </w:p>
    <w:p w14:paraId="512D3B6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des cas isolés de troubles psychiatriques ou psychiques ont été rapportés.</w:t>
      </w:r>
    </w:p>
    <w:p w14:paraId="4F4D1AC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lastRenderedPageBreak/>
        <w:t>Affection du système nerveux</w:t>
      </w:r>
    </w:p>
    <w:p w14:paraId="5C09839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Fréquent : maux de tête, étourdissements.</w:t>
      </w:r>
    </w:p>
    <w:p w14:paraId="7409E0E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dans les cas de purpura, l'administration de rifampicine doit être interrompue car des hémorragies cérébrales fatales ont été rapportées lorsque l'administration était maintenue ou reprise.</w:t>
      </w:r>
    </w:p>
    <w:p w14:paraId="3A065F8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oculaires</w:t>
      </w:r>
    </w:p>
    <w:p w14:paraId="218B94E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coloration anormale des larmes. La rifampicine peut colorer de façon permanente les lentilles de contact.</w:t>
      </w:r>
    </w:p>
    <w:p w14:paraId="02DB8FF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vasculaires</w:t>
      </w:r>
    </w:p>
    <w:p w14:paraId="3C2E1BB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choc, réactions vasomotrices, vascularite, hémorragies.</w:t>
      </w:r>
    </w:p>
    <w:p w14:paraId="4FE93AE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respiratoires, thoraciques et médiastinales</w:t>
      </w:r>
    </w:p>
    <w:p w14:paraId="4185AC7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dyspnées, troubles respiratoires et asthmatiformes, expectoration de couleur anormale, maladie pulmonaire interstitielle (incluant la pneumonie).</w:t>
      </w:r>
    </w:p>
    <w:p w14:paraId="40358D4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gastro-intestinales</w:t>
      </w:r>
    </w:p>
    <w:p w14:paraId="6179739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Fréquent : nausées, vomissement.</w:t>
      </w:r>
    </w:p>
    <w:p w14:paraId="0B538A4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Peu fréquent : diarrhées.</w:t>
      </w:r>
    </w:p>
    <w:p w14:paraId="1EEC57E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autres troubles gastro-intestinaux tels que douleurs abdominales, météorisme, coloration anormale des dents (pouvant être permanente).</w:t>
      </w:r>
    </w:p>
    <w:p w14:paraId="6BF5F74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hépatobiliaires</w:t>
      </w:r>
    </w:p>
    <w:p w14:paraId="561CA3B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hépatite, hyperbilirubinémie, cholestase (voir rubrique </w:t>
      </w:r>
      <w:hyperlink r:id="rId29"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w:t>
      </w:r>
    </w:p>
    <w:p w14:paraId="23C117B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Une atteinte hépatique ou une hépatite peuvent être observées dans le cadre d'une réaction d'hypersensibilité à la rifampicine le plus souvent au cours du 1</w:t>
      </w:r>
      <w:r w:rsidRPr="00C15DED">
        <w:rPr>
          <w:rFonts w:ascii="Roboto" w:eastAsia="Times New Roman" w:hAnsi="Roboto" w:cs="Times New Roman"/>
          <w:color w:val="333333"/>
          <w:kern w:val="0"/>
          <w:sz w:val="14"/>
          <w:szCs w:val="14"/>
          <w:vertAlign w:val="superscript"/>
          <w:lang w:eastAsia="fr-FR"/>
          <w14:ligatures w14:val="none"/>
        </w:rPr>
        <w:t>er</w:t>
      </w:r>
      <w:r w:rsidRPr="00C15DED">
        <w:rPr>
          <w:rFonts w:ascii="Roboto" w:eastAsia="Times New Roman" w:hAnsi="Roboto" w:cs="Times New Roman"/>
          <w:color w:val="333333"/>
          <w:kern w:val="0"/>
          <w:sz w:val="19"/>
          <w:szCs w:val="19"/>
          <w:lang w:eastAsia="fr-FR"/>
          <w14:ligatures w14:val="none"/>
        </w:rPr>
        <w:t> mois de traitement. Une toxicité hépatique directe de la rifampicine peut être observée (voir rubrique </w:t>
      </w:r>
      <w:hyperlink r:id="rId30"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w:t>
      </w:r>
    </w:p>
    <w:p w14:paraId="41B7B3D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Une hyperbilirubinémie transitoire peut survenir dans les premiers jours de traitement (voir rubrique </w:t>
      </w:r>
      <w:hyperlink r:id="rId31"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w:t>
      </w:r>
    </w:p>
    <w:p w14:paraId="3F7A988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 de la peau et du tissu sous-cutané</w:t>
      </w:r>
    </w:p>
    <w:p w14:paraId="5D39EB4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érythème polymorphe, syndrome de Stevens-Johnson et nécrolyse épidermique toxique (syndrome de Lyell), syndrome d'hypersensibilité médicamenteuse avec hyperéosinophilie et symptômes systémiques (syndrome DRESS) (voir rubrique </w:t>
      </w:r>
      <w:hyperlink r:id="rId32"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 réaction d'hypersensibilité cutanée, prurit avec ou sans éruption, urticaire, dermatite allergique, pemphigoïde, coloration anormale de la sueur, réaction de photosensibilité.</w:t>
      </w:r>
    </w:p>
    <w:p w14:paraId="1202D44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 xml:space="preserve">Affections </w:t>
      </w:r>
      <w:proofErr w:type="spellStart"/>
      <w:r w:rsidRPr="00C15DED">
        <w:rPr>
          <w:rFonts w:ascii="Roboto" w:eastAsia="Times New Roman" w:hAnsi="Roboto" w:cs="Times New Roman"/>
          <w:b/>
          <w:bCs/>
          <w:color w:val="333333"/>
          <w:kern w:val="0"/>
          <w:sz w:val="19"/>
          <w:szCs w:val="19"/>
          <w:u w:val="single"/>
          <w:lang w:eastAsia="fr-FR"/>
          <w14:ligatures w14:val="none"/>
        </w:rPr>
        <w:t>musculo-squelettiques</w:t>
      </w:r>
      <w:proofErr w:type="spellEnd"/>
      <w:r w:rsidRPr="00C15DED">
        <w:rPr>
          <w:rFonts w:ascii="Roboto" w:eastAsia="Times New Roman" w:hAnsi="Roboto" w:cs="Times New Roman"/>
          <w:b/>
          <w:bCs/>
          <w:color w:val="333333"/>
          <w:kern w:val="0"/>
          <w:sz w:val="19"/>
          <w:szCs w:val="19"/>
          <w:u w:val="single"/>
          <w:lang w:eastAsia="fr-FR"/>
          <w14:ligatures w14:val="none"/>
        </w:rPr>
        <w:t xml:space="preserve"> et systémiques</w:t>
      </w:r>
    </w:p>
    <w:p w14:paraId="1196CCC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faiblesse musculaire, myopathie, douleurs osseuses.</w:t>
      </w:r>
    </w:p>
    <w:p w14:paraId="613B13C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du rein et des voies urinaires</w:t>
      </w:r>
    </w:p>
    <w:p w14:paraId="3273CF6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Fréquence indéterminée : insuffisance rénale aiguë habituellement due à une nécrose tubulaire rénale ou à une néphrite </w:t>
      </w:r>
      <w:proofErr w:type="spellStart"/>
      <w:r w:rsidRPr="00C15DED">
        <w:rPr>
          <w:rFonts w:ascii="Roboto" w:eastAsia="Times New Roman" w:hAnsi="Roboto" w:cs="Times New Roman"/>
          <w:color w:val="333333"/>
          <w:kern w:val="0"/>
          <w:sz w:val="19"/>
          <w:szCs w:val="19"/>
          <w:lang w:eastAsia="fr-FR"/>
          <w14:ligatures w14:val="none"/>
        </w:rPr>
        <w:t>tubulo</w:t>
      </w:r>
      <w:proofErr w:type="spellEnd"/>
      <w:r w:rsidRPr="00C15DED">
        <w:rPr>
          <w:rFonts w:ascii="Roboto" w:eastAsia="Times New Roman" w:hAnsi="Roboto" w:cs="Times New Roman"/>
          <w:color w:val="333333"/>
          <w:kern w:val="0"/>
          <w:sz w:val="19"/>
          <w:szCs w:val="19"/>
          <w:lang w:eastAsia="fr-FR"/>
          <w14:ligatures w14:val="none"/>
        </w:rPr>
        <w:t xml:space="preserve">-interstitielle, </w:t>
      </w:r>
      <w:proofErr w:type="spellStart"/>
      <w:r w:rsidRPr="00C15DED">
        <w:rPr>
          <w:rFonts w:ascii="Roboto" w:eastAsia="Times New Roman" w:hAnsi="Roboto" w:cs="Times New Roman"/>
          <w:color w:val="333333"/>
          <w:kern w:val="0"/>
          <w:sz w:val="19"/>
          <w:szCs w:val="19"/>
          <w:lang w:eastAsia="fr-FR"/>
          <w14:ligatures w14:val="none"/>
        </w:rPr>
        <w:t>chromaturie</w:t>
      </w:r>
      <w:proofErr w:type="spellEnd"/>
      <w:r w:rsidRPr="00C15DED">
        <w:rPr>
          <w:rFonts w:ascii="Roboto" w:eastAsia="Times New Roman" w:hAnsi="Roboto" w:cs="Times New Roman"/>
          <w:color w:val="333333"/>
          <w:kern w:val="0"/>
          <w:sz w:val="19"/>
          <w:szCs w:val="19"/>
          <w:lang w:eastAsia="fr-FR"/>
          <w14:ligatures w14:val="none"/>
        </w:rPr>
        <w:t xml:space="preserve"> (coloration anormale de l'urine). Une nécrose corticale a également été rapportée.</w:t>
      </w:r>
    </w:p>
    <w:p w14:paraId="1FE88F2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gravidiques, puerpérales et périnatales</w:t>
      </w:r>
    </w:p>
    <w:p w14:paraId="37C8210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hémorragie post-partum, hémorragie fœto-maternelle.</w:t>
      </w:r>
    </w:p>
    <w:p w14:paraId="13A9132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 des organes de reproduction et du sein</w:t>
      </w:r>
    </w:p>
    <w:p w14:paraId="58502BF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troubles menstruels.</w:t>
      </w:r>
    </w:p>
    <w:p w14:paraId="16B44F9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congénitales, familiales et génétiques</w:t>
      </w:r>
    </w:p>
    <w:p w14:paraId="1E5D5288"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lastRenderedPageBreak/>
        <w:t>Fréquence indéterminée : porphyrie.</w:t>
      </w:r>
    </w:p>
    <w:p w14:paraId="7D33F19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Troubles généraux et anomalies au site d'administration</w:t>
      </w:r>
    </w:p>
    <w:p w14:paraId="4CC8F57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Très Fréquent : épisodes fébriles (pyrexie), frissons.</w:t>
      </w:r>
    </w:p>
    <w:p w14:paraId="547CCEFC"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Fréquence indéterminée : </w:t>
      </w:r>
      <w:proofErr w:type="spellStart"/>
      <w:r w:rsidRPr="00C15DED">
        <w:rPr>
          <w:rFonts w:ascii="Roboto" w:eastAsia="Times New Roman" w:hAnsi="Roboto" w:cs="Times New Roman"/>
          <w:color w:val="333333"/>
          <w:kern w:val="0"/>
          <w:sz w:val="19"/>
          <w:szCs w:val="19"/>
          <w:lang w:eastAsia="fr-FR"/>
          <w14:ligatures w14:val="none"/>
        </w:rPr>
        <w:t>oedème</w:t>
      </w:r>
      <w:proofErr w:type="spellEnd"/>
      <w:r w:rsidRPr="00C15DED">
        <w:rPr>
          <w:rFonts w:ascii="Roboto" w:eastAsia="Times New Roman" w:hAnsi="Roboto" w:cs="Times New Roman"/>
          <w:color w:val="333333"/>
          <w:kern w:val="0"/>
          <w:sz w:val="19"/>
          <w:szCs w:val="19"/>
          <w:lang w:eastAsia="fr-FR"/>
          <w14:ligatures w14:val="none"/>
        </w:rPr>
        <w:t>.</w:t>
      </w:r>
    </w:p>
    <w:p w14:paraId="531D78B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Investigations</w:t>
      </w:r>
    </w:p>
    <w:p w14:paraId="2CAC857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Fréquent : Augmentation de la bilirubine sanguine, augmentation de l'aminotransférase aspartate (ASAT), augmentation de l'aminotransférase alanine (ALAT).</w:t>
      </w:r>
    </w:p>
    <w:p w14:paraId="71889AD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diminution de la pression artérielle, augmentation de la créatinine, augmentation des enzymes hépatiques.</w:t>
      </w:r>
    </w:p>
    <w:p w14:paraId="20A912EF" w14:textId="77777777" w:rsidR="00C15DED" w:rsidRPr="00C15DED" w:rsidRDefault="00C15DED" w:rsidP="00C15DED">
      <w:pPr>
        <w:numPr>
          <w:ilvl w:val="0"/>
          <w:numId w:val="18"/>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Effets indésirables liés à l'isoniazide</w:t>
      </w:r>
    </w:p>
    <w:p w14:paraId="114812C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des organes de reproduction et du sein</w:t>
      </w:r>
    </w:p>
    <w:p w14:paraId="1505E9E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Gynécomastie.</w:t>
      </w:r>
    </w:p>
    <w:p w14:paraId="1EEA71C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de la peau et du tissu sous-cutané</w:t>
      </w:r>
    </w:p>
    <w:p w14:paraId="231B7746"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Syndrome d'hypersensibilité médicamenteuse avec hyperéosinophilie et symptômes systémiques (syndrome DRESS) (voir rubrique </w:t>
      </w:r>
      <w:hyperlink r:id="rId33"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 éruption cutanée, acné, nécrolyse épidermique toxique (TEN, Syndrome de Lyell), Syndrome de Stevens-Johnson (SJS) (voir rubrique </w:t>
      </w:r>
      <w:hyperlink r:id="rId34"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 dermatite exfoliative, pemphigus.</w:t>
      </w:r>
    </w:p>
    <w:p w14:paraId="6FBB70B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gastro-intestinales</w:t>
      </w:r>
    </w:p>
    <w:p w14:paraId="04DF6CAE"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Nausées, vomissements, douleurs épigastriques.</w:t>
      </w:r>
    </w:p>
    <w:p w14:paraId="0A59073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pancréatite.</w:t>
      </w:r>
    </w:p>
    <w:p w14:paraId="147563D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hépatobiliaires</w:t>
      </w:r>
    </w:p>
    <w:p w14:paraId="76846A8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u w:val="single"/>
          <w:lang w:eastAsia="fr-FR"/>
          <w14:ligatures w14:val="none"/>
        </w:rPr>
        <w:t>Hépatotoxicité :</w:t>
      </w:r>
      <w:r w:rsidRPr="00C15DED">
        <w:rPr>
          <w:rFonts w:ascii="Roboto" w:eastAsia="Times New Roman" w:hAnsi="Roboto" w:cs="Times New Roman"/>
          <w:color w:val="333333"/>
          <w:kern w:val="0"/>
          <w:sz w:val="19"/>
          <w:szCs w:val="19"/>
          <w:lang w:eastAsia="fr-FR"/>
          <w14:ligatures w14:val="none"/>
        </w:rPr>
        <w:t xml:space="preserve"> élévation relativement fréquente des transaminases, </w:t>
      </w:r>
      <w:proofErr w:type="spellStart"/>
      <w:r w:rsidRPr="00C15DED">
        <w:rPr>
          <w:rFonts w:ascii="Roboto" w:eastAsia="Times New Roman" w:hAnsi="Roboto" w:cs="Times New Roman"/>
          <w:color w:val="333333"/>
          <w:kern w:val="0"/>
          <w:sz w:val="19"/>
          <w:szCs w:val="19"/>
          <w:lang w:eastAsia="fr-FR"/>
          <w14:ligatures w14:val="none"/>
        </w:rPr>
        <w:t>bilirubinurie</w:t>
      </w:r>
      <w:proofErr w:type="spellEnd"/>
      <w:r w:rsidRPr="00C15DED">
        <w:rPr>
          <w:rFonts w:ascii="Roboto" w:eastAsia="Times New Roman" w:hAnsi="Roboto" w:cs="Times New Roman"/>
          <w:color w:val="333333"/>
          <w:kern w:val="0"/>
          <w:sz w:val="19"/>
          <w:szCs w:val="19"/>
          <w:lang w:eastAsia="fr-FR"/>
          <w14:ligatures w14:val="none"/>
        </w:rPr>
        <w:t>, rares hépatites aiguës (avec ou sans ictère), certaines pouvant être sévères et parfois fatales.</w:t>
      </w:r>
    </w:p>
    <w:p w14:paraId="50F6953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L'hépatotoxicité est accrue par association à la rifampicine, par un mécanisme d'induction enzymatique. D'autres inducteurs enzymatiques pourraient avoir le même effet (barbituriques).</w:t>
      </w:r>
    </w:p>
    <w:p w14:paraId="1EC6CA8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vasculaires</w:t>
      </w:r>
    </w:p>
    <w:p w14:paraId="4B54605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Fréquence indéterminée : vascularite.</w:t>
      </w:r>
    </w:p>
    <w:p w14:paraId="7F0054B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du système nerveux</w:t>
      </w:r>
    </w:p>
    <w:p w14:paraId="4ABE3D3B"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u w:val="single"/>
          <w:lang w:eastAsia="fr-FR"/>
          <w14:ligatures w14:val="none"/>
        </w:rPr>
        <w:t>Neurotoxicité</w:t>
      </w:r>
      <w:r w:rsidRPr="00C15DED">
        <w:rPr>
          <w:rFonts w:ascii="Roboto" w:eastAsia="Times New Roman" w:hAnsi="Roboto" w:cs="Times New Roman"/>
          <w:color w:val="333333"/>
          <w:kern w:val="0"/>
          <w:sz w:val="19"/>
          <w:szCs w:val="19"/>
          <w:lang w:eastAsia="fr-FR"/>
          <w14:ligatures w14:val="none"/>
        </w:rPr>
        <w:t> (elle semble due au principe actif lui-même par carence en pyridoxine) :</w:t>
      </w:r>
    </w:p>
    <w:p w14:paraId="7F3FD0FA" w14:textId="77777777" w:rsidR="00C15DED" w:rsidRPr="00C15DED" w:rsidRDefault="00C15DED" w:rsidP="00C15DED">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neuropathies</w:t>
      </w:r>
      <w:proofErr w:type="gramEnd"/>
      <w:r w:rsidRPr="00C15DED">
        <w:rPr>
          <w:rFonts w:ascii="Roboto" w:eastAsia="Times New Roman" w:hAnsi="Roboto" w:cs="Times New Roman"/>
          <w:color w:val="333333"/>
          <w:kern w:val="0"/>
          <w:sz w:val="19"/>
          <w:szCs w:val="19"/>
          <w:lang w:eastAsia="fr-FR"/>
          <w14:ligatures w14:val="none"/>
        </w:rPr>
        <w:t xml:space="preserve"> périphériques, annoncées par des paresthésies distales qui surviennent surtout chez les </w:t>
      </w:r>
      <w:proofErr w:type="spellStart"/>
      <w:r w:rsidRPr="00C15DED">
        <w:rPr>
          <w:rFonts w:ascii="Roboto" w:eastAsia="Times New Roman" w:hAnsi="Roboto" w:cs="Times New Roman"/>
          <w:color w:val="333333"/>
          <w:kern w:val="0"/>
          <w:sz w:val="19"/>
          <w:szCs w:val="19"/>
          <w:lang w:eastAsia="fr-FR"/>
          <w14:ligatures w14:val="none"/>
        </w:rPr>
        <w:t>acétyleurs</w:t>
      </w:r>
      <w:proofErr w:type="spellEnd"/>
      <w:r w:rsidRPr="00C15DED">
        <w:rPr>
          <w:rFonts w:ascii="Roboto" w:eastAsia="Times New Roman" w:hAnsi="Roboto" w:cs="Times New Roman"/>
          <w:color w:val="333333"/>
          <w:kern w:val="0"/>
          <w:sz w:val="19"/>
          <w:szCs w:val="19"/>
          <w:lang w:eastAsia="fr-FR"/>
          <w14:ligatures w14:val="none"/>
        </w:rPr>
        <w:t xml:space="preserve"> lents, le dénutri et l'éthylique ;</w:t>
      </w:r>
    </w:p>
    <w:p w14:paraId="4E411123" w14:textId="77777777" w:rsidR="00C15DED" w:rsidRPr="00C15DED" w:rsidRDefault="00C15DED" w:rsidP="00C15DED">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convulsions</w:t>
      </w:r>
      <w:proofErr w:type="gramEnd"/>
      <w:r w:rsidRPr="00C15DED">
        <w:rPr>
          <w:rFonts w:ascii="Roboto" w:eastAsia="Times New Roman" w:hAnsi="Roboto" w:cs="Times New Roman"/>
          <w:color w:val="333333"/>
          <w:kern w:val="0"/>
          <w:sz w:val="19"/>
          <w:szCs w:val="19"/>
          <w:lang w:eastAsia="fr-FR"/>
          <w14:ligatures w14:val="none"/>
        </w:rPr>
        <w:t> ;</w:t>
      </w:r>
    </w:p>
    <w:p w14:paraId="313B518B" w14:textId="77777777" w:rsidR="00C15DED" w:rsidRPr="00C15DED" w:rsidRDefault="00C15DED" w:rsidP="00C15DED">
      <w:pPr>
        <w:numPr>
          <w:ilvl w:val="0"/>
          <w:numId w:val="19"/>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fréquence</w:t>
      </w:r>
      <w:proofErr w:type="gramEnd"/>
      <w:r w:rsidRPr="00C15DED">
        <w:rPr>
          <w:rFonts w:ascii="Roboto" w:eastAsia="Times New Roman" w:hAnsi="Roboto" w:cs="Times New Roman"/>
          <w:color w:val="333333"/>
          <w:kern w:val="0"/>
          <w:sz w:val="19"/>
          <w:szCs w:val="19"/>
          <w:lang w:eastAsia="fr-FR"/>
          <w14:ligatures w14:val="none"/>
        </w:rPr>
        <w:t xml:space="preserve"> indéterminée : syndrome cérébelleux incluant ataxie cérébelleuse, dysdiadococinésie, troubles de l'équilibre, nystagmus, troubles de la parole, dysmétrie (voir rubrique </w:t>
      </w:r>
      <w:hyperlink r:id="rId35"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w:t>
      </w:r>
    </w:p>
    <w:p w14:paraId="4BB4159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Affections psychiatriques</w:t>
      </w:r>
    </w:p>
    <w:p w14:paraId="56AC2DDF" w14:textId="77777777" w:rsidR="00C15DED" w:rsidRPr="00C15DED" w:rsidRDefault="00C15DED" w:rsidP="00C15DED">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troubles</w:t>
      </w:r>
      <w:proofErr w:type="gramEnd"/>
      <w:r w:rsidRPr="00C15DED">
        <w:rPr>
          <w:rFonts w:ascii="Roboto" w:eastAsia="Times New Roman" w:hAnsi="Roboto" w:cs="Times New Roman"/>
          <w:color w:val="333333"/>
          <w:kern w:val="0"/>
          <w:sz w:val="19"/>
          <w:szCs w:val="19"/>
          <w:lang w:eastAsia="fr-FR"/>
          <w14:ligatures w14:val="none"/>
        </w:rPr>
        <w:t xml:space="preserve"> psychiques à type d'excitation neuropsychique : hyperactivité, euphorie, insomnie ;</w:t>
      </w:r>
    </w:p>
    <w:p w14:paraId="2668A7D1" w14:textId="77777777" w:rsidR="00C15DED" w:rsidRPr="00C15DED" w:rsidRDefault="00C15DED" w:rsidP="00C15DED">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sur</w:t>
      </w:r>
      <w:proofErr w:type="gramEnd"/>
      <w:r w:rsidRPr="00C15DED">
        <w:rPr>
          <w:rFonts w:ascii="Roboto" w:eastAsia="Times New Roman" w:hAnsi="Roboto" w:cs="Times New Roman"/>
          <w:color w:val="333333"/>
          <w:kern w:val="0"/>
          <w:sz w:val="19"/>
          <w:szCs w:val="19"/>
          <w:lang w:eastAsia="fr-FR"/>
          <w14:ligatures w14:val="none"/>
        </w:rPr>
        <w:t xml:space="preserve"> terrain prédisposé, et en particulier lors d'association avec l'éthionamide, on a noté : accès maniaques, délires aigus ou dépressions ;</w:t>
      </w:r>
    </w:p>
    <w:p w14:paraId="17FAD4AB" w14:textId="77777777" w:rsidR="00C15DED" w:rsidRPr="00C15DED" w:rsidRDefault="00C15DED" w:rsidP="00C15DED">
      <w:pPr>
        <w:numPr>
          <w:ilvl w:val="0"/>
          <w:numId w:val="20"/>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anorexie</w:t>
      </w:r>
      <w:proofErr w:type="gramEnd"/>
      <w:r w:rsidRPr="00C15DED">
        <w:rPr>
          <w:rFonts w:ascii="Roboto" w:eastAsia="Times New Roman" w:hAnsi="Roboto" w:cs="Times New Roman"/>
          <w:color w:val="333333"/>
          <w:kern w:val="0"/>
          <w:sz w:val="19"/>
          <w:szCs w:val="19"/>
          <w:lang w:eastAsia="fr-FR"/>
          <w14:ligatures w14:val="none"/>
        </w:rPr>
        <w:t>.</w:t>
      </w:r>
    </w:p>
    <w:p w14:paraId="0CBD728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lastRenderedPageBreak/>
        <w:t>Affections oculaires</w:t>
      </w:r>
    </w:p>
    <w:p w14:paraId="5ADE4BD3" w14:textId="77777777" w:rsidR="00C15DED" w:rsidRPr="00C15DED" w:rsidRDefault="00C15DED" w:rsidP="00C15DED">
      <w:pPr>
        <w:numPr>
          <w:ilvl w:val="0"/>
          <w:numId w:val="21"/>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névrite</w:t>
      </w:r>
      <w:proofErr w:type="gramEnd"/>
      <w:r w:rsidRPr="00C15DED">
        <w:rPr>
          <w:rFonts w:ascii="Roboto" w:eastAsia="Times New Roman" w:hAnsi="Roboto" w:cs="Times New Roman"/>
          <w:color w:val="333333"/>
          <w:kern w:val="0"/>
          <w:sz w:val="19"/>
          <w:szCs w:val="19"/>
          <w:lang w:eastAsia="fr-FR"/>
          <w14:ligatures w14:val="none"/>
        </w:rPr>
        <w:t xml:space="preserve"> et atrophie optiques.</w:t>
      </w:r>
    </w:p>
    <w:p w14:paraId="1D0FC7C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Troubles généraux et anomalies au site d'administration</w:t>
      </w:r>
    </w:p>
    <w:p w14:paraId="016EF263"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Pyrexie.</w:t>
      </w:r>
    </w:p>
    <w:p w14:paraId="18556715"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 xml:space="preserve">Affections </w:t>
      </w:r>
      <w:proofErr w:type="spellStart"/>
      <w:r w:rsidRPr="00C15DED">
        <w:rPr>
          <w:rFonts w:ascii="Roboto" w:eastAsia="Times New Roman" w:hAnsi="Roboto" w:cs="Times New Roman"/>
          <w:b/>
          <w:bCs/>
          <w:color w:val="333333"/>
          <w:kern w:val="0"/>
          <w:sz w:val="19"/>
          <w:szCs w:val="19"/>
          <w:u w:val="single"/>
          <w:lang w:eastAsia="fr-FR"/>
          <w14:ligatures w14:val="none"/>
        </w:rPr>
        <w:t>musculo-squelettiques</w:t>
      </w:r>
      <w:proofErr w:type="spellEnd"/>
      <w:r w:rsidRPr="00C15DED">
        <w:rPr>
          <w:rFonts w:ascii="Roboto" w:eastAsia="Times New Roman" w:hAnsi="Roboto" w:cs="Times New Roman"/>
          <w:b/>
          <w:bCs/>
          <w:color w:val="333333"/>
          <w:kern w:val="0"/>
          <w:sz w:val="19"/>
          <w:szCs w:val="19"/>
          <w:u w:val="single"/>
          <w:lang w:eastAsia="fr-FR"/>
          <w14:ligatures w14:val="none"/>
        </w:rPr>
        <w:t xml:space="preserve"> et systémiques</w:t>
      </w:r>
    </w:p>
    <w:p w14:paraId="1F603D11" w14:textId="77777777" w:rsidR="00C15DED" w:rsidRPr="00C15DED" w:rsidRDefault="00C15DED" w:rsidP="00C15DED">
      <w:pPr>
        <w:numPr>
          <w:ilvl w:val="0"/>
          <w:numId w:val="2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Myalgies, arthralgies.</w:t>
      </w:r>
    </w:p>
    <w:p w14:paraId="4A136923" w14:textId="77777777" w:rsidR="00C15DED" w:rsidRPr="00C15DED" w:rsidRDefault="00C15DED" w:rsidP="00C15DED">
      <w:pPr>
        <w:numPr>
          <w:ilvl w:val="0"/>
          <w:numId w:val="22"/>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Exceptionnellement : syndrome rhumatoïde, </w:t>
      </w:r>
      <w:proofErr w:type="spellStart"/>
      <w:r w:rsidRPr="00C15DED">
        <w:rPr>
          <w:rFonts w:ascii="Roboto" w:eastAsia="Times New Roman" w:hAnsi="Roboto" w:cs="Times New Roman"/>
          <w:color w:val="333333"/>
          <w:kern w:val="0"/>
          <w:sz w:val="19"/>
          <w:szCs w:val="19"/>
          <w:lang w:eastAsia="fr-FR"/>
          <w14:ligatures w14:val="none"/>
        </w:rPr>
        <w:t>algo-dystrophie</w:t>
      </w:r>
      <w:proofErr w:type="spellEnd"/>
      <w:r w:rsidRPr="00C15DED">
        <w:rPr>
          <w:rFonts w:ascii="Roboto" w:eastAsia="Times New Roman" w:hAnsi="Roboto" w:cs="Times New Roman"/>
          <w:color w:val="333333"/>
          <w:kern w:val="0"/>
          <w:sz w:val="19"/>
          <w:szCs w:val="19"/>
          <w:lang w:eastAsia="fr-FR"/>
          <w14:ligatures w14:val="none"/>
        </w:rPr>
        <w:t xml:space="preserve"> (syndrome épaule-main), syndrome lupique.</w:t>
      </w:r>
    </w:p>
    <w:p w14:paraId="65B54F7F"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Affection du système immunitaire</w:t>
      </w:r>
    </w:p>
    <w:p w14:paraId="77B7B35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De nombreux effets toxiques sont liés à une hypersensibilité et/ou à des doses élevées (supérieures à 10 mg/kg).</w:t>
      </w:r>
    </w:p>
    <w:p w14:paraId="5D67381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Réactions d'hypersensibilité.</w:t>
      </w:r>
    </w:p>
    <w:p w14:paraId="5BE09CF4"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Rarement : fièvre, éruptions cutanées, acné, ictère ou hépatite, lymphadénie, éosinophilie, dyscrasie sanguine.</w:t>
      </w:r>
    </w:p>
    <w:p w14:paraId="52F2367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w:t>
      </w:r>
    </w:p>
    <w:p w14:paraId="3120A72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w:t>
      </w:r>
    </w:p>
    <w:p w14:paraId="4CB8A1C3" w14:textId="77777777" w:rsidR="00C15DED" w:rsidRPr="00C15DED" w:rsidRDefault="00C15DED" w:rsidP="00C15DED">
      <w:pPr>
        <w:numPr>
          <w:ilvl w:val="0"/>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Effets indésirables liés au </w:t>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p>
    <w:p w14:paraId="62228A95" w14:textId="77777777" w:rsidR="00C15DED" w:rsidRPr="00C15DED" w:rsidRDefault="00C15DED" w:rsidP="00C15DED">
      <w:pPr>
        <w:numPr>
          <w:ilvl w:val="1"/>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Hépatites cytolytiques :</w:t>
      </w:r>
    </w:p>
    <w:p w14:paraId="622B60AD" w14:textId="77777777" w:rsidR="00C15DED" w:rsidRPr="00C15DED" w:rsidRDefault="00C15DED" w:rsidP="00C15DED">
      <w:pPr>
        <w:numPr>
          <w:ilvl w:val="2"/>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l'apparition</w:t>
      </w:r>
      <w:proofErr w:type="gramEnd"/>
      <w:r w:rsidRPr="00C15DED">
        <w:rPr>
          <w:rFonts w:ascii="Roboto" w:eastAsia="Times New Roman" w:hAnsi="Roboto" w:cs="Times New Roman"/>
          <w:color w:val="333333"/>
          <w:kern w:val="0"/>
          <w:sz w:val="19"/>
          <w:szCs w:val="19"/>
          <w:lang w:eastAsia="fr-FR"/>
          <w14:ligatures w14:val="none"/>
        </w:rPr>
        <w:t xml:space="preserve"> d'hépatite biologique non symptomatique est fréquente ;</w:t>
      </w:r>
    </w:p>
    <w:p w14:paraId="3528B1ED" w14:textId="77777777" w:rsidR="00C15DED" w:rsidRPr="00C15DED" w:rsidRDefault="00C15DED" w:rsidP="00C15DED">
      <w:pPr>
        <w:numPr>
          <w:ilvl w:val="2"/>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l'apparition</w:t>
      </w:r>
      <w:proofErr w:type="gramEnd"/>
      <w:r w:rsidRPr="00C15DED">
        <w:rPr>
          <w:rFonts w:ascii="Roboto" w:eastAsia="Times New Roman" w:hAnsi="Roboto" w:cs="Times New Roman"/>
          <w:color w:val="333333"/>
          <w:kern w:val="0"/>
          <w:sz w:val="19"/>
          <w:szCs w:val="19"/>
          <w:lang w:eastAsia="fr-FR"/>
          <w14:ligatures w14:val="none"/>
        </w:rPr>
        <w:t xml:space="preserve"> de signes digestifs (anorexie, nausées, vomissements, douleurs abdominales), d'asthénie marquée ou de fièvre, ou a fortiori un </w:t>
      </w:r>
      <w:proofErr w:type="spellStart"/>
      <w:r w:rsidRPr="00C15DED">
        <w:rPr>
          <w:rFonts w:ascii="Roboto" w:eastAsia="Times New Roman" w:hAnsi="Roboto" w:cs="Times New Roman"/>
          <w:color w:val="333333"/>
          <w:kern w:val="0"/>
          <w:sz w:val="19"/>
          <w:szCs w:val="19"/>
          <w:lang w:eastAsia="fr-FR"/>
          <w14:ligatures w14:val="none"/>
        </w:rPr>
        <w:t>subictère</w:t>
      </w:r>
      <w:proofErr w:type="spellEnd"/>
      <w:r w:rsidRPr="00C15DED">
        <w:rPr>
          <w:rFonts w:ascii="Roboto" w:eastAsia="Times New Roman" w:hAnsi="Roboto" w:cs="Times New Roman"/>
          <w:color w:val="333333"/>
          <w:kern w:val="0"/>
          <w:sz w:val="19"/>
          <w:szCs w:val="19"/>
          <w:lang w:eastAsia="fr-FR"/>
          <w14:ligatures w14:val="none"/>
        </w:rPr>
        <w:t>, doit alerter et faire faire un bilan hépatique incluant un TP ;</w:t>
      </w:r>
    </w:p>
    <w:p w14:paraId="753EAC35" w14:textId="77777777" w:rsidR="00C15DED" w:rsidRPr="00C15DED" w:rsidRDefault="00C15DED" w:rsidP="00C15DED">
      <w:pPr>
        <w:numPr>
          <w:ilvl w:val="2"/>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des cas d'hépatites plus sévères avec ictère, de rares cas d'hépatite aiguë parenchymateuse et de décès ont été rapportés à la suite de la prise de </w:t>
      </w:r>
      <w:proofErr w:type="spellStart"/>
      <w:r w:rsidRPr="00C15DED">
        <w:rPr>
          <w:rFonts w:ascii="Roboto" w:eastAsia="Times New Roman" w:hAnsi="Roboto" w:cs="Times New Roman"/>
          <w:color w:val="333333"/>
          <w:kern w:val="0"/>
          <w:sz w:val="19"/>
          <w:szCs w:val="19"/>
          <w:lang w:eastAsia="fr-FR"/>
          <w14:ligatures w14:val="none"/>
        </w:rPr>
        <w:t>pyrazinamide</w:t>
      </w:r>
      <w:proofErr w:type="spellEnd"/>
      <w:r w:rsidRPr="00C15DED">
        <w:rPr>
          <w:rFonts w:ascii="Roboto" w:eastAsia="Times New Roman" w:hAnsi="Roboto" w:cs="Times New Roman"/>
          <w:color w:val="333333"/>
          <w:kern w:val="0"/>
          <w:sz w:val="19"/>
          <w:szCs w:val="19"/>
          <w:lang w:eastAsia="fr-FR"/>
          <w14:ligatures w14:val="none"/>
        </w:rPr>
        <w:t xml:space="preserve"> notamment en association avec d'autres médicaments hépatotoxiques, en particulier l'isoniazide (voir rubriques </w:t>
      </w:r>
      <w:hyperlink r:id="rId36" w:anchor="contre_indications" w:history="1">
        <w:r w:rsidRPr="00C15DED">
          <w:rPr>
            <w:rFonts w:ascii="Roboto" w:eastAsia="Times New Roman" w:hAnsi="Roboto" w:cs="Times New Roman"/>
            <w:color w:val="843D93"/>
            <w:kern w:val="0"/>
            <w:sz w:val="18"/>
            <w:szCs w:val="18"/>
            <w:lang w:eastAsia="fr-FR"/>
            <w14:ligatures w14:val="none"/>
          </w:rPr>
          <w:t>Contre-indications</w:t>
        </w:r>
      </w:hyperlink>
      <w:r w:rsidRPr="00C15DED">
        <w:rPr>
          <w:rFonts w:ascii="Roboto" w:eastAsia="Times New Roman" w:hAnsi="Roboto" w:cs="Times New Roman"/>
          <w:color w:val="333333"/>
          <w:kern w:val="0"/>
          <w:sz w:val="19"/>
          <w:szCs w:val="19"/>
          <w:lang w:eastAsia="fr-FR"/>
          <w14:ligatures w14:val="none"/>
        </w:rPr>
        <w:t> et </w:t>
      </w:r>
      <w:hyperlink r:id="rId37"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w:t>
      </w:r>
    </w:p>
    <w:p w14:paraId="006168AA" w14:textId="77777777" w:rsidR="00C15DED" w:rsidRPr="00C15DED" w:rsidRDefault="00C15DED" w:rsidP="00C15DED">
      <w:pPr>
        <w:numPr>
          <w:ilvl w:val="1"/>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Élévation de l'uricémie et arthralgies :</w:t>
      </w:r>
    </w:p>
    <w:p w14:paraId="33F8FB87" w14:textId="77777777" w:rsidR="00C15DED" w:rsidRPr="00C15DED" w:rsidRDefault="00C15DED" w:rsidP="00C15DED">
      <w:pPr>
        <w:numPr>
          <w:ilvl w:val="2"/>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l'hyperuricémie</w:t>
      </w:r>
      <w:proofErr w:type="gramEnd"/>
      <w:r w:rsidRPr="00C15DED">
        <w:rPr>
          <w:rFonts w:ascii="Roboto" w:eastAsia="Times New Roman" w:hAnsi="Roboto" w:cs="Times New Roman"/>
          <w:color w:val="333333"/>
          <w:kern w:val="0"/>
          <w:sz w:val="19"/>
          <w:szCs w:val="19"/>
          <w:lang w:eastAsia="fr-FR"/>
          <w14:ligatures w14:val="none"/>
        </w:rPr>
        <w:t xml:space="preserve"> est très fréquente (voir rubrique </w:t>
      </w:r>
      <w:hyperlink r:id="rId38"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 ;</w:t>
      </w:r>
    </w:p>
    <w:p w14:paraId="71D6459B" w14:textId="77777777" w:rsidR="00C15DED" w:rsidRPr="00C15DED" w:rsidRDefault="00C15DED" w:rsidP="00C15DED">
      <w:pPr>
        <w:numPr>
          <w:ilvl w:val="2"/>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les</w:t>
      </w:r>
      <w:proofErr w:type="gramEnd"/>
      <w:r w:rsidRPr="00C15DED">
        <w:rPr>
          <w:rFonts w:ascii="Roboto" w:eastAsia="Times New Roman" w:hAnsi="Roboto" w:cs="Times New Roman"/>
          <w:color w:val="333333"/>
          <w:kern w:val="0"/>
          <w:sz w:val="19"/>
          <w:szCs w:val="19"/>
          <w:lang w:eastAsia="fr-FR"/>
          <w14:ligatures w14:val="none"/>
        </w:rPr>
        <w:t xml:space="preserve"> arthralgies sont observées dans environ 1 % des cas (voir rubrique </w:t>
      </w:r>
      <w:hyperlink r:id="rId39"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w:t>
      </w:r>
    </w:p>
    <w:p w14:paraId="4439322F" w14:textId="77777777" w:rsidR="00C15DED" w:rsidRPr="00C15DED" w:rsidRDefault="00C15DED" w:rsidP="00C15DED">
      <w:pPr>
        <w:numPr>
          <w:ilvl w:val="1"/>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Autres effets indésirables :</w:t>
      </w:r>
    </w:p>
    <w:p w14:paraId="61471E0C" w14:textId="77777777" w:rsidR="00C15DED" w:rsidRPr="00C15DED" w:rsidRDefault="00C15DED" w:rsidP="00C15DED">
      <w:pPr>
        <w:numPr>
          <w:ilvl w:val="2"/>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anorexie</w:t>
      </w:r>
      <w:proofErr w:type="gramEnd"/>
      <w:r w:rsidRPr="00C15DED">
        <w:rPr>
          <w:rFonts w:ascii="Roboto" w:eastAsia="Times New Roman" w:hAnsi="Roboto" w:cs="Times New Roman"/>
          <w:color w:val="333333"/>
          <w:kern w:val="0"/>
          <w:sz w:val="19"/>
          <w:szCs w:val="19"/>
          <w:lang w:eastAsia="fr-FR"/>
          <w14:ligatures w14:val="none"/>
        </w:rPr>
        <w:t>, nausées, vomissements, douleurs abdominales et/ou fièvre, asthénie marquée (Voir rubrique </w:t>
      </w:r>
      <w:hyperlink r:id="rId40"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 - Effets hépatiques) ;</w:t>
      </w:r>
    </w:p>
    <w:p w14:paraId="00589E8F" w14:textId="77777777" w:rsidR="00C15DED" w:rsidRPr="00C15DED" w:rsidRDefault="00C15DED" w:rsidP="00C15DED">
      <w:pPr>
        <w:numPr>
          <w:ilvl w:val="2"/>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rash</w:t>
      </w:r>
      <w:proofErr w:type="gramEnd"/>
      <w:r w:rsidRPr="00C15DED">
        <w:rPr>
          <w:rFonts w:ascii="Roboto" w:eastAsia="Times New Roman" w:hAnsi="Roboto" w:cs="Times New Roman"/>
          <w:color w:val="333333"/>
          <w:kern w:val="0"/>
          <w:sz w:val="19"/>
          <w:szCs w:val="19"/>
          <w:lang w:eastAsia="fr-FR"/>
          <w14:ligatures w14:val="none"/>
        </w:rPr>
        <w:t>, érythème.</w:t>
      </w:r>
    </w:p>
    <w:p w14:paraId="62C79283" w14:textId="77777777" w:rsidR="00C15DED" w:rsidRPr="00C15DED" w:rsidRDefault="00C15DED" w:rsidP="00C15DED">
      <w:pPr>
        <w:numPr>
          <w:ilvl w:val="2"/>
          <w:numId w:val="23"/>
        </w:numPr>
        <w:shd w:val="clear" w:color="auto" w:fill="FFFFFF"/>
        <w:spacing w:before="100" w:beforeAutospacing="1" w:after="100" w:afterAutospacing="1" w:line="240" w:lineRule="auto"/>
        <w:rPr>
          <w:rFonts w:ascii="Roboto" w:eastAsia="Times New Roman" w:hAnsi="Roboto" w:cs="Times New Roman"/>
          <w:color w:val="333333"/>
          <w:kern w:val="0"/>
          <w:sz w:val="19"/>
          <w:szCs w:val="19"/>
          <w:lang w:eastAsia="fr-FR"/>
          <w14:ligatures w14:val="none"/>
        </w:rPr>
      </w:pPr>
      <w:proofErr w:type="gramStart"/>
      <w:r w:rsidRPr="00C15DED">
        <w:rPr>
          <w:rFonts w:ascii="Roboto" w:eastAsia="Times New Roman" w:hAnsi="Roboto" w:cs="Times New Roman"/>
          <w:color w:val="333333"/>
          <w:kern w:val="0"/>
          <w:sz w:val="19"/>
          <w:szCs w:val="19"/>
          <w:lang w:eastAsia="fr-FR"/>
          <w14:ligatures w14:val="none"/>
        </w:rPr>
        <w:t>syndrome</w:t>
      </w:r>
      <w:proofErr w:type="gramEnd"/>
      <w:r w:rsidRPr="00C15DED">
        <w:rPr>
          <w:rFonts w:ascii="Roboto" w:eastAsia="Times New Roman" w:hAnsi="Roboto" w:cs="Times New Roman"/>
          <w:color w:val="333333"/>
          <w:kern w:val="0"/>
          <w:sz w:val="19"/>
          <w:szCs w:val="19"/>
          <w:lang w:eastAsia="fr-FR"/>
          <w14:ligatures w14:val="none"/>
        </w:rPr>
        <w:t xml:space="preserve"> d'hypersensibilité médicamenteuse avec hyperéosinophilie et symptômes systémiques (syndrome DRESS) (voir rubrique </w:t>
      </w:r>
      <w:hyperlink r:id="rId41" w:anchor="mises_en_garde_et_precautions_d_emploi" w:history="1">
        <w:r w:rsidRPr="00C15DED">
          <w:rPr>
            <w:rFonts w:ascii="Roboto" w:eastAsia="Times New Roman" w:hAnsi="Roboto" w:cs="Times New Roman"/>
            <w:color w:val="843D93"/>
            <w:kern w:val="0"/>
            <w:sz w:val="18"/>
            <w:szCs w:val="18"/>
            <w:lang w:eastAsia="fr-FR"/>
            <w14:ligatures w14:val="none"/>
          </w:rPr>
          <w:t>Mises en garde et précautions d'emploi</w:t>
        </w:r>
      </w:hyperlink>
      <w:r w:rsidRPr="00C15DED">
        <w:rPr>
          <w:rFonts w:ascii="Roboto" w:eastAsia="Times New Roman" w:hAnsi="Roboto" w:cs="Times New Roman"/>
          <w:color w:val="333333"/>
          <w:kern w:val="0"/>
          <w:sz w:val="19"/>
          <w:szCs w:val="19"/>
          <w:lang w:eastAsia="fr-FR"/>
          <w14:ligatures w14:val="none"/>
        </w:rPr>
        <w:t>).</w:t>
      </w:r>
    </w:p>
    <w:p w14:paraId="1D4C9F22"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b/>
          <w:bCs/>
          <w:color w:val="333333"/>
          <w:kern w:val="0"/>
          <w:sz w:val="19"/>
          <w:szCs w:val="19"/>
          <w:u w:val="single"/>
          <w:lang w:eastAsia="fr-FR"/>
          <w14:ligatures w14:val="none"/>
        </w:rPr>
        <w:t>Déclaration des effets indésirables suspectés</w:t>
      </w:r>
    </w:p>
    <w:p w14:paraId="1F81A0AA"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La déclaration des effets indésirables suspectés après autorisation du médicament est importante. Elle permet une surveillance continue du rapport bénéfice/risque du médicament. Les professionnels de santé déclarent tout effet indésirable suspecté via le système national de déclaration : Agence nationale de sécurité du médicament et des produits de santé (ANSM) et réseau des Centres Régionaux de Pharmacovigilance - Site internet : </w:t>
      </w:r>
      <w:hyperlink r:id="rId42" w:history="1">
        <w:r w:rsidRPr="00C15DED">
          <w:rPr>
            <w:rFonts w:ascii="Roboto" w:eastAsia="Times New Roman" w:hAnsi="Roboto" w:cs="Times New Roman"/>
            <w:color w:val="843D93"/>
            <w:kern w:val="0"/>
            <w:sz w:val="18"/>
            <w:szCs w:val="18"/>
            <w:lang w:eastAsia="fr-FR"/>
            <w14:ligatures w14:val="none"/>
          </w:rPr>
          <w:t>https://signalement.social-sante.gouv.fr</w:t>
        </w:r>
      </w:hyperlink>
      <w:r w:rsidRPr="00C15DED">
        <w:rPr>
          <w:rFonts w:ascii="Roboto" w:eastAsia="Times New Roman" w:hAnsi="Roboto" w:cs="Times New Roman"/>
          <w:color w:val="333333"/>
          <w:kern w:val="0"/>
          <w:sz w:val="19"/>
          <w:szCs w:val="19"/>
          <w:lang w:eastAsia="fr-FR"/>
          <w14:ligatures w14:val="none"/>
        </w:rPr>
        <w:t>.</w:t>
      </w:r>
    </w:p>
    <w:p w14:paraId="4AFD4DE8"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p w14:paraId="72A2A74D" w14:textId="77777777" w:rsidR="00C15DED" w:rsidRPr="00C15DED" w:rsidRDefault="00C15DED" w:rsidP="00C15DED">
      <w:pPr>
        <w:shd w:val="clear" w:color="auto" w:fill="FFFFFF"/>
        <w:spacing w:after="0" w:line="240" w:lineRule="auto"/>
        <w:rPr>
          <w:rFonts w:ascii="Roboto" w:eastAsia="Times New Roman" w:hAnsi="Roboto" w:cs="Times New Roman"/>
          <w:color w:val="333333"/>
          <w:kern w:val="0"/>
          <w:sz w:val="19"/>
          <w:szCs w:val="19"/>
          <w:lang w:eastAsia="fr-FR"/>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425"/>
        <w:gridCol w:w="1412"/>
      </w:tblGrid>
      <w:tr w:rsidR="00C15DED" w:rsidRPr="00C15DED" w14:paraId="6460D2BE" w14:textId="77777777" w:rsidTr="00C15DED">
        <w:tc>
          <w:tcPr>
            <w:tcW w:w="0" w:type="auto"/>
            <w:shd w:val="clear" w:color="auto" w:fill="CC3300"/>
            <w:tcMar>
              <w:top w:w="0" w:type="dxa"/>
              <w:left w:w="75" w:type="dxa"/>
              <w:bottom w:w="0" w:type="dxa"/>
              <w:right w:w="75" w:type="dxa"/>
            </w:tcMar>
            <w:vAlign w:val="center"/>
            <w:hideMark/>
          </w:tcPr>
          <w:p w14:paraId="64F935FF" w14:textId="77777777" w:rsidR="00C15DED" w:rsidRPr="00C15DED" w:rsidRDefault="00C15DED" w:rsidP="00C15DED">
            <w:pPr>
              <w:spacing w:after="105" w:line="240" w:lineRule="auto"/>
              <w:rPr>
                <w:rFonts w:ascii="Roboto" w:eastAsia="Times New Roman" w:hAnsi="Roboto" w:cs="Times New Roman"/>
                <w:b/>
                <w:bCs/>
                <w:color w:val="FFFFFF"/>
                <w:kern w:val="0"/>
                <w:sz w:val="21"/>
                <w:szCs w:val="21"/>
                <w:lang w:eastAsia="fr-FR"/>
                <w14:ligatures w14:val="none"/>
              </w:rPr>
            </w:pPr>
            <w:r w:rsidRPr="00C15DED">
              <w:rPr>
                <w:rFonts w:ascii="Roboto" w:eastAsia="Times New Roman" w:hAnsi="Roboto" w:cs="Times New Roman"/>
                <w:b/>
                <w:bCs/>
                <w:color w:val="FFFFFF"/>
                <w:kern w:val="0"/>
                <w:sz w:val="21"/>
                <w:szCs w:val="21"/>
                <w:lang w:eastAsia="fr-FR"/>
                <w14:ligatures w14:val="none"/>
              </w:rPr>
              <w:lastRenderedPageBreak/>
              <w:t>DC</w:t>
            </w:r>
          </w:p>
        </w:tc>
        <w:tc>
          <w:tcPr>
            <w:tcW w:w="0" w:type="auto"/>
            <w:shd w:val="clear" w:color="auto" w:fill="auto"/>
            <w:tcMar>
              <w:top w:w="0" w:type="dxa"/>
              <w:left w:w="0" w:type="dxa"/>
              <w:bottom w:w="0" w:type="dxa"/>
              <w:right w:w="0" w:type="dxa"/>
            </w:tcMar>
            <w:vAlign w:val="center"/>
            <w:hideMark/>
          </w:tcPr>
          <w:p w14:paraId="47996FBF" w14:textId="77777777" w:rsidR="00C15DED" w:rsidRPr="00C15DED" w:rsidRDefault="00C15DED" w:rsidP="00C15DED">
            <w:pPr>
              <w:spacing w:after="105" w:line="240" w:lineRule="auto"/>
              <w:rPr>
                <w:rFonts w:ascii="Roboto" w:eastAsia="Times New Roman" w:hAnsi="Roboto" w:cs="Times New Roman"/>
                <w:kern w:val="0"/>
                <w:sz w:val="18"/>
                <w:szCs w:val="18"/>
                <w:lang w:eastAsia="fr-FR"/>
                <w14:ligatures w14:val="none"/>
              </w:rPr>
            </w:pPr>
            <w:r w:rsidRPr="00C15DED">
              <w:rPr>
                <w:rFonts w:ascii="Roboto" w:eastAsia="Times New Roman" w:hAnsi="Roboto" w:cs="Times New Roman"/>
                <w:b/>
                <w:bCs/>
                <w:caps/>
                <w:color w:val="C70036"/>
                <w:kern w:val="0"/>
                <w:lang w:eastAsia="fr-FR"/>
                <w14:ligatures w14:val="none"/>
              </w:rPr>
              <w:t>SURDOSAGE</w:t>
            </w:r>
            <w:r w:rsidRPr="00C15DED">
              <w:rPr>
                <w:rFonts w:ascii="Roboto" w:eastAsia="Times New Roman" w:hAnsi="Roboto" w:cs="Times New Roman"/>
                <w:kern w:val="0"/>
                <w:sz w:val="18"/>
                <w:szCs w:val="18"/>
                <w:lang w:eastAsia="fr-FR"/>
                <w14:ligatures w14:val="none"/>
              </w:rPr>
              <w:t> </w:t>
            </w:r>
          </w:p>
        </w:tc>
      </w:tr>
    </w:tbl>
    <w:p w14:paraId="7181B37D"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Chez l'adulte, des manifestations de surdosage ont été rapportées avec des doses de 9 g de rifampicine et des cas de surdosages fatals ont été rapportés avec des doses de 14 g.</w:t>
      </w:r>
    </w:p>
    <w:p w14:paraId="17CFB4E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Les symptômes observés sont le plus souvent liés à l'isoniazide dont la dose létale est de 200 mg/kg. L'absorption de dose massive entraîne des signes dont l'apparition se situe entre 1/2 h et 3 h : nausées, vomissements, vertiges, troubles visuels, hallucinations, coloration rouge des téguments et de l'urine en rapport avec la couleur de la rifampicine et l'hyperbilirubinémie, foie palpable, élévation modérée des phosphatases alcalines et des transaminases.</w:t>
      </w:r>
    </w:p>
    <w:p w14:paraId="165BCA6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 xml:space="preserve">Des cas d'hypotension, tachycardie sinusale, arythmie ventriculaire, convulsions et arrêt cardiaque, certains d'évolution fatale, ont été rapportés. Des œdèmes faciaux ou péri-orbitaux ont été observés. Une dose toxique minimale n'a pas été établie et la dose minimale létale semble très variable notamment en fonction de l'existence de </w:t>
      </w:r>
      <w:proofErr w:type="spellStart"/>
      <w:r w:rsidRPr="00C15DED">
        <w:rPr>
          <w:rFonts w:ascii="Roboto" w:eastAsia="Times New Roman" w:hAnsi="Roboto" w:cs="Times New Roman"/>
          <w:color w:val="333333"/>
          <w:kern w:val="0"/>
          <w:sz w:val="19"/>
          <w:szCs w:val="19"/>
          <w:lang w:eastAsia="fr-FR"/>
          <w14:ligatures w14:val="none"/>
        </w:rPr>
        <w:t>co-morbidités</w:t>
      </w:r>
      <w:proofErr w:type="spellEnd"/>
      <w:r w:rsidRPr="00C15DED">
        <w:rPr>
          <w:rFonts w:ascii="Roboto" w:eastAsia="Times New Roman" w:hAnsi="Roboto" w:cs="Times New Roman"/>
          <w:color w:val="333333"/>
          <w:kern w:val="0"/>
          <w:sz w:val="19"/>
          <w:szCs w:val="19"/>
          <w:lang w:eastAsia="fr-FR"/>
          <w14:ligatures w14:val="none"/>
        </w:rPr>
        <w:t xml:space="preserve"> (insuffisance hépatique, abus d'alcool).</w:t>
      </w:r>
    </w:p>
    <w:p w14:paraId="5A6F9127"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Possibilité d'installation d'un coma convulsif, responsable d'anoxie pouvant entraîner la mort.</w:t>
      </w:r>
    </w:p>
    <w:p w14:paraId="05205B90"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u w:val="single"/>
          <w:lang w:eastAsia="fr-FR"/>
          <w14:ligatures w14:val="none"/>
        </w:rPr>
        <w:t>Biologie</w:t>
      </w:r>
    </w:p>
    <w:p w14:paraId="4565675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Il existe une acidose métabolique, une cétonurie et une hyperglycémie.</w:t>
      </w:r>
    </w:p>
    <w:p w14:paraId="5E3A9879"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i/>
          <w:iCs/>
          <w:color w:val="333333"/>
          <w:kern w:val="0"/>
          <w:sz w:val="19"/>
          <w:szCs w:val="19"/>
          <w:u w:val="single"/>
          <w:lang w:eastAsia="fr-FR"/>
          <w14:ligatures w14:val="none"/>
        </w:rPr>
        <w:t>Traitement</w:t>
      </w:r>
    </w:p>
    <w:p w14:paraId="08F83D51" w14:textId="77777777" w:rsidR="00C15DED" w:rsidRPr="00C15DED" w:rsidRDefault="00C15DED" w:rsidP="00C15DED">
      <w:pPr>
        <w:shd w:val="clear" w:color="auto" w:fill="FFFFFF"/>
        <w:spacing w:before="150" w:after="150" w:line="240" w:lineRule="auto"/>
        <w:rPr>
          <w:rFonts w:ascii="Roboto" w:eastAsia="Times New Roman" w:hAnsi="Roboto" w:cs="Times New Roman"/>
          <w:color w:val="333333"/>
          <w:kern w:val="0"/>
          <w:sz w:val="19"/>
          <w:szCs w:val="19"/>
          <w:lang w:eastAsia="fr-FR"/>
          <w14:ligatures w14:val="none"/>
        </w:rPr>
      </w:pPr>
      <w:r w:rsidRPr="00C15DED">
        <w:rPr>
          <w:rFonts w:ascii="Roboto" w:eastAsia="Times New Roman" w:hAnsi="Roboto" w:cs="Times New Roman"/>
          <w:color w:val="333333"/>
          <w:kern w:val="0"/>
          <w:sz w:val="19"/>
          <w:szCs w:val="19"/>
          <w:lang w:eastAsia="fr-FR"/>
          <w14:ligatures w14:val="none"/>
        </w:rPr>
        <w:t>En centre spécialisé, par : lavage d'estomac, lutte contre l'acidose, réanimation cardio-respiratoire, administration d'anticonvulsivants et de fortes doses de pyridoxine. Dans les cas sévères, on peut réaliser une épuration par hémodialyse.</w:t>
      </w:r>
    </w:p>
    <w:p w14:paraId="5C13FD95" w14:textId="01B467AA" w:rsidR="00C15DED" w:rsidRDefault="00C15DED" w:rsidP="00C15DED">
      <w:pPr>
        <w:rPr>
          <w:b/>
          <w:bCs/>
          <w:color w:val="FF0000"/>
        </w:rPr>
      </w:pPr>
    </w:p>
    <w:p w14:paraId="7EFB0FF1" w14:textId="77777777" w:rsidR="006A7047" w:rsidRDefault="006A7047" w:rsidP="006A7047">
      <w:pPr>
        <w:rPr>
          <w:b/>
          <w:bCs/>
          <w:color w:val="FF0000"/>
        </w:rPr>
      </w:pPr>
    </w:p>
    <w:p w14:paraId="011CF4EC" w14:textId="77777777" w:rsidR="006A7047" w:rsidRPr="006A7047" w:rsidRDefault="006A7047" w:rsidP="006A7047">
      <w:pPr>
        <w:rPr>
          <w:b/>
          <w:bCs/>
          <w:color w:val="FF0000"/>
        </w:rPr>
      </w:pPr>
    </w:p>
    <w:sectPr w:rsidR="006A7047" w:rsidRPr="006A70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panose1 w:val="00000000000000000000"/>
    <w:charset w:val="00"/>
    <w:family w:val="roman"/>
    <w:notTrueType/>
    <w:pitch w:val="default"/>
  </w:font>
  <w:font w:name="Aptos Display">
    <w:altName w:val="Calibri"/>
    <w:panose1 w:val="00000000000000000000"/>
    <w:charset w:val="00"/>
    <w:family w:val="roman"/>
    <w:notTrueType/>
    <w:pitch w:val="default"/>
  </w:font>
  <w:font w:name="Roboto">
    <w:panose1 w:val="00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4AC"/>
    <w:multiLevelType w:val="multilevel"/>
    <w:tmpl w:val="E222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A4BD9"/>
    <w:multiLevelType w:val="multilevel"/>
    <w:tmpl w:val="F66AE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26B40"/>
    <w:multiLevelType w:val="multilevel"/>
    <w:tmpl w:val="7A9AD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93540"/>
    <w:multiLevelType w:val="multilevel"/>
    <w:tmpl w:val="4B74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1B4FB0"/>
    <w:multiLevelType w:val="multilevel"/>
    <w:tmpl w:val="9822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42468B"/>
    <w:multiLevelType w:val="multilevel"/>
    <w:tmpl w:val="F11EA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271C68"/>
    <w:multiLevelType w:val="multilevel"/>
    <w:tmpl w:val="11621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5C7B83"/>
    <w:multiLevelType w:val="multilevel"/>
    <w:tmpl w:val="24AC30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C26523"/>
    <w:multiLevelType w:val="multilevel"/>
    <w:tmpl w:val="8652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17276B"/>
    <w:multiLevelType w:val="multilevel"/>
    <w:tmpl w:val="C32A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6C1CA9"/>
    <w:multiLevelType w:val="multilevel"/>
    <w:tmpl w:val="824AC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B35173"/>
    <w:multiLevelType w:val="multilevel"/>
    <w:tmpl w:val="CAE65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D77856"/>
    <w:multiLevelType w:val="multilevel"/>
    <w:tmpl w:val="B5088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B813481"/>
    <w:multiLevelType w:val="multilevel"/>
    <w:tmpl w:val="E590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0F69E4"/>
    <w:multiLevelType w:val="multilevel"/>
    <w:tmpl w:val="58F420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B4334DC"/>
    <w:multiLevelType w:val="multilevel"/>
    <w:tmpl w:val="1796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CC92448"/>
    <w:multiLevelType w:val="multilevel"/>
    <w:tmpl w:val="28AE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1AC1B4A"/>
    <w:multiLevelType w:val="multilevel"/>
    <w:tmpl w:val="5D68D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BC7937"/>
    <w:multiLevelType w:val="multilevel"/>
    <w:tmpl w:val="185E5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2F85695"/>
    <w:multiLevelType w:val="multilevel"/>
    <w:tmpl w:val="CC54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7943AE"/>
    <w:multiLevelType w:val="multilevel"/>
    <w:tmpl w:val="664C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75282E"/>
    <w:multiLevelType w:val="multilevel"/>
    <w:tmpl w:val="627C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D46398"/>
    <w:multiLevelType w:val="multilevel"/>
    <w:tmpl w:val="1C6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33732920">
    <w:abstractNumId w:val="9"/>
  </w:num>
  <w:num w:numId="2" w16cid:durableId="1716465215">
    <w:abstractNumId w:val="5"/>
  </w:num>
  <w:num w:numId="3" w16cid:durableId="1434129271">
    <w:abstractNumId w:val="12"/>
  </w:num>
  <w:num w:numId="4" w16cid:durableId="1845972470">
    <w:abstractNumId w:val="21"/>
  </w:num>
  <w:num w:numId="5" w16cid:durableId="951205501">
    <w:abstractNumId w:val="14"/>
  </w:num>
  <w:num w:numId="6" w16cid:durableId="1989943086">
    <w:abstractNumId w:val="0"/>
  </w:num>
  <w:num w:numId="7" w16cid:durableId="1273319569">
    <w:abstractNumId w:val="11"/>
  </w:num>
  <w:num w:numId="8" w16cid:durableId="50933920">
    <w:abstractNumId w:val="2"/>
  </w:num>
  <w:num w:numId="9" w16cid:durableId="901062663">
    <w:abstractNumId w:val="3"/>
  </w:num>
  <w:num w:numId="10" w16cid:durableId="1618683406">
    <w:abstractNumId w:val="16"/>
  </w:num>
  <w:num w:numId="11" w16cid:durableId="564413186">
    <w:abstractNumId w:val="4"/>
  </w:num>
  <w:num w:numId="12" w16cid:durableId="2141343825">
    <w:abstractNumId w:val="20"/>
  </w:num>
  <w:num w:numId="13" w16cid:durableId="1109354406">
    <w:abstractNumId w:val="18"/>
  </w:num>
  <w:num w:numId="14" w16cid:durableId="1148549826">
    <w:abstractNumId w:val="1"/>
  </w:num>
  <w:num w:numId="15" w16cid:durableId="483475955">
    <w:abstractNumId w:val="6"/>
  </w:num>
  <w:num w:numId="16" w16cid:durableId="1458446378">
    <w:abstractNumId w:val="17"/>
  </w:num>
  <w:num w:numId="17" w16cid:durableId="1843933473">
    <w:abstractNumId w:val="8"/>
  </w:num>
  <w:num w:numId="18" w16cid:durableId="31276268">
    <w:abstractNumId w:val="22"/>
  </w:num>
  <w:num w:numId="19" w16cid:durableId="276108397">
    <w:abstractNumId w:val="19"/>
  </w:num>
  <w:num w:numId="20" w16cid:durableId="1575622252">
    <w:abstractNumId w:val="10"/>
  </w:num>
  <w:num w:numId="21" w16cid:durableId="1204755333">
    <w:abstractNumId w:val="13"/>
  </w:num>
  <w:num w:numId="22" w16cid:durableId="961226544">
    <w:abstractNumId w:val="15"/>
  </w:num>
  <w:num w:numId="23" w16cid:durableId="1749231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8E4"/>
    <w:rsid w:val="0010672F"/>
    <w:rsid w:val="006A7047"/>
    <w:rsid w:val="00921B3E"/>
    <w:rsid w:val="00C15DED"/>
    <w:rsid w:val="00D268E4"/>
    <w:rsid w:val="00D71F2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1A7DB"/>
  <w15:chartTrackingRefBased/>
  <w15:docId w15:val="{9D1993CB-50DA-4555-8369-C5F1BDC2A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268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268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268E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268E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268E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268E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268E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268E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268E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8E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268E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268E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268E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268E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268E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268E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268E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268E4"/>
    <w:rPr>
      <w:rFonts w:eastAsiaTheme="majorEastAsia" w:cstheme="majorBidi"/>
      <w:color w:val="272727" w:themeColor="text1" w:themeTint="D8"/>
    </w:rPr>
  </w:style>
  <w:style w:type="paragraph" w:styleId="Titre">
    <w:name w:val="Title"/>
    <w:basedOn w:val="Normal"/>
    <w:next w:val="Normal"/>
    <w:link w:val="TitreCar"/>
    <w:uiPriority w:val="10"/>
    <w:qFormat/>
    <w:rsid w:val="00D268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268E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268E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268E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268E4"/>
    <w:pPr>
      <w:spacing w:before="160"/>
      <w:jc w:val="center"/>
    </w:pPr>
    <w:rPr>
      <w:i/>
      <w:iCs/>
      <w:color w:val="404040" w:themeColor="text1" w:themeTint="BF"/>
    </w:rPr>
  </w:style>
  <w:style w:type="character" w:customStyle="1" w:styleId="CitationCar">
    <w:name w:val="Citation Car"/>
    <w:basedOn w:val="Policepardfaut"/>
    <w:link w:val="Citation"/>
    <w:uiPriority w:val="29"/>
    <w:rsid w:val="00D268E4"/>
    <w:rPr>
      <w:i/>
      <w:iCs/>
      <w:color w:val="404040" w:themeColor="text1" w:themeTint="BF"/>
    </w:rPr>
  </w:style>
  <w:style w:type="paragraph" w:styleId="Paragraphedeliste">
    <w:name w:val="List Paragraph"/>
    <w:basedOn w:val="Normal"/>
    <w:uiPriority w:val="34"/>
    <w:qFormat/>
    <w:rsid w:val="00D268E4"/>
    <w:pPr>
      <w:ind w:left="720"/>
      <w:contextualSpacing/>
    </w:pPr>
  </w:style>
  <w:style w:type="character" w:styleId="Accentuationintense">
    <w:name w:val="Intense Emphasis"/>
    <w:basedOn w:val="Policepardfaut"/>
    <w:uiPriority w:val="21"/>
    <w:qFormat/>
    <w:rsid w:val="00D268E4"/>
    <w:rPr>
      <w:i/>
      <w:iCs/>
      <w:color w:val="0F4761" w:themeColor="accent1" w:themeShade="BF"/>
    </w:rPr>
  </w:style>
  <w:style w:type="paragraph" w:styleId="Citationintense">
    <w:name w:val="Intense Quote"/>
    <w:basedOn w:val="Normal"/>
    <w:next w:val="Normal"/>
    <w:link w:val="CitationintenseCar"/>
    <w:uiPriority w:val="30"/>
    <w:qFormat/>
    <w:rsid w:val="00D268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268E4"/>
    <w:rPr>
      <w:i/>
      <w:iCs/>
      <w:color w:val="0F4761" w:themeColor="accent1" w:themeShade="BF"/>
    </w:rPr>
  </w:style>
  <w:style w:type="character" w:styleId="Rfrenceintense">
    <w:name w:val="Intense Reference"/>
    <w:basedOn w:val="Policepardfaut"/>
    <w:uiPriority w:val="32"/>
    <w:qFormat/>
    <w:rsid w:val="00D268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840720">
      <w:bodyDiv w:val="1"/>
      <w:marLeft w:val="0"/>
      <w:marRight w:val="0"/>
      <w:marTop w:val="0"/>
      <w:marBottom w:val="0"/>
      <w:divBdr>
        <w:top w:val="none" w:sz="0" w:space="0" w:color="auto"/>
        <w:left w:val="none" w:sz="0" w:space="0" w:color="auto"/>
        <w:bottom w:val="none" w:sz="0" w:space="0" w:color="auto"/>
        <w:right w:val="none" w:sz="0" w:space="0" w:color="auto"/>
      </w:divBdr>
      <w:divsChild>
        <w:div w:id="1496804563">
          <w:marLeft w:val="0"/>
          <w:marRight w:val="0"/>
          <w:marTop w:val="0"/>
          <w:marBottom w:val="0"/>
          <w:divBdr>
            <w:top w:val="none" w:sz="0" w:space="0" w:color="auto"/>
            <w:left w:val="none" w:sz="0" w:space="0" w:color="auto"/>
            <w:bottom w:val="none" w:sz="0" w:space="0" w:color="auto"/>
            <w:right w:val="none" w:sz="0" w:space="0" w:color="auto"/>
          </w:divBdr>
          <w:divsChild>
            <w:div w:id="1361127256">
              <w:marLeft w:val="0"/>
              <w:marRight w:val="0"/>
              <w:marTop w:val="0"/>
              <w:marBottom w:val="0"/>
              <w:divBdr>
                <w:top w:val="none" w:sz="0" w:space="0" w:color="auto"/>
                <w:left w:val="none" w:sz="0" w:space="0" w:color="auto"/>
                <w:bottom w:val="none" w:sz="0" w:space="0" w:color="auto"/>
                <w:right w:val="none" w:sz="0" w:space="0" w:color="auto"/>
              </w:divBdr>
            </w:div>
            <w:div w:id="1644970338">
              <w:marLeft w:val="0"/>
              <w:marRight w:val="0"/>
              <w:marTop w:val="0"/>
              <w:marBottom w:val="0"/>
              <w:divBdr>
                <w:top w:val="none" w:sz="0" w:space="0" w:color="auto"/>
                <w:left w:val="none" w:sz="0" w:space="0" w:color="auto"/>
                <w:bottom w:val="none" w:sz="0" w:space="0" w:color="auto"/>
                <w:right w:val="none" w:sz="0" w:space="0" w:color="auto"/>
              </w:divBdr>
            </w:div>
          </w:divsChild>
        </w:div>
        <w:div w:id="225721545">
          <w:marLeft w:val="0"/>
          <w:marRight w:val="0"/>
          <w:marTop w:val="0"/>
          <w:marBottom w:val="0"/>
          <w:divBdr>
            <w:top w:val="none" w:sz="0" w:space="0" w:color="auto"/>
            <w:left w:val="none" w:sz="0" w:space="0" w:color="auto"/>
            <w:bottom w:val="none" w:sz="0" w:space="0" w:color="auto"/>
            <w:right w:val="none" w:sz="0" w:space="0" w:color="auto"/>
          </w:divBdr>
          <w:divsChild>
            <w:div w:id="339744329">
              <w:marLeft w:val="0"/>
              <w:marRight w:val="0"/>
              <w:marTop w:val="0"/>
              <w:marBottom w:val="0"/>
              <w:divBdr>
                <w:top w:val="none" w:sz="0" w:space="0" w:color="auto"/>
                <w:left w:val="none" w:sz="0" w:space="0" w:color="auto"/>
                <w:bottom w:val="none" w:sz="0" w:space="0" w:color="auto"/>
                <w:right w:val="none" w:sz="0" w:space="0" w:color="auto"/>
              </w:divBdr>
            </w:div>
            <w:div w:id="2021270509">
              <w:marLeft w:val="0"/>
              <w:marRight w:val="0"/>
              <w:marTop w:val="0"/>
              <w:marBottom w:val="0"/>
              <w:divBdr>
                <w:top w:val="none" w:sz="0" w:space="0" w:color="auto"/>
                <w:left w:val="none" w:sz="0" w:space="0" w:color="auto"/>
                <w:bottom w:val="none" w:sz="0" w:space="0" w:color="auto"/>
                <w:right w:val="none" w:sz="0" w:space="0" w:color="auto"/>
              </w:divBdr>
            </w:div>
            <w:div w:id="260913863">
              <w:marLeft w:val="0"/>
              <w:marRight w:val="0"/>
              <w:marTop w:val="0"/>
              <w:marBottom w:val="0"/>
              <w:divBdr>
                <w:top w:val="none" w:sz="0" w:space="0" w:color="auto"/>
                <w:left w:val="none" w:sz="0" w:space="0" w:color="auto"/>
                <w:bottom w:val="none" w:sz="0" w:space="0" w:color="auto"/>
                <w:right w:val="none" w:sz="0" w:space="0" w:color="auto"/>
              </w:divBdr>
              <w:divsChild>
                <w:div w:id="144129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07508">
          <w:marLeft w:val="0"/>
          <w:marRight w:val="0"/>
          <w:marTop w:val="0"/>
          <w:marBottom w:val="0"/>
          <w:divBdr>
            <w:top w:val="none" w:sz="0" w:space="0" w:color="auto"/>
            <w:left w:val="none" w:sz="0" w:space="0" w:color="auto"/>
            <w:bottom w:val="none" w:sz="0" w:space="0" w:color="auto"/>
            <w:right w:val="none" w:sz="0" w:space="0" w:color="auto"/>
          </w:divBdr>
          <w:divsChild>
            <w:div w:id="755134303">
              <w:marLeft w:val="0"/>
              <w:marRight w:val="0"/>
              <w:marTop w:val="0"/>
              <w:marBottom w:val="0"/>
              <w:divBdr>
                <w:top w:val="none" w:sz="0" w:space="0" w:color="auto"/>
                <w:left w:val="none" w:sz="0" w:space="0" w:color="auto"/>
                <w:bottom w:val="none" w:sz="0" w:space="0" w:color="auto"/>
                <w:right w:val="none" w:sz="0" w:space="0" w:color="auto"/>
              </w:divBdr>
            </w:div>
            <w:div w:id="1063413246">
              <w:marLeft w:val="0"/>
              <w:marRight w:val="0"/>
              <w:marTop w:val="0"/>
              <w:marBottom w:val="0"/>
              <w:divBdr>
                <w:top w:val="none" w:sz="0" w:space="0" w:color="auto"/>
                <w:left w:val="none" w:sz="0" w:space="0" w:color="auto"/>
                <w:bottom w:val="none" w:sz="0" w:space="0" w:color="auto"/>
                <w:right w:val="none" w:sz="0" w:space="0" w:color="auto"/>
              </w:divBdr>
            </w:div>
          </w:divsChild>
        </w:div>
        <w:div w:id="560481769">
          <w:marLeft w:val="0"/>
          <w:marRight w:val="0"/>
          <w:marTop w:val="0"/>
          <w:marBottom w:val="0"/>
          <w:divBdr>
            <w:top w:val="none" w:sz="0" w:space="0" w:color="auto"/>
            <w:left w:val="none" w:sz="0" w:space="0" w:color="auto"/>
            <w:bottom w:val="none" w:sz="0" w:space="0" w:color="auto"/>
            <w:right w:val="none" w:sz="0" w:space="0" w:color="auto"/>
          </w:divBdr>
          <w:divsChild>
            <w:div w:id="236980567">
              <w:marLeft w:val="0"/>
              <w:marRight w:val="0"/>
              <w:marTop w:val="0"/>
              <w:marBottom w:val="0"/>
              <w:divBdr>
                <w:top w:val="none" w:sz="0" w:space="0" w:color="auto"/>
                <w:left w:val="none" w:sz="0" w:space="0" w:color="auto"/>
                <w:bottom w:val="none" w:sz="0" w:space="0" w:color="auto"/>
                <w:right w:val="none" w:sz="0" w:space="0" w:color="auto"/>
              </w:divBdr>
            </w:div>
            <w:div w:id="1673069182">
              <w:marLeft w:val="0"/>
              <w:marRight w:val="0"/>
              <w:marTop w:val="0"/>
              <w:marBottom w:val="0"/>
              <w:divBdr>
                <w:top w:val="none" w:sz="0" w:space="0" w:color="auto"/>
                <w:left w:val="none" w:sz="0" w:space="0" w:color="auto"/>
                <w:bottom w:val="none" w:sz="0" w:space="0" w:color="auto"/>
                <w:right w:val="none" w:sz="0" w:space="0" w:color="auto"/>
              </w:divBdr>
              <w:divsChild>
                <w:div w:id="70787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0750">
          <w:marLeft w:val="0"/>
          <w:marRight w:val="0"/>
          <w:marTop w:val="0"/>
          <w:marBottom w:val="0"/>
          <w:divBdr>
            <w:top w:val="none" w:sz="0" w:space="0" w:color="auto"/>
            <w:left w:val="none" w:sz="0" w:space="0" w:color="auto"/>
            <w:bottom w:val="none" w:sz="0" w:space="0" w:color="auto"/>
            <w:right w:val="none" w:sz="0" w:space="0" w:color="auto"/>
          </w:divBdr>
          <w:divsChild>
            <w:div w:id="754008956">
              <w:marLeft w:val="0"/>
              <w:marRight w:val="0"/>
              <w:marTop w:val="0"/>
              <w:marBottom w:val="0"/>
              <w:divBdr>
                <w:top w:val="none" w:sz="0" w:space="0" w:color="auto"/>
                <w:left w:val="none" w:sz="0" w:space="0" w:color="auto"/>
                <w:bottom w:val="none" w:sz="0" w:space="0" w:color="auto"/>
                <w:right w:val="none" w:sz="0" w:space="0" w:color="auto"/>
              </w:divBdr>
            </w:div>
            <w:div w:id="1534071446">
              <w:marLeft w:val="0"/>
              <w:marRight w:val="0"/>
              <w:marTop w:val="0"/>
              <w:marBottom w:val="0"/>
              <w:divBdr>
                <w:top w:val="none" w:sz="0" w:space="0" w:color="auto"/>
                <w:left w:val="none" w:sz="0" w:space="0" w:color="auto"/>
                <w:bottom w:val="none" w:sz="0" w:space="0" w:color="auto"/>
                <w:right w:val="none" w:sz="0" w:space="0" w:color="auto"/>
              </w:divBdr>
            </w:div>
          </w:divsChild>
        </w:div>
        <w:div w:id="145703136">
          <w:marLeft w:val="0"/>
          <w:marRight w:val="0"/>
          <w:marTop w:val="0"/>
          <w:marBottom w:val="0"/>
          <w:divBdr>
            <w:top w:val="none" w:sz="0" w:space="0" w:color="auto"/>
            <w:left w:val="none" w:sz="0" w:space="0" w:color="auto"/>
            <w:bottom w:val="none" w:sz="0" w:space="0" w:color="auto"/>
            <w:right w:val="none" w:sz="0" w:space="0" w:color="auto"/>
          </w:divBdr>
          <w:divsChild>
            <w:div w:id="874316472">
              <w:marLeft w:val="0"/>
              <w:marRight w:val="0"/>
              <w:marTop w:val="0"/>
              <w:marBottom w:val="0"/>
              <w:divBdr>
                <w:top w:val="none" w:sz="0" w:space="0" w:color="auto"/>
                <w:left w:val="none" w:sz="0" w:space="0" w:color="auto"/>
                <w:bottom w:val="none" w:sz="0" w:space="0" w:color="auto"/>
                <w:right w:val="none" w:sz="0" w:space="0" w:color="auto"/>
              </w:divBdr>
            </w:div>
            <w:div w:id="1420103191">
              <w:marLeft w:val="0"/>
              <w:marRight w:val="0"/>
              <w:marTop w:val="0"/>
              <w:marBottom w:val="0"/>
              <w:divBdr>
                <w:top w:val="none" w:sz="0" w:space="0" w:color="auto"/>
                <w:left w:val="none" w:sz="0" w:space="0" w:color="auto"/>
                <w:bottom w:val="none" w:sz="0" w:space="0" w:color="auto"/>
                <w:right w:val="none" w:sz="0" w:space="0" w:color="auto"/>
              </w:divBdr>
            </w:div>
          </w:divsChild>
        </w:div>
        <w:div w:id="997656929">
          <w:marLeft w:val="0"/>
          <w:marRight w:val="0"/>
          <w:marTop w:val="0"/>
          <w:marBottom w:val="0"/>
          <w:divBdr>
            <w:top w:val="none" w:sz="0" w:space="0" w:color="auto"/>
            <w:left w:val="none" w:sz="0" w:space="0" w:color="auto"/>
            <w:bottom w:val="none" w:sz="0" w:space="0" w:color="auto"/>
            <w:right w:val="none" w:sz="0" w:space="0" w:color="auto"/>
          </w:divBdr>
          <w:divsChild>
            <w:div w:id="891771727">
              <w:marLeft w:val="0"/>
              <w:marRight w:val="0"/>
              <w:marTop w:val="0"/>
              <w:marBottom w:val="0"/>
              <w:divBdr>
                <w:top w:val="none" w:sz="0" w:space="0" w:color="auto"/>
                <w:left w:val="none" w:sz="0" w:space="0" w:color="auto"/>
                <w:bottom w:val="none" w:sz="0" w:space="0" w:color="auto"/>
                <w:right w:val="none" w:sz="0" w:space="0" w:color="auto"/>
              </w:divBdr>
            </w:div>
            <w:div w:id="195821726">
              <w:marLeft w:val="0"/>
              <w:marRight w:val="0"/>
              <w:marTop w:val="0"/>
              <w:marBottom w:val="0"/>
              <w:divBdr>
                <w:top w:val="none" w:sz="0" w:space="0" w:color="auto"/>
                <w:left w:val="none" w:sz="0" w:space="0" w:color="auto"/>
                <w:bottom w:val="none" w:sz="0" w:space="0" w:color="auto"/>
                <w:right w:val="none" w:sz="0" w:space="0" w:color="auto"/>
              </w:divBdr>
            </w:div>
          </w:divsChild>
        </w:div>
        <w:div w:id="330374936">
          <w:marLeft w:val="0"/>
          <w:marRight w:val="0"/>
          <w:marTop w:val="0"/>
          <w:marBottom w:val="0"/>
          <w:divBdr>
            <w:top w:val="none" w:sz="0" w:space="0" w:color="auto"/>
            <w:left w:val="none" w:sz="0" w:space="0" w:color="auto"/>
            <w:bottom w:val="none" w:sz="0" w:space="0" w:color="auto"/>
            <w:right w:val="none" w:sz="0" w:space="0" w:color="auto"/>
          </w:divBdr>
          <w:divsChild>
            <w:div w:id="1420567328">
              <w:marLeft w:val="0"/>
              <w:marRight w:val="0"/>
              <w:marTop w:val="0"/>
              <w:marBottom w:val="0"/>
              <w:divBdr>
                <w:top w:val="none" w:sz="0" w:space="0" w:color="auto"/>
                <w:left w:val="none" w:sz="0" w:space="0" w:color="auto"/>
                <w:bottom w:val="none" w:sz="0" w:space="0" w:color="auto"/>
                <w:right w:val="none" w:sz="0" w:space="0" w:color="auto"/>
              </w:divBdr>
            </w:div>
            <w:div w:id="325478928">
              <w:marLeft w:val="0"/>
              <w:marRight w:val="0"/>
              <w:marTop w:val="0"/>
              <w:marBottom w:val="0"/>
              <w:divBdr>
                <w:top w:val="none" w:sz="0" w:space="0" w:color="auto"/>
                <w:left w:val="none" w:sz="0" w:space="0" w:color="auto"/>
                <w:bottom w:val="none" w:sz="0" w:space="0" w:color="auto"/>
                <w:right w:val="none" w:sz="0" w:space="0" w:color="auto"/>
              </w:divBdr>
            </w:div>
          </w:divsChild>
        </w:div>
        <w:div w:id="1041055579">
          <w:marLeft w:val="0"/>
          <w:marRight w:val="0"/>
          <w:marTop w:val="0"/>
          <w:marBottom w:val="0"/>
          <w:divBdr>
            <w:top w:val="none" w:sz="0" w:space="0" w:color="auto"/>
            <w:left w:val="none" w:sz="0" w:space="0" w:color="auto"/>
            <w:bottom w:val="none" w:sz="0" w:space="0" w:color="auto"/>
            <w:right w:val="none" w:sz="0" w:space="0" w:color="auto"/>
          </w:divBdr>
          <w:divsChild>
            <w:div w:id="1417702727">
              <w:marLeft w:val="0"/>
              <w:marRight w:val="0"/>
              <w:marTop w:val="0"/>
              <w:marBottom w:val="0"/>
              <w:divBdr>
                <w:top w:val="none" w:sz="0" w:space="0" w:color="auto"/>
                <w:left w:val="none" w:sz="0" w:space="0" w:color="auto"/>
                <w:bottom w:val="none" w:sz="0" w:space="0" w:color="auto"/>
                <w:right w:val="none" w:sz="0" w:space="0" w:color="auto"/>
              </w:divBdr>
            </w:div>
            <w:div w:id="541789890">
              <w:marLeft w:val="0"/>
              <w:marRight w:val="0"/>
              <w:marTop w:val="0"/>
              <w:marBottom w:val="0"/>
              <w:divBdr>
                <w:top w:val="none" w:sz="0" w:space="0" w:color="auto"/>
                <w:left w:val="none" w:sz="0" w:space="0" w:color="auto"/>
                <w:bottom w:val="none" w:sz="0" w:space="0" w:color="auto"/>
                <w:right w:val="none" w:sz="0" w:space="0" w:color="auto"/>
              </w:divBdr>
            </w:div>
          </w:divsChild>
        </w:div>
        <w:div w:id="471756512">
          <w:marLeft w:val="0"/>
          <w:marRight w:val="0"/>
          <w:marTop w:val="0"/>
          <w:marBottom w:val="0"/>
          <w:divBdr>
            <w:top w:val="none" w:sz="0" w:space="0" w:color="auto"/>
            <w:left w:val="none" w:sz="0" w:space="0" w:color="auto"/>
            <w:bottom w:val="none" w:sz="0" w:space="0" w:color="auto"/>
            <w:right w:val="none" w:sz="0" w:space="0" w:color="auto"/>
          </w:divBdr>
          <w:divsChild>
            <w:div w:id="987440262">
              <w:marLeft w:val="0"/>
              <w:marRight w:val="0"/>
              <w:marTop w:val="0"/>
              <w:marBottom w:val="0"/>
              <w:divBdr>
                <w:top w:val="none" w:sz="0" w:space="0" w:color="auto"/>
                <w:left w:val="none" w:sz="0" w:space="0" w:color="auto"/>
                <w:bottom w:val="none" w:sz="0" w:space="0" w:color="auto"/>
                <w:right w:val="none" w:sz="0" w:space="0" w:color="auto"/>
              </w:divBdr>
            </w:div>
            <w:div w:id="92244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43675">
      <w:bodyDiv w:val="1"/>
      <w:marLeft w:val="0"/>
      <w:marRight w:val="0"/>
      <w:marTop w:val="0"/>
      <w:marBottom w:val="0"/>
      <w:divBdr>
        <w:top w:val="none" w:sz="0" w:space="0" w:color="auto"/>
        <w:left w:val="none" w:sz="0" w:space="0" w:color="auto"/>
        <w:bottom w:val="none" w:sz="0" w:space="0" w:color="auto"/>
        <w:right w:val="none" w:sz="0" w:space="0" w:color="auto"/>
      </w:divBdr>
      <w:divsChild>
        <w:div w:id="1666057158">
          <w:marLeft w:val="0"/>
          <w:marRight w:val="0"/>
          <w:marTop w:val="0"/>
          <w:marBottom w:val="0"/>
          <w:divBdr>
            <w:top w:val="none" w:sz="0" w:space="0" w:color="auto"/>
            <w:left w:val="none" w:sz="0" w:space="0" w:color="auto"/>
            <w:bottom w:val="none" w:sz="0" w:space="0" w:color="auto"/>
            <w:right w:val="none" w:sz="0" w:space="0" w:color="auto"/>
          </w:divBdr>
          <w:divsChild>
            <w:div w:id="987708097">
              <w:marLeft w:val="0"/>
              <w:marRight w:val="0"/>
              <w:marTop w:val="0"/>
              <w:marBottom w:val="0"/>
              <w:divBdr>
                <w:top w:val="none" w:sz="0" w:space="0" w:color="auto"/>
                <w:left w:val="none" w:sz="0" w:space="0" w:color="auto"/>
                <w:bottom w:val="none" w:sz="0" w:space="0" w:color="auto"/>
                <w:right w:val="none" w:sz="0" w:space="0" w:color="auto"/>
              </w:divBdr>
            </w:div>
            <w:div w:id="4052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669538">
      <w:bodyDiv w:val="1"/>
      <w:marLeft w:val="0"/>
      <w:marRight w:val="0"/>
      <w:marTop w:val="0"/>
      <w:marBottom w:val="0"/>
      <w:divBdr>
        <w:top w:val="none" w:sz="0" w:space="0" w:color="auto"/>
        <w:left w:val="none" w:sz="0" w:space="0" w:color="auto"/>
        <w:bottom w:val="none" w:sz="0" w:space="0" w:color="auto"/>
        <w:right w:val="none" w:sz="0" w:space="0" w:color="auto"/>
      </w:divBdr>
      <w:divsChild>
        <w:div w:id="1815289965">
          <w:marLeft w:val="0"/>
          <w:marRight w:val="0"/>
          <w:marTop w:val="0"/>
          <w:marBottom w:val="0"/>
          <w:divBdr>
            <w:top w:val="none" w:sz="0" w:space="0" w:color="auto"/>
            <w:left w:val="none" w:sz="0" w:space="0" w:color="auto"/>
            <w:bottom w:val="none" w:sz="0" w:space="0" w:color="auto"/>
            <w:right w:val="none" w:sz="0" w:space="0" w:color="auto"/>
          </w:divBdr>
          <w:divsChild>
            <w:div w:id="1358237499">
              <w:marLeft w:val="0"/>
              <w:marRight w:val="0"/>
              <w:marTop w:val="0"/>
              <w:marBottom w:val="0"/>
              <w:divBdr>
                <w:top w:val="none" w:sz="0" w:space="0" w:color="auto"/>
                <w:left w:val="none" w:sz="0" w:space="0" w:color="auto"/>
                <w:bottom w:val="none" w:sz="0" w:space="0" w:color="auto"/>
                <w:right w:val="none" w:sz="0" w:space="0" w:color="auto"/>
              </w:divBdr>
            </w:div>
            <w:div w:id="1323309614">
              <w:marLeft w:val="0"/>
              <w:marRight w:val="0"/>
              <w:marTop w:val="0"/>
              <w:marBottom w:val="0"/>
              <w:divBdr>
                <w:top w:val="none" w:sz="0" w:space="0" w:color="auto"/>
                <w:left w:val="none" w:sz="0" w:space="0" w:color="auto"/>
                <w:bottom w:val="none" w:sz="0" w:space="0" w:color="auto"/>
                <w:right w:val="none" w:sz="0" w:space="0" w:color="auto"/>
              </w:divBdr>
            </w:div>
          </w:divsChild>
        </w:div>
        <w:div w:id="1887646140">
          <w:marLeft w:val="0"/>
          <w:marRight w:val="0"/>
          <w:marTop w:val="0"/>
          <w:marBottom w:val="0"/>
          <w:divBdr>
            <w:top w:val="none" w:sz="0" w:space="0" w:color="auto"/>
            <w:left w:val="none" w:sz="0" w:space="0" w:color="auto"/>
            <w:bottom w:val="none" w:sz="0" w:space="0" w:color="auto"/>
            <w:right w:val="none" w:sz="0" w:space="0" w:color="auto"/>
          </w:divBdr>
          <w:divsChild>
            <w:div w:id="1771582451">
              <w:marLeft w:val="0"/>
              <w:marRight w:val="0"/>
              <w:marTop w:val="0"/>
              <w:marBottom w:val="0"/>
              <w:divBdr>
                <w:top w:val="none" w:sz="0" w:space="0" w:color="auto"/>
                <w:left w:val="none" w:sz="0" w:space="0" w:color="auto"/>
                <w:bottom w:val="none" w:sz="0" w:space="0" w:color="auto"/>
                <w:right w:val="none" w:sz="0" w:space="0" w:color="auto"/>
              </w:divBdr>
            </w:div>
            <w:div w:id="2049378355">
              <w:marLeft w:val="0"/>
              <w:marRight w:val="0"/>
              <w:marTop w:val="0"/>
              <w:marBottom w:val="0"/>
              <w:divBdr>
                <w:top w:val="none" w:sz="0" w:space="0" w:color="auto"/>
                <w:left w:val="none" w:sz="0" w:space="0" w:color="auto"/>
                <w:bottom w:val="none" w:sz="0" w:space="0" w:color="auto"/>
                <w:right w:val="none" w:sz="0" w:space="0" w:color="auto"/>
              </w:divBdr>
            </w:div>
            <w:div w:id="1404176631">
              <w:marLeft w:val="0"/>
              <w:marRight w:val="0"/>
              <w:marTop w:val="0"/>
              <w:marBottom w:val="0"/>
              <w:divBdr>
                <w:top w:val="none" w:sz="0" w:space="0" w:color="auto"/>
                <w:left w:val="none" w:sz="0" w:space="0" w:color="auto"/>
                <w:bottom w:val="none" w:sz="0" w:space="0" w:color="auto"/>
                <w:right w:val="none" w:sz="0" w:space="0" w:color="auto"/>
              </w:divBdr>
              <w:divsChild>
                <w:div w:id="36190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9821">
          <w:marLeft w:val="0"/>
          <w:marRight w:val="0"/>
          <w:marTop w:val="0"/>
          <w:marBottom w:val="0"/>
          <w:divBdr>
            <w:top w:val="none" w:sz="0" w:space="0" w:color="auto"/>
            <w:left w:val="none" w:sz="0" w:space="0" w:color="auto"/>
            <w:bottom w:val="none" w:sz="0" w:space="0" w:color="auto"/>
            <w:right w:val="none" w:sz="0" w:space="0" w:color="auto"/>
          </w:divBdr>
          <w:divsChild>
            <w:div w:id="549150428">
              <w:marLeft w:val="0"/>
              <w:marRight w:val="0"/>
              <w:marTop w:val="0"/>
              <w:marBottom w:val="0"/>
              <w:divBdr>
                <w:top w:val="none" w:sz="0" w:space="0" w:color="auto"/>
                <w:left w:val="none" w:sz="0" w:space="0" w:color="auto"/>
                <w:bottom w:val="none" w:sz="0" w:space="0" w:color="auto"/>
                <w:right w:val="none" w:sz="0" w:space="0" w:color="auto"/>
              </w:divBdr>
            </w:div>
            <w:div w:id="1093549224">
              <w:marLeft w:val="0"/>
              <w:marRight w:val="0"/>
              <w:marTop w:val="0"/>
              <w:marBottom w:val="0"/>
              <w:divBdr>
                <w:top w:val="none" w:sz="0" w:space="0" w:color="auto"/>
                <w:left w:val="none" w:sz="0" w:space="0" w:color="auto"/>
                <w:bottom w:val="none" w:sz="0" w:space="0" w:color="auto"/>
                <w:right w:val="none" w:sz="0" w:space="0" w:color="auto"/>
              </w:divBdr>
            </w:div>
          </w:divsChild>
        </w:div>
        <w:div w:id="1531190342">
          <w:marLeft w:val="0"/>
          <w:marRight w:val="0"/>
          <w:marTop w:val="0"/>
          <w:marBottom w:val="0"/>
          <w:divBdr>
            <w:top w:val="none" w:sz="0" w:space="0" w:color="auto"/>
            <w:left w:val="none" w:sz="0" w:space="0" w:color="auto"/>
            <w:bottom w:val="none" w:sz="0" w:space="0" w:color="auto"/>
            <w:right w:val="none" w:sz="0" w:space="0" w:color="auto"/>
          </w:divBdr>
          <w:divsChild>
            <w:div w:id="875049583">
              <w:marLeft w:val="0"/>
              <w:marRight w:val="0"/>
              <w:marTop w:val="0"/>
              <w:marBottom w:val="0"/>
              <w:divBdr>
                <w:top w:val="none" w:sz="0" w:space="0" w:color="auto"/>
                <w:left w:val="none" w:sz="0" w:space="0" w:color="auto"/>
                <w:bottom w:val="none" w:sz="0" w:space="0" w:color="auto"/>
                <w:right w:val="none" w:sz="0" w:space="0" w:color="auto"/>
              </w:divBdr>
            </w:div>
            <w:div w:id="837161530">
              <w:marLeft w:val="0"/>
              <w:marRight w:val="0"/>
              <w:marTop w:val="0"/>
              <w:marBottom w:val="0"/>
              <w:divBdr>
                <w:top w:val="none" w:sz="0" w:space="0" w:color="auto"/>
                <w:left w:val="none" w:sz="0" w:space="0" w:color="auto"/>
                <w:bottom w:val="none" w:sz="0" w:space="0" w:color="auto"/>
                <w:right w:val="none" w:sz="0" w:space="0" w:color="auto"/>
              </w:divBdr>
            </w:div>
          </w:divsChild>
        </w:div>
        <w:div w:id="1705133571">
          <w:marLeft w:val="0"/>
          <w:marRight w:val="0"/>
          <w:marTop w:val="0"/>
          <w:marBottom w:val="0"/>
          <w:divBdr>
            <w:top w:val="none" w:sz="0" w:space="0" w:color="auto"/>
            <w:left w:val="none" w:sz="0" w:space="0" w:color="auto"/>
            <w:bottom w:val="none" w:sz="0" w:space="0" w:color="auto"/>
            <w:right w:val="none" w:sz="0" w:space="0" w:color="auto"/>
          </w:divBdr>
          <w:divsChild>
            <w:div w:id="124782559">
              <w:marLeft w:val="0"/>
              <w:marRight w:val="0"/>
              <w:marTop w:val="0"/>
              <w:marBottom w:val="0"/>
              <w:divBdr>
                <w:top w:val="none" w:sz="0" w:space="0" w:color="auto"/>
                <w:left w:val="none" w:sz="0" w:space="0" w:color="auto"/>
                <w:bottom w:val="none" w:sz="0" w:space="0" w:color="auto"/>
                <w:right w:val="none" w:sz="0" w:space="0" w:color="auto"/>
              </w:divBdr>
            </w:div>
            <w:div w:id="1578707523">
              <w:marLeft w:val="0"/>
              <w:marRight w:val="0"/>
              <w:marTop w:val="0"/>
              <w:marBottom w:val="0"/>
              <w:divBdr>
                <w:top w:val="none" w:sz="0" w:space="0" w:color="auto"/>
                <w:left w:val="none" w:sz="0" w:space="0" w:color="auto"/>
                <w:bottom w:val="none" w:sz="0" w:space="0" w:color="auto"/>
                <w:right w:val="none" w:sz="0" w:space="0" w:color="auto"/>
              </w:divBdr>
            </w:div>
          </w:divsChild>
        </w:div>
        <w:div w:id="617759307">
          <w:marLeft w:val="0"/>
          <w:marRight w:val="0"/>
          <w:marTop w:val="0"/>
          <w:marBottom w:val="0"/>
          <w:divBdr>
            <w:top w:val="none" w:sz="0" w:space="0" w:color="auto"/>
            <w:left w:val="none" w:sz="0" w:space="0" w:color="auto"/>
            <w:bottom w:val="none" w:sz="0" w:space="0" w:color="auto"/>
            <w:right w:val="none" w:sz="0" w:space="0" w:color="auto"/>
          </w:divBdr>
          <w:divsChild>
            <w:div w:id="691881558">
              <w:marLeft w:val="0"/>
              <w:marRight w:val="0"/>
              <w:marTop w:val="0"/>
              <w:marBottom w:val="0"/>
              <w:divBdr>
                <w:top w:val="none" w:sz="0" w:space="0" w:color="auto"/>
                <w:left w:val="none" w:sz="0" w:space="0" w:color="auto"/>
                <w:bottom w:val="none" w:sz="0" w:space="0" w:color="auto"/>
                <w:right w:val="none" w:sz="0" w:space="0" w:color="auto"/>
              </w:divBdr>
            </w:div>
            <w:div w:id="1982534371">
              <w:marLeft w:val="0"/>
              <w:marRight w:val="0"/>
              <w:marTop w:val="0"/>
              <w:marBottom w:val="0"/>
              <w:divBdr>
                <w:top w:val="none" w:sz="0" w:space="0" w:color="auto"/>
                <w:left w:val="none" w:sz="0" w:space="0" w:color="auto"/>
                <w:bottom w:val="none" w:sz="0" w:space="0" w:color="auto"/>
                <w:right w:val="none" w:sz="0" w:space="0" w:color="auto"/>
              </w:divBdr>
            </w:div>
          </w:divsChild>
        </w:div>
        <w:div w:id="679048628">
          <w:marLeft w:val="0"/>
          <w:marRight w:val="0"/>
          <w:marTop w:val="0"/>
          <w:marBottom w:val="0"/>
          <w:divBdr>
            <w:top w:val="none" w:sz="0" w:space="0" w:color="auto"/>
            <w:left w:val="none" w:sz="0" w:space="0" w:color="auto"/>
            <w:bottom w:val="none" w:sz="0" w:space="0" w:color="auto"/>
            <w:right w:val="none" w:sz="0" w:space="0" w:color="auto"/>
          </w:divBdr>
          <w:divsChild>
            <w:div w:id="623850280">
              <w:marLeft w:val="0"/>
              <w:marRight w:val="0"/>
              <w:marTop w:val="0"/>
              <w:marBottom w:val="0"/>
              <w:divBdr>
                <w:top w:val="none" w:sz="0" w:space="0" w:color="auto"/>
                <w:left w:val="none" w:sz="0" w:space="0" w:color="auto"/>
                <w:bottom w:val="none" w:sz="0" w:space="0" w:color="auto"/>
                <w:right w:val="none" w:sz="0" w:space="0" w:color="auto"/>
              </w:divBdr>
            </w:div>
            <w:div w:id="344402414">
              <w:marLeft w:val="0"/>
              <w:marRight w:val="0"/>
              <w:marTop w:val="0"/>
              <w:marBottom w:val="0"/>
              <w:divBdr>
                <w:top w:val="none" w:sz="0" w:space="0" w:color="auto"/>
                <w:left w:val="none" w:sz="0" w:space="0" w:color="auto"/>
                <w:bottom w:val="none" w:sz="0" w:space="0" w:color="auto"/>
                <w:right w:val="none" w:sz="0" w:space="0" w:color="auto"/>
              </w:divBdr>
            </w:div>
          </w:divsChild>
        </w:div>
        <w:div w:id="1772235741">
          <w:marLeft w:val="0"/>
          <w:marRight w:val="0"/>
          <w:marTop w:val="0"/>
          <w:marBottom w:val="0"/>
          <w:divBdr>
            <w:top w:val="none" w:sz="0" w:space="0" w:color="auto"/>
            <w:left w:val="none" w:sz="0" w:space="0" w:color="auto"/>
            <w:bottom w:val="none" w:sz="0" w:space="0" w:color="auto"/>
            <w:right w:val="none" w:sz="0" w:space="0" w:color="auto"/>
          </w:divBdr>
          <w:divsChild>
            <w:div w:id="938491214">
              <w:marLeft w:val="0"/>
              <w:marRight w:val="0"/>
              <w:marTop w:val="0"/>
              <w:marBottom w:val="0"/>
              <w:divBdr>
                <w:top w:val="none" w:sz="0" w:space="0" w:color="auto"/>
                <w:left w:val="none" w:sz="0" w:space="0" w:color="auto"/>
                <w:bottom w:val="none" w:sz="0" w:space="0" w:color="auto"/>
                <w:right w:val="none" w:sz="0" w:space="0" w:color="auto"/>
              </w:divBdr>
            </w:div>
            <w:div w:id="1742022731">
              <w:marLeft w:val="0"/>
              <w:marRight w:val="0"/>
              <w:marTop w:val="0"/>
              <w:marBottom w:val="0"/>
              <w:divBdr>
                <w:top w:val="none" w:sz="0" w:space="0" w:color="auto"/>
                <w:left w:val="none" w:sz="0" w:space="0" w:color="auto"/>
                <w:bottom w:val="none" w:sz="0" w:space="0" w:color="auto"/>
                <w:right w:val="none" w:sz="0" w:space="0" w:color="auto"/>
              </w:divBdr>
            </w:div>
          </w:divsChild>
        </w:div>
        <w:div w:id="1227380007">
          <w:marLeft w:val="0"/>
          <w:marRight w:val="0"/>
          <w:marTop w:val="0"/>
          <w:marBottom w:val="0"/>
          <w:divBdr>
            <w:top w:val="none" w:sz="0" w:space="0" w:color="auto"/>
            <w:left w:val="none" w:sz="0" w:space="0" w:color="auto"/>
            <w:bottom w:val="none" w:sz="0" w:space="0" w:color="auto"/>
            <w:right w:val="none" w:sz="0" w:space="0" w:color="auto"/>
          </w:divBdr>
          <w:divsChild>
            <w:div w:id="352652002">
              <w:marLeft w:val="0"/>
              <w:marRight w:val="0"/>
              <w:marTop w:val="0"/>
              <w:marBottom w:val="0"/>
              <w:divBdr>
                <w:top w:val="none" w:sz="0" w:space="0" w:color="auto"/>
                <w:left w:val="none" w:sz="0" w:space="0" w:color="auto"/>
                <w:bottom w:val="none" w:sz="0" w:space="0" w:color="auto"/>
                <w:right w:val="none" w:sz="0" w:space="0" w:color="auto"/>
              </w:divBdr>
            </w:div>
            <w:div w:id="370425802">
              <w:marLeft w:val="0"/>
              <w:marRight w:val="0"/>
              <w:marTop w:val="0"/>
              <w:marBottom w:val="0"/>
              <w:divBdr>
                <w:top w:val="none" w:sz="0" w:space="0" w:color="auto"/>
                <w:left w:val="none" w:sz="0" w:space="0" w:color="auto"/>
                <w:bottom w:val="none" w:sz="0" w:space="0" w:color="auto"/>
                <w:right w:val="none" w:sz="0" w:space="0" w:color="auto"/>
              </w:divBdr>
            </w:div>
          </w:divsChild>
        </w:div>
        <w:div w:id="1023437140">
          <w:marLeft w:val="0"/>
          <w:marRight w:val="0"/>
          <w:marTop w:val="0"/>
          <w:marBottom w:val="0"/>
          <w:divBdr>
            <w:top w:val="none" w:sz="0" w:space="0" w:color="auto"/>
            <w:left w:val="none" w:sz="0" w:space="0" w:color="auto"/>
            <w:bottom w:val="none" w:sz="0" w:space="0" w:color="auto"/>
            <w:right w:val="none" w:sz="0" w:space="0" w:color="auto"/>
          </w:divBdr>
          <w:divsChild>
            <w:div w:id="353963764">
              <w:marLeft w:val="0"/>
              <w:marRight w:val="0"/>
              <w:marTop w:val="0"/>
              <w:marBottom w:val="0"/>
              <w:divBdr>
                <w:top w:val="none" w:sz="0" w:space="0" w:color="auto"/>
                <w:left w:val="none" w:sz="0" w:space="0" w:color="auto"/>
                <w:bottom w:val="none" w:sz="0" w:space="0" w:color="auto"/>
                <w:right w:val="none" w:sz="0" w:space="0" w:color="auto"/>
              </w:divBdr>
            </w:div>
            <w:div w:id="10059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93675">
      <w:bodyDiv w:val="1"/>
      <w:marLeft w:val="0"/>
      <w:marRight w:val="0"/>
      <w:marTop w:val="0"/>
      <w:marBottom w:val="0"/>
      <w:divBdr>
        <w:top w:val="none" w:sz="0" w:space="0" w:color="auto"/>
        <w:left w:val="none" w:sz="0" w:space="0" w:color="auto"/>
        <w:bottom w:val="none" w:sz="0" w:space="0" w:color="auto"/>
        <w:right w:val="none" w:sz="0" w:space="0" w:color="auto"/>
      </w:divBdr>
      <w:divsChild>
        <w:div w:id="867255137">
          <w:marLeft w:val="0"/>
          <w:marRight w:val="0"/>
          <w:marTop w:val="0"/>
          <w:marBottom w:val="0"/>
          <w:divBdr>
            <w:top w:val="none" w:sz="0" w:space="0" w:color="auto"/>
            <w:left w:val="none" w:sz="0" w:space="0" w:color="auto"/>
            <w:bottom w:val="none" w:sz="0" w:space="0" w:color="auto"/>
            <w:right w:val="none" w:sz="0" w:space="0" w:color="auto"/>
          </w:divBdr>
        </w:div>
        <w:div w:id="578715519">
          <w:marLeft w:val="0"/>
          <w:marRight w:val="0"/>
          <w:marTop w:val="0"/>
          <w:marBottom w:val="0"/>
          <w:divBdr>
            <w:top w:val="none" w:sz="0" w:space="0" w:color="auto"/>
            <w:left w:val="none" w:sz="0" w:space="0" w:color="auto"/>
            <w:bottom w:val="none" w:sz="0" w:space="0" w:color="auto"/>
            <w:right w:val="none" w:sz="0" w:space="0" w:color="auto"/>
          </w:divBdr>
        </w:div>
      </w:divsChild>
    </w:div>
    <w:div w:id="1698582994">
      <w:bodyDiv w:val="1"/>
      <w:marLeft w:val="0"/>
      <w:marRight w:val="0"/>
      <w:marTop w:val="0"/>
      <w:marBottom w:val="0"/>
      <w:divBdr>
        <w:top w:val="none" w:sz="0" w:space="0" w:color="auto"/>
        <w:left w:val="none" w:sz="0" w:space="0" w:color="auto"/>
        <w:bottom w:val="none" w:sz="0" w:space="0" w:color="auto"/>
        <w:right w:val="none" w:sz="0" w:space="0" w:color="auto"/>
      </w:divBdr>
      <w:divsChild>
        <w:div w:id="130055215">
          <w:marLeft w:val="0"/>
          <w:marRight w:val="0"/>
          <w:marTop w:val="0"/>
          <w:marBottom w:val="0"/>
          <w:divBdr>
            <w:top w:val="none" w:sz="0" w:space="0" w:color="auto"/>
            <w:left w:val="none" w:sz="0" w:space="0" w:color="auto"/>
            <w:bottom w:val="none" w:sz="0" w:space="0" w:color="auto"/>
            <w:right w:val="none" w:sz="0" w:space="0" w:color="auto"/>
          </w:divBdr>
        </w:div>
        <w:div w:id="396980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dal.vidal.fr/medicament/rifater_cp_enr-14481.html" TargetMode="External"/><Relationship Id="rId18" Type="http://schemas.openxmlformats.org/officeDocument/2006/relationships/hyperlink" Target="https://evidal.vidal.fr/medicament/rifater_cp_enr-14481.html" TargetMode="External"/><Relationship Id="rId26" Type="http://schemas.openxmlformats.org/officeDocument/2006/relationships/hyperlink" Target="https://evidal.vidal.fr/medicament/rifater_cp_enr-14481.html" TargetMode="External"/><Relationship Id="rId39" Type="http://schemas.openxmlformats.org/officeDocument/2006/relationships/hyperlink" Target="https://evidal.vidal.fr/medicament/rifater_cp_enr-14481.html" TargetMode="External"/><Relationship Id="rId21" Type="http://schemas.openxmlformats.org/officeDocument/2006/relationships/hyperlink" Target="https://evidal.vidal.fr/medicament/rifater_cp_enr-14481.html" TargetMode="External"/><Relationship Id="rId34" Type="http://schemas.openxmlformats.org/officeDocument/2006/relationships/hyperlink" Target="https://evidal.vidal.fr/medicament/rifater_cp_enr-14481.html" TargetMode="External"/><Relationship Id="rId42" Type="http://schemas.openxmlformats.org/officeDocument/2006/relationships/hyperlink" Target="https://signalement.social-sante.gouv.fr/" TargetMode="External"/><Relationship Id="rId7" Type="http://schemas.openxmlformats.org/officeDocument/2006/relationships/hyperlink" Target="https://evidal.vidal.fr/medicament/rifater_cp_enr-14481.html" TargetMode="External"/><Relationship Id="rId2" Type="http://schemas.openxmlformats.org/officeDocument/2006/relationships/styles" Target="styles.xml"/><Relationship Id="rId16" Type="http://schemas.openxmlformats.org/officeDocument/2006/relationships/hyperlink" Target="https://evidal.vidal.fr/medicament/rifater_cp_enr-14481.html" TargetMode="External"/><Relationship Id="rId20" Type="http://schemas.openxmlformats.org/officeDocument/2006/relationships/hyperlink" Target="https://evidal.vidal.fr/medicament/rifater_cp_enr-14481.html" TargetMode="External"/><Relationship Id="rId29" Type="http://schemas.openxmlformats.org/officeDocument/2006/relationships/hyperlink" Target="https://evidal.vidal.fr/medicament/rifater_cp_enr-14481.html" TargetMode="External"/><Relationship Id="rId41" Type="http://schemas.openxmlformats.org/officeDocument/2006/relationships/hyperlink" Target="https://evidal.vidal.fr/medicament/rifater_cp_enr-14481.html" TargetMode="External"/><Relationship Id="rId1" Type="http://schemas.openxmlformats.org/officeDocument/2006/relationships/numbering" Target="numbering.xml"/><Relationship Id="rId6" Type="http://schemas.openxmlformats.org/officeDocument/2006/relationships/hyperlink" Target="https://evidal.vidal.fr/medicament/rifater_cp_enr-14481.html" TargetMode="External"/><Relationship Id="rId11" Type="http://schemas.openxmlformats.org/officeDocument/2006/relationships/hyperlink" Target="https://evidal.vidal.fr/medicament/rifater_cp_enr-14481.html" TargetMode="External"/><Relationship Id="rId24" Type="http://schemas.openxmlformats.org/officeDocument/2006/relationships/hyperlink" Target="https://evidal.vidal.fr/medicament/rifater_cp_enr-14481.html" TargetMode="External"/><Relationship Id="rId32" Type="http://schemas.openxmlformats.org/officeDocument/2006/relationships/hyperlink" Target="https://evidal.vidal.fr/medicament/rifater_cp_enr-14481.html" TargetMode="External"/><Relationship Id="rId37" Type="http://schemas.openxmlformats.org/officeDocument/2006/relationships/hyperlink" Target="https://evidal.vidal.fr/medicament/rifater_cp_enr-14481.html" TargetMode="External"/><Relationship Id="rId40" Type="http://schemas.openxmlformats.org/officeDocument/2006/relationships/hyperlink" Target="https://evidal.vidal.fr/medicament/rifater_cp_enr-14481.html" TargetMode="External"/><Relationship Id="rId5" Type="http://schemas.openxmlformats.org/officeDocument/2006/relationships/hyperlink" Target="https://evidal.vidal.fr/medicament/rifater_cp_enr-14481.html" TargetMode="External"/><Relationship Id="rId15" Type="http://schemas.openxmlformats.org/officeDocument/2006/relationships/hyperlink" Target="https://evidal.vidal.fr/medicament/rifater_cp_enr-14481.html" TargetMode="External"/><Relationship Id="rId23" Type="http://schemas.openxmlformats.org/officeDocument/2006/relationships/hyperlink" Target="https://evidal.vidal.fr/medicament/rifater_cp_enr-14481.html" TargetMode="External"/><Relationship Id="rId28" Type="http://schemas.openxmlformats.org/officeDocument/2006/relationships/hyperlink" Target="https://evidal.vidal.fr/medicament/rifater_cp_enr-14481.html" TargetMode="External"/><Relationship Id="rId36" Type="http://schemas.openxmlformats.org/officeDocument/2006/relationships/hyperlink" Target="https://evidal.vidal.fr/medicament/rifater_cp_enr-14481.html" TargetMode="External"/><Relationship Id="rId10" Type="http://schemas.openxmlformats.org/officeDocument/2006/relationships/hyperlink" Target="https://evidal.vidal.fr/medicament/rifater_cp_enr-14481.html" TargetMode="External"/><Relationship Id="rId19" Type="http://schemas.openxmlformats.org/officeDocument/2006/relationships/hyperlink" Target="https://evidal.vidal.fr/medicament/rifater_cp_enr-14481.html" TargetMode="External"/><Relationship Id="rId31" Type="http://schemas.openxmlformats.org/officeDocument/2006/relationships/hyperlink" Target="https://evidal.vidal.fr/medicament/rifater_cp_enr-14481.htm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vidal.vidal.fr/medicament/rifater_cp_enr-14481.html" TargetMode="External"/><Relationship Id="rId14" Type="http://schemas.openxmlformats.org/officeDocument/2006/relationships/hyperlink" Target="https://evidal.vidal.fr/medicament/rifater_cp_enr-14481.html" TargetMode="External"/><Relationship Id="rId22" Type="http://schemas.openxmlformats.org/officeDocument/2006/relationships/hyperlink" Target="https://evidal.vidal.fr/medicament/rifater_cp_enr-14481.html" TargetMode="External"/><Relationship Id="rId27" Type="http://schemas.openxmlformats.org/officeDocument/2006/relationships/hyperlink" Target="https://evidal.vidal.fr/medicament/rifater_cp_enr-14481.html" TargetMode="External"/><Relationship Id="rId30" Type="http://schemas.openxmlformats.org/officeDocument/2006/relationships/hyperlink" Target="https://evidal.vidal.fr/medicament/rifater_cp_enr-14481.html" TargetMode="External"/><Relationship Id="rId35" Type="http://schemas.openxmlformats.org/officeDocument/2006/relationships/hyperlink" Target="https://evidal.vidal.fr/medicament/rifater_cp_enr-14481.html" TargetMode="External"/><Relationship Id="rId43" Type="http://schemas.openxmlformats.org/officeDocument/2006/relationships/fontTable" Target="fontTable.xml"/><Relationship Id="rId8" Type="http://schemas.openxmlformats.org/officeDocument/2006/relationships/hyperlink" Target="https://evidal.vidal.fr/medicament/rifater_cp_enr-14481.html" TargetMode="External"/><Relationship Id="rId3" Type="http://schemas.openxmlformats.org/officeDocument/2006/relationships/settings" Target="settings.xml"/><Relationship Id="rId12" Type="http://schemas.openxmlformats.org/officeDocument/2006/relationships/hyperlink" Target="https://evidal.vidal.fr/medicament/rifater_cp_enr-14481.html" TargetMode="External"/><Relationship Id="rId17" Type="http://schemas.openxmlformats.org/officeDocument/2006/relationships/hyperlink" Target="https://evidal.vidal.fr/medicament/rifater_cp_enr-14481.html" TargetMode="External"/><Relationship Id="rId25" Type="http://schemas.openxmlformats.org/officeDocument/2006/relationships/hyperlink" Target="https://evidal.vidal.fr/medicament/rifater_cp_enr-14481.html" TargetMode="External"/><Relationship Id="rId33" Type="http://schemas.openxmlformats.org/officeDocument/2006/relationships/hyperlink" Target="https://evidal.vidal.fr/medicament/rifater_cp_enr-14481.html" TargetMode="External"/><Relationship Id="rId38" Type="http://schemas.openxmlformats.org/officeDocument/2006/relationships/hyperlink" Target="https://evidal.vidal.fr/medicament/rifater_cp_enr-14481.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10860</Words>
  <Characters>59735</Characters>
  <Application>Microsoft Office Word</Application>
  <DocSecurity>0</DocSecurity>
  <Lines>497</Lines>
  <Paragraphs>140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CRESPEL</dc:creator>
  <cp:keywords/>
  <dc:description/>
  <cp:lastModifiedBy>Audrey CRESPEL</cp:lastModifiedBy>
  <cp:revision>2</cp:revision>
  <dcterms:created xsi:type="dcterms:W3CDTF">2025-03-27T09:00:00Z</dcterms:created>
  <dcterms:modified xsi:type="dcterms:W3CDTF">2025-03-27T09:00:00Z</dcterms:modified>
</cp:coreProperties>
</file>