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0077D73D" w:rsidR="00D71F21" w:rsidRDefault="005F74D2" w:rsidP="00F55E88">
      <w:pPr>
        <w:jc w:val="center"/>
        <w:rPr>
          <w:b/>
          <w:bCs/>
          <w:color w:val="FF0000"/>
        </w:rPr>
      </w:pPr>
      <w:r w:rsidRPr="00F55E88">
        <w:rPr>
          <w:b/>
          <w:bCs/>
          <w:color w:val="FF0000"/>
        </w:rPr>
        <w:t>RI</w:t>
      </w:r>
      <w:r w:rsidR="004A0C20">
        <w:rPr>
          <w:b/>
          <w:bCs/>
          <w:color w:val="FF0000"/>
        </w:rPr>
        <w:t xml:space="preserve">MACTAN </w:t>
      </w:r>
      <w:r w:rsidR="00480A36">
        <w:rPr>
          <w:b/>
          <w:bCs/>
          <w:color w:val="FF0000"/>
        </w:rPr>
        <w:t>300mg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4A0C20" w:rsidRPr="004A0C20" w14:paraId="6479589B" w14:textId="77777777" w:rsidTr="004A0C20">
        <w:tc>
          <w:tcPr>
            <w:tcW w:w="0" w:type="auto"/>
            <w:shd w:val="clear" w:color="auto" w:fill="auto"/>
            <w:tcMar>
              <w:top w:w="0" w:type="dxa"/>
              <w:left w:w="0" w:type="dxa"/>
              <w:bottom w:w="0" w:type="dxa"/>
              <w:right w:w="0" w:type="dxa"/>
            </w:tcMar>
            <w:vAlign w:val="center"/>
            <w:hideMark/>
          </w:tcPr>
          <w:p w14:paraId="466D26E1"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FORMES et PRÉSENTATIONS</w:t>
            </w:r>
            <w:r w:rsidRPr="004A0C20">
              <w:rPr>
                <w:rFonts w:ascii="Roboto" w:eastAsia="Times New Roman" w:hAnsi="Roboto" w:cs="Times New Roman"/>
                <w:kern w:val="0"/>
                <w:sz w:val="18"/>
                <w:szCs w:val="18"/>
                <w:lang w:eastAsia="fr-FR"/>
                <w14:ligatures w14:val="none"/>
              </w:rPr>
              <w:t> </w:t>
            </w:r>
          </w:p>
        </w:tc>
      </w:tr>
    </w:tbl>
    <w:p w14:paraId="1E492E78" w14:textId="77777777" w:rsidR="004A0C20" w:rsidRPr="004A0C20" w:rsidRDefault="004A0C20" w:rsidP="004A0C20">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Gélule.</w:t>
      </w:r>
    </w:p>
    <w:p w14:paraId="7888643E"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4A0C20" w:rsidRPr="004A0C20" w14:paraId="30F1A549" w14:textId="77777777" w:rsidTr="004A0C20">
        <w:tc>
          <w:tcPr>
            <w:tcW w:w="0" w:type="auto"/>
            <w:shd w:val="clear" w:color="auto" w:fill="auto"/>
            <w:tcMar>
              <w:top w:w="0" w:type="dxa"/>
              <w:left w:w="0" w:type="dxa"/>
              <w:bottom w:w="0" w:type="dxa"/>
              <w:right w:w="0" w:type="dxa"/>
            </w:tcMar>
            <w:vAlign w:val="center"/>
            <w:hideMark/>
          </w:tcPr>
          <w:p w14:paraId="237A96A3"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COMPOSITION</w:t>
            </w:r>
            <w:r w:rsidRPr="004A0C20">
              <w:rPr>
                <w:rFonts w:ascii="Roboto" w:eastAsia="Times New Roman" w:hAnsi="Roboto" w:cs="Times New Roman"/>
                <w:kern w:val="0"/>
                <w:sz w:val="18"/>
                <w:szCs w:val="18"/>
                <w:lang w:eastAsia="fr-FR"/>
                <w14:ligatures w14:val="none"/>
              </w:rPr>
              <w:t> </w:t>
            </w:r>
          </w:p>
        </w:tc>
      </w:tr>
    </w:tbl>
    <w:p w14:paraId="415EB29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300 mg</w:t>
      </w:r>
    </w:p>
    <w:p w14:paraId="68F6393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une gélule.</w:t>
      </w:r>
    </w:p>
    <w:p w14:paraId="48FE2EE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Excipient à effet notoire : lactose.</w:t>
      </w:r>
    </w:p>
    <w:p w14:paraId="5A5A1CAC"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E0ADAA2"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u w:val="single"/>
          <w:lang w:eastAsia="fr-FR"/>
          <w14:ligatures w14:val="none"/>
        </w:rPr>
        <w:t>Excipients :</w:t>
      </w:r>
    </w:p>
    <w:p w14:paraId="1172652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Stéarate de calcium, lactose.</w:t>
      </w:r>
    </w:p>
    <w:p w14:paraId="6C9E422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u w:val="single"/>
          <w:lang w:eastAsia="fr-FR"/>
          <w14:ligatures w14:val="none"/>
        </w:rPr>
        <w:t>Enveloppe de la gélule</w:t>
      </w:r>
      <w:r w:rsidRPr="004A0C20">
        <w:rPr>
          <w:rFonts w:ascii="Roboto" w:eastAsia="Times New Roman" w:hAnsi="Roboto" w:cs="Times New Roman"/>
          <w:color w:val="333333"/>
          <w:kern w:val="0"/>
          <w:sz w:val="19"/>
          <w:szCs w:val="19"/>
          <w:lang w:eastAsia="fr-FR"/>
          <w14:ligatures w14:val="none"/>
        </w:rPr>
        <w:t> : gélatine, oxyde de fer rouge, oxyde de fer jaune, oxyde de fer noir, dioxyde de titane.</w:t>
      </w:r>
    </w:p>
    <w:p w14:paraId="0E5CE7F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u w:val="single"/>
          <w:lang w:eastAsia="fr-FR"/>
          <w14:ligatures w14:val="none"/>
        </w:rPr>
        <w:t>Encre d'impression</w:t>
      </w:r>
      <w:r w:rsidRPr="004A0C20">
        <w:rPr>
          <w:rFonts w:ascii="Roboto" w:eastAsia="Times New Roman" w:hAnsi="Roboto" w:cs="Times New Roman"/>
          <w:color w:val="333333"/>
          <w:kern w:val="0"/>
          <w:sz w:val="19"/>
          <w:szCs w:val="19"/>
          <w:lang w:eastAsia="fr-FR"/>
          <w14:ligatures w14:val="none"/>
        </w:rPr>
        <w:t xml:space="preserve"> : </w:t>
      </w:r>
      <w:proofErr w:type="spellStart"/>
      <w:r w:rsidRPr="004A0C20">
        <w:rPr>
          <w:rFonts w:ascii="Roboto" w:eastAsia="Times New Roman" w:hAnsi="Roboto" w:cs="Times New Roman"/>
          <w:color w:val="333333"/>
          <w:kern w:val="0"/>
          <w:sz w:val="19"/>
          <w:szCs w:val="19"/>
          <w:lang w:eastAsia="fr-FR"/>
          <w14:ligatures w14:val="none"/>
        </w:rPr>
        <w:t>shellac</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Glaze</w:t>
      </w:r>
      <w:proofErr w:type="spellEnd"/>
      <w:r w:rsidRPr="004A0C20">
        <w:rPr>
          <w:rFonts w:ascii="Roboto" w:eastAsia="Times New Roman" w:hAnsi="Roboto" w:cs="Times New Roman"/>
          <w:color w:val="333333"/>
          <w:kern w:val="0"/>
          <w:sz w:val="19"/>
          <w:szCs w:val="19"/>
          <w:lang w:eastAsia="fr-FR"/>
          <w14:ligatures w14:val="none"/>
        </w:rPr>
        <w:t xml:space="preserve"> 45 % (20 % estérifié) dans l'éthanol, oxyde de fer noir, N-butanol, eau purifiée, propylène glycol, éthanol anhydre, alcool isopropylique, solution d'ammoniaque 28 %.</w:t>
      </w:r>
    </w:p>
    <w:p w14:paraId="1D3B3304"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320DCD9"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4A0C20" w:rsidRPr="004A0C20" w14:paraId="6906AE61" w14:textId="77777777" w:rsidTr="004A0C20">
        <w:tc>
          <w:tcPr>
            <w:tcW w:w="0" w:type="auto"/>
            <w:shd w:val="clear" w:color="auto" w:fill="CC3300"/>
            <w:tcMar>
              <w:top w:w="0" w:type="dxa"/>
              <w:left w:w="75" w:type="dxa"/>
              <w:bottom w:w="0" w:type="dxa"/>
              <w:right w:w="75" w:type="dxa"/>
            </w:tcMar>
            <w:vAlign w:val="center"/>
            <w:hideMark/>
          </w:tcPr>
          <w:p w14:paraId="1EC533BF"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E5EE1BC"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INDICATIONS</w:t>
            </w:r>
            <w:r w:rsidRPr="004A0C20">
              <w:rPr>
                <w:rFonts w:ascii="Roboto" w:eastAsia="Times New Roman" w:hAnsi="Roboto" w:cs="Times New Roman"/>
                <w:kern w:val="0"/>
                <w:sz w:val="18"/>
                <w:szCs w:val="18"/>
                <w:lang w:eastAsia="fr-FR"/>
                <w14:ligatures w14:val="none"/>
              </w:rPr>
              <w:t> </w:t>
            </w:r>
          </w:p>
        </w:tc>
      </w:tr>
    </w:tbl>
    <w:p w14:paraId="405CAB3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Elles procèdent de l'activité antibactérienne et des caractéristiques pharmacocinétiques de la rifampicine.</w:t>
      </w:r>
    </w:p>
    <w:p w14:paraId="3E2106A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Elles tiennent compte à la fois des études cliniques auxquelles a donné lieu ce médicament et de sa place dans l'éventail des produits antibactériens actuellement disponibles.</w:t>
      </w:r>
    </w:p>
    <w:p w14:paraId="14089B1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Elles sont limitées à :</w:t>
      </w:r>
    </w:p>
    <w:p w14:paraId="2933AA1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Tuberculose sous toutes ses formes</w:t>
      </w:r>
    </w:p>
    <w:p w14:paraId="3E0FEB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Traitement en polythérapie :</w:t>
      </w:r>
    </w:p>
    <w:p w14:paraId="03C39BE2" w14:textId="77777777" w:rsidR="004A0C20" w:rsidRPr="004A0C20" w:rsidRDefault="004A0C20" w:rsidP="004A0C20">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tuberculose</w:t>
      </w:r>
      <w:proofErr w:type="gramEnd"/>
      <w:r w:rsidRPr="004A0C20">
        <w:rPr>
          <w:rFonts w:ascii="Roboto" w:eastAsia="Times New Roman" w:hAnsi="Roboto" w:cs="Times New Roman"/>
          <w:color w:val="333333"/>
          <w:kern w:val="0"/>
          <w:sz w:val="19"/>
          <w:szCs w:val="19"/>
          <w:lang w:eastAsia="fr-FR"/>
          <w14:ligatures w14:val="none"/>
        </w:rPr>
        <w:t xml:space="preserve"> pulmonaire de 1</w:t>
      </w:r>
      <w:r w:rsidRPr="004A0C20">
        <w:rPr>
          <w:rFonts w:ascii="Roboto" w:eastAsia="Times New Roman" w:hAnsi="Roboto" w:cs="Times New Roman"/>
          <w:color w:val="333333"/>
          <w:kern w:val="0"/>
          <w:sz w:val="14"/>
          <w:szCs w:val="14"/>
          <w:vertAlign w:val="superscript"/>
          <w:lang w:eastAsia="fr-FR"/>
          <w14:ligatures w14:val="none"/>
        </w:rPr>
        <w:t>ère</w:t>
      </w:r>
      <w:r w:rsidRPr="004A0C20">
        <w:rPr>
          <w:rFonts w:ascii="Roboto" w:eastAsia="Times New Roman" w:hAnsi="Roboto" w:cs="Times New Roman"/>
          <w:color w:val="333333"/>
          <w:kern w:val="0"/>
          <w:sz w:val="19"/>
          <w:szCs w:val="19"/>
          <w:lang w:eastAsia="fr-FR"/>
          <w14:ligatures w14:val="none"/>
        </w:rPr>
        <w:t> atteinte ou rechute,</w:t>
      </w:r>
    </w:p>
    <w:p w14:paraId="023FE095" w14:textId="77777777" w:rsidR="004A0C20" w:rsidRPr="004A0C20" w:rsidRDefault="004A0C20" w:rsidP="004A0C20">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tuberculoses</w:t>
      </w:r>
      <w:proofErr w:type="gramEnd"/>
      <w:r w:rsidRPr="004A0C20">
        <w:rPr>
          <w:rFonts w:ascii="Roboto" w:eastAsia="Times New Roman" w:hAnsi="Roboto" w:cs="Times New Roman"/>
          <w:color w:val="333333"/>
          <w:kern w:val="0"/>
          <w:sz w:val="19"/>
          <w:szCs w:val="19"/>
          <w:lang w:eastAsia="fr-FR"/>
          <w14:ligatures w14:val="none"/>
        </w:rPr>
        <w:t xml:space="preserve"> extra-pulmonaires : méningite tuberculeuse, tuberculose uro-génitale, ostéo-articulaire, ganglionnaire, des séreuses, digestive, hépatosplénique, cutanée, etc...</w:t>
      </w:r>
    </w:p>
    <w:p w14:paraId="67975F6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Chimioprophylaxie en bi ou monothérapie :</w:t>
      </w:r>
    </w:p>
    <w:p w14:paraId="35352515" w14:textId="77777777" w:rsidR="004A0C20" w:rsidRPr="004A0C20" w:rsidRDefault="004A0C20" w:rsidP="004A0C20">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virages</w:t>
      </w:r>
      <w:proofErr w:type="gramEnd"/>
      <w:r w:rsidRPr="004A0C20">
        <w:rPr>
          <w:rFonts w:ascii="Roboto" w:eastAsia="Times New Roman" w:hAnsi="Roboto" w:cs="Times New Roman"/>
          <w:color w:val="333333"/>
          <w:kern w:val="0"/>
          <w:sz w:val="19"/>
          <w:szCs w:val="19"/>
          <w:lang w:eastAsia="fr-FR"/>
          <w14:ligatures w14:val="none"/>
        </w:rPr>
        <w:t xml:space="preserve"> isolés des réactions cutanées tuberculiniques,</w:t>
      </w:r>
    </w:p>
    <w:p w14:paraId="52DC557E" w14:textId="77777777" w:rsidR="004A0C20" w:rsidRPr="004A0C20" w:rsidRDefault="004A0C20" w:rsidP="004A0C20">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sujets</w:t>
      </w:r>
      <w:proofErr w:type="gramEnd"/>
      <w:r w:rsidRPr="004A0C20">
        <w:rPr>
          <w:rFonts w:ascii="Roboto" w:eastAsia="Times New Roman" w:hAnsi="Roboto" w:cs="Times New Roman"/>
          <w:color w:val="333333"/>
          <w:kern w:val="0"/>
          <w:sz w:val="19"/>
          <w:szCs w:val="19"/>
          <w:lang w:eastAsia="fr-FR"/>
          <w14:ligatures w14:val="none"/>
        </w:rPr>
        <w:t xml:space="preserve"> à réactions tuberculiniques négatives, en contact avec des tuberculeux bacillaires,</w:t>
      </w:r>
    </w:p>
    <w:p w14:paraId="69C8ABD2" w14:textId="77777777" w:rsidR="004A0C20" w:rsidRPr="004A0C20" w:rsidRDefault="004A0C20" w:rsidP="004A0C20">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patients</w:t>
      </w:r>
      <w:proofErr w:type="gramEnd"/>
      <w:r w:rsidRPr="004A0C20">
        <w:rPr>
          <w:rFonts w:ascii="Roboto" w:eastAsia="Times New Roman" w:hAnsi="Roboto" w:cs="Times New Roman"/>
          <w:color w:val="333333"/>
          <w:kern w:val="0"/>
          <w:sz w:val="19"/>
          <w:szCs w:val="19"/>
          <w:lang w:eastAsia="fr-FR"/>
          <w14:ligatures w14:val="none"/>
        </w:rPr>
        <w:t xml:space="preserve"> immunodéprimés en présence d'un contact avec des tuberculeux bacillaires ou susceptibles d'un réveil tuberculeux.</w:t>
      </w:r>
    </w:p>
    <w:p w14:paraId="52748A7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Autres infections à mycobactéries sensibles</w:t>
      </w:r>
    </w:p>
    <w:p w14:paraId="5BF064F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Lèpre dans le cadre de la polythérapie</w:t>
      </w:r>
    </w:p>
    <w:p w14:paraId="305D8BD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Brucellose</w:t>
      </w:r>
    </w:p>
    <w:p w14:paraId="0FCA1DC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Infections graves, traitées en milieu hospitalier à germes Gram+ (staphylocoques, entérocoques) ou à germes Gram- sensibles</w:t>
      </w:r>
    </w:p>
    <w:p w14:paraId="57E54C5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Prophylaxie des méningites à méningocoque :</w:t>
      </w:r>
    </w:p>
    <w:p w14:paraId="12AF42EF" w14:textId="77777777" w:rsidR="004A0C20" w:rsidRPr="004A0C20" w:rsidRDefault="004A0C20" w:rsidP="004A0C20">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le</w:t>
      </w:r>
      <w:proofErr w:type="gramEnd"/>
      <w:r w:rsidRPr="004A0C20">
        <w:rPr>
          <w:rFonts w:ascii="Roboto" w:eastAsia="Times New Roman" w:hAnsi="Roboto" w:cs="Times New Roman"/>
          <w:color w:val="333333"/>
          <w:kern w:val="0"/>
          <w:sz w:val="19"/>
          <w:szCs w:val="19"/>
          <w:lang w:eastAsia="fr-FR"/>
          <w14:ligatures w14:val="none"/>
        </w:rPr>
        <w:t xml:space="preserve"> but est d'éradiquer le germe (</w:t>
      </w:r>
      <w:r w:rsidRPr="004A0C20">
        <w:rPr>
          <w:rFonts w:ascii="Roboto" w:eastAsia="Times New Roman" w:hAnsi="Roboto" w:cs="Times New Roman"/>
          <w:i/>
          <w:iCs/>
          <w:color w:val="333333"/>
          <w:kern w:val="0"/>
          <w:sz w:val="19"/>
          <w:szCs w:val="19"/>
          <w:lang w:eastAsia="fr-FR"/>
          <w14:ligatures w14:val="none"/>
        </w:rPr>
        <w:t>Neisseria meningitidis</w:t>
      </w:r>
      <w:r w:rsidRPr="004A0C20">
        <w:rPr>
          <w:rFonts w:ascii="Roboto" w:eastAsia="Times New Roman" w:hAnsi="Roboto" w:cs="Times New Roman"/>
          <w:color w:val="333333"/>
          <w:kern w:val="0"/>
          <w:sz w:val="19"/>
          <w:szCs w:val="19"/>
          <w:lang w:eastAsia="fr-FR"/>
          <w14:ligatures w14:val="none"/>
        </w:rPr>
        <w:t>) du nasopharynx,</w:t>
      </w:r>
    </w:p>
    <w:p w14:paraId="68A798AC" w14:textId="77777777" w:rsidR="004A0C20" w:rsidRPr="004A0C20" w:rsidRDefault="004A0C20" w:rsidP="004A0C20">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lastRenderedPageBreak/>
        <w:t>la</w:t>
      </w:r>
      <w:proofErr w:type="gramEnd"/>
      <w:r w:rsidRPr="004A0C20">
        <w:rPr>
          <w:rFonts w:ascii="Roboto" w:eastAsia="Times New Roman" w:hAnsi="Roboto" w:cs="Times New Roman"/>
          <w:color w:val="333333"/>
          <w:kern w:val="0"/>
          <w:sz w:val="19"/>
          <w:szCs w:val="19"/>
          <w:lang w:eastAsia="fr-FR"/>
          <w14:ligatures w14:val="none"/>
        </w:rPr>
        <w:t xml:space="preserve"> rifampicine n'est pas un traitement de la méningite à méningocoque,</w:t>
      </w:r>
    </w:p>
    <w:p w14:paraId="0098F420" w14:textId="77777777" w:rsidR="004A0C20" w:rsidRPr="004A0C20" w:rsidRDefault="004A0C20" w:rsidP="004A0C20">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elle</w:t>
      </w:r>
      <w:proofErr w:type="gramEnd"/>
      <w:r w:rsidRPr="004A0C20">
        <w:rPr>
          <w:rFonts w:ascii="Roboto" w:eastAsia="Times New Roman" w:hAnsi="Roboto" w:cs="Times New Roman"/>
          <w:color w:val="333333"/>
          <w:kern w:val="0"/>
          <w:sz w:val="19"/>
          <w:szCs w:val="19"/>
          <w:lang w:eastAsia="fr-FR"/>
          <w14:ligatures w14:val="none"/>
        </w:rPr>
        <w:t xml:space="preserve"> est préconisée </w:t>
      </w:r>
      <w:r w:rsidRPr="004A0C20">
        <w:rPr>
          <w:rFonts w:ascii="Roboto" w:eastAsia="Times New Roman" w:hAnsi="Roboto" w:cs="Times New Roman"/>
          <w:color w:val="333333"/>
          <w:kern w:val="0"/>
          <w:sz w:val="19"/>
          <w:szCs w:val="19"/>
          <w:u w:val="single"/>
          <w:lang w:eastAsia="fr-FR"/>
          <w14:ligatures w14:val="none"/>
        </w:rPr>
        <w:t>en prophylaxie</w:t>
      </w:r>
      <w:r w:rsidRPr="004A0C20">
        <w:rPr>
          <w:rFonts w:ascii="Roboto" w:eastAsia="Times New Roman" w:hAnsi="Roboto" w:cs="Times New Roman"/>
          <w:color w:val="333333"/>
          <w:kern w:val="0"/>
          <w:sz w:val="19"/>
          <w:szCs w:val="19"/>
          <w:lang w:eastAsia="fr-FR"/>
          <w14:ligatures w14:val="none"/>
        </w:rPr>
        <w:t> chez deux types de personnes :</w:t>
      </w:r>
    </w:p>
    <w:p w14:paraId="06DA29D9" w14:textId="77777777" w:rsidR="004A0C20" w:rsidRPr="004A0C20" w:rsidRDefault="004A0C20" w:rsidP="004A0C20">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le</w:t>
      </w:r>
      <w:proofErr w:type="gramEnd"/>
      <w:r w:rsidRPr="004A0C20">
        <w:rPr>
          <w:rFonts w:ascii="Roboto" w:eastAsia="Times New Roman" w:hAnsi="Roboto" w:cs="Times New Roman"/>
          <w:color w:val="333333"/>
          <w:kern w:val="0"/>
          <w:sz w:val="19"/>
          <w:szCs w:val="19"/>
          <w:lang w:eastAsia="fr-FR"/>
          <w14:ligatures w14:val="none"/>
        </w:rPr>
        <w:t xml:space="preserve"> malade après son traitement curatif et avant sa réintégration en collectivité,</w:t>
      </w:r>
    </w:p>
    <w:p w14:paraId="7A84227A" w14:textId="77777777" w:rsidR="004A0C20" w:rsidRPr="004A0C20" w:rsidRDefault="004A0C20" w:rsidP="004A0C20">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les</w:t>
      </w:r>
      <w:proofErr w:type="gramEnd"/>
      <w:r w:rsidRPr="004A0C20">
        <w:rPr>
          <w:rFonts w:ascii="Roboto" w:eastAsia="Times New Roman" w:hAnsi="Roboto" w:cs="Times New Roman"/>
          <w:color w:val="333333"/>
          <w:kern w:val="0"/>
          <w:sz w:val="19"/>
          <w:szCs w:val="19"/>
          <w:lang w:eastAsia="fr-FR"/>
          <w14:ligatures w14:val="none"/>
        </w:rPr>
        <w:t xml:space="preserve"> sujets ayant été exposés aux sécrétions oropharyngées du malade dans les dix jours précédant son hospitalisation,</w:t>
      </w:r>
    </w:p>
    <w:p w14:paraId="3A2B93F3" w14:textId="77777777" w:rsidR="004A0C20" w:rsidRPr="004A0C20" w:rsidRDefault="004A0C20" w:rsidP="004A0C20">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la</w:t>
      </w:r>
      <w:proofErr w:type="gramEnd"/>
      <w:r w:rsidRPr="004A0C20">
        <w:rPr>
          <w:rFonts w:ascii="Roboto" w:eastAsia="Times New Roman" w:hAnsi="Roboto" w:cs="Times New Roman"/>
          <w:color w:val="333333"/>
          <w:kern w:val="0"/>
          <w:sz w:val="19"/>
          <w:szCs w:val="19"/>
          <w:lang w:eastAsia="fr-FR"/>
          <w14:ligatures w14:val="none"/>
        </w:rPr>
        <w:t xml:space="preserve"> décision de traiter l'ensemble des membres d'une collectivité, en particulier les enfants, doit tenir compte des risques « d'exposition ». Cette prescription doit être rigoureuse afin de limiter les effets secondaires de la rifampicine et la possibilité d'apparition de souche résistante (1 à 10 % dans certaines études après traitement prophylactique).</w:t>
      </w:r>
    </w:p>
    <w:p w14:paraId="34D7A99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Il convient de tenir compte des recommandations officielles concernant l'utilisation appropriée des antibactériens.</w:t>
      </w:r>
    </w:p>
    <w:p w14:paraId="5092F228"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3060C79E"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4A0C20" w:rsidRPr="004A0C20" w14:paraId="6F162DA6" w14:textId="77777777" w:rsidTr="004A0C20">
        <w:tc>
          <w:tcPr>
            <w:tcW w:w="0" w:type="auto"/>
            <w:shd w:val="clear" w:color="auto" w:fill="CC3300"/>
            <w:tcMar>
              <w:top w:w="0" w:type="dxa"/>
              <w:left w:w="75" w:type="dxa"/>
              <w:bottom w:w="0" w:type="dxa"/>
              <w:right w:w="75" w:type="dxa"/>
            </w:tcMar>
            <w:vAlign w:val="center"/>
            <w:hideMark/>
          </w:tcPr>
          <w:p w14:paraId="0BD6BF22"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86F40CF"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POSOLOGIE ET MODE D'ADMINISTRATION</w:t>
            </w:r>
            <w:r w:rsidRPr="004A0C20">
              <w:rPr>
                <w:rFonts w:ascii="Roboto" w:eastAsia="Times New Roman" w:hAnsi="Roboto" w:cs="Times New Roman"/>
                <w:kern w:val="0"/>
                <w:sz w:val="18"/>
                <w:szCs w:val="18"/>
                <w:lang w:eastAsia="fr-FR"/>
                <w14:ligatures w14:val="none"/>
              </w:rPr>
              <w:t> </w:t>
            </w:r>
          </w:p>
        </w:tc>
      </w:tr>
    </w:tbl>
    <w:p w14:paraId="40E21B1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Posologie</w:t>
      </w:r>
    </w:p>
    <w:p w14:paraId="3D35F67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Tuberculose</w:t>
      </w:r>
    </w:p>
    <w:p w14:paraId="5A3D9E3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Principes de traitement</w:t>
      </w:r>
    </w:p>
    <w:p w14:paraId="08EB22B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notion de traitement correct et bien suivi est, avec la négativation durable des examens bactériologiques, le critère de guérison essentiel.</w:t>
      </w:r>
    </w:p>
    <w:p w14:paraId="3F9F503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Quel que soit le contexte, on ne commencera le traitement qu'une fois obtenue la preuve bactériologique de la tuberculose. L'examen bactériologique comprend systématiquement l'examen direct, la mise en culture et l'antibiogramme.</w:t>
      </w:r>
    </w:p>
    <w:p w14:paraId="5DD565B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Toutefois, s'il y a urgence ou si les lésions sont typiques et la </w:t>
      </w:r>
      <w:proofErr w:type="spellStart"/>
      <w:r w:rsidRPr="004A0C20">
        <w:rPr>
          <w:rFonts w:ascii="Roboto" w:eastAsia="Times New Roman" w:hAnsi="Roboto" w:cs="Times New Roman"/>
          <w:color w:val="333333"/>
          <w:kern w:val="0"/>
          <w:sz w:val="19"/>
          <w:szCs w:val="19"/>
          <w:lang w:eastAsia="fr-FR"/>
          <w14:ligatures w14:val="none"/>
        </w:rPr>
        <w:t>bacilloscopie</w:t>
      </w:r>
      <w:proofErr w:type="spellEnd"/>
      <w:r w:rsidRPr="004A0C20">
        <w:rPr>
          <w:rFonts w:ascii="Roboto" w:eastAsia="Times New Roman" w:hAnsi="Roboto" w:cs="Times New Roman"/>
          <w:color w:val="333333"/>
          <w:kern w:val="0"/>
          <w:sz w:val="19"/>
          <w:szCs w:val="19"/>
          <w:lang w:eastAsia="fr-FR"/>
          <w14:ligatures w14:val="none"/>
        </w:rPr>
        <w:t xml:space="preserve"> négative malgré sa répétition (4 à 6 prélèvements), le traitement peut être institué et sera reconsidéré lorsque l'on disposera des résultats de la culture.</w:t>
      </w:r>
    </w:p>
    <w:p w14:paraId="5EABCA2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être efficace, ce traitement doit :</w:t>
      </w:r>
    </w:p>
    <w:p w14:paraId="7F768471" w14:textId="77777777" w:rsidR="004A0C20" w:rsidRPr="004A0C20" w:rsidRDefault="004A0C20" w:rsidP="004A0C20">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associer</w:t>
      </w:r>
      <w:proofErr w:type="gramEnd"/>
      <w:r w:rsidRPr="004A0C20">
        <w:rPr>
          <w:rFonts w:ascii="Roboto" w:eastAsia="Times New Roman" w:hAnsi="Roboto" w:cs="Times New Roman"/>
          <w:color w:val="333333"/>
          <w:kern w:val="0"/>
          <w:sz w:val="19"/>
          <w:szCs w:val="19"/>
          <w:lang w:eastAsia="fr-FR"/>
          <w14:ligatures w14:val="none"/>
        </w:rPr>
        <w:t xml:space="preserve"> plusieurs antituberculeux :</w:t>
      </w:r>
    </w:p>
    <w:p w14:paraId="00C3DA31" w14:textId="77777777" w:rsidR="004A0C20" w:rsidRPr="004A0C20" w:rsidRDefault="004A0C20" w:rsidP="004A0C20">
      <w:pPr>
        <w:numPr>
          <w:ilvl w:val="1"/>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trois</w:t>
      </w:r>
      <w:proofErr w:type="gramEnd"/>
      <w:r w:rsidRPr="004A0C20">
        <w:rPr>
          <w:rFonts w:ascii="Roboto" w:eastAsia="Times New Roman" w:hAnsi="Roboto" w:cs="Times New Roman"/>
          <w:color w:val="333333"/>
          <w:kern w:val="0"/>
          <w:sz w:val="19"/>
          <w:szCs w:val="19"/>
          <w:lang w:eastAsia="fr-FR"/>
          <w14:ligatures w14:val="none"/>
        </w:rPr>
        <w:t xml:space="preserve"> ou quatre jusqu'aux résultats de l'antibiogramme pour tenir compte d'une éventuelle résistance primaire (et, de toute façon, pendant au moins 2 mois),</w:t>
      </w:r>
    </w:p>
    <w:p w14:paraId="74963615" w14:textId="77777777" w:rsidR="004A0C20" w:rsidRPr="004A0C20" w:rsidRDefault="004A0C20" w:rsidP="004A0C20">
      <w:pPr>
        <w:numPr>
          <w:ilvl w:val="1"/>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au</w:t>
      </w:r>
      <w:proofErr w:type="gramEnd"/>
      <w:r w:rsidRPr="004A0C20">
        <w:rPr>
          <w:rFonts w:ascii="Roboto" w:eastAsia="Times New Roman" w:hAnsi="Roboto" w:cs="Times New Roman"/>
          <w:color w:val="333333"/>
          <w:kern w:val="0"/>
          <w:sz w:val="19"/>
          <w:szCs w:val="19"/>
          <w:lang w:eastAsia="fr-FR"/>
          <w14:ligatures w14:val="none"/>
        </w:rPr>
        <w:t xml:space="preserve"> moins deux ensuite, pour éviter l'apparition d'une résistance acquise,</w:t>
      </w:r>
    </w:p>
    <w:p w14:paraId="41A5AAE2" w14:textId="77777777" w:rsidR="004A0C20" w:rsidRPr="004A0C20" w:rsidRDefault="004A0C20" w:rsidP="004A0C20">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utiliser</w:t>
      </w:r>
      <w:proofErr w:type="gramEnd"/>
      <w:r w:rsidRPr="004A0C20">
        <w:rPr>
          <w:rFonts w:ascii="Roboto" w:eastAsia="Times New Roman" w:hAnsi="Roboto" w:cs="Times New Roman"/>
          <w:color w:val="333333"/>
          <w:kern w:val="0"/>
          <w:sz w:val="19"/>
          <w:szCs w:val="19"/>
          <w:lang w:eastAsia="fr-FR"/>
          <w14:ligatures w14:val="none"/>
        </w:rPr>
        <w:t xml:space="preserve"> les antituberculeux les plus actifs (bactéricides) à des doses efficaces (mais adaptées pour éviter tout surdosage).</w:t>
      </w:r>
    </w:p>
    <w:p w14:paraId="0B996AA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La chimiothérapie de la tuberculose associe habituellement la rifampicine (RMP), l'isoniazide (INH), le </w:t>
      </w:r>
      <w:proofErr w:type="spellStart"/>
      <w:r w:rsidRPr="004A0C20">
        <w:rPr>
          <w:rFonts w:ascii="Roboto" w:eastAsia="Times New Roman" w:hAnsi="Roboto" w:cs="Times New Roman"/>
          <w:color w:val="333333"/>
          <w:kern w:val="0"/>
          <w:sz w:val="19"/>
          <w:szCs w:val="19"/>
          <w:lang w:eastAsia="fr-FR"/>
          <w14:ligatures w14:val="none"/>
        </w:rPr>
        <w:t>pyrazinamide</w:t>
      </w:r>
      <w:proofErr w:type="spellEnd"/>
      <w:r w:rsidRPr="004A0C20">
        <w:rPr>
          <w:rFonts w:ascii="Roboto" w:eastAsia="Times New Roman" w:hAnsi="Roboto" w:cs="Times New Roman"/>
          <w:color w:val="333333"/>
          <w:kern w:val="0"/>
          <w:sz w:val="19"/>
          <w:szCs w:val="19"/>
          <w:lang w:eastAsia="fr-FR"/>
          <w14:ligatures w14:val="none"/>
        </w:rPr>
        <w:t xml:space="preserve"> (PZA) avec adjonction éventuelle d'</w:t>
      </w:r>
      <w:proofErr w:type="spellStart"/>
      <w:r w:rsidRPr="004A0C20">
        <w:rPr>
          <w:rFonts w:ascii="Roboto" w:eastAsia="Times New Roman" w:hAnsi="Roboto" w:cs="Times New Roman"/>
          <w:color w:val="333333"/>
          <w:kern w:val="0"/>
          <w:sz w:val="19"/>
          <w:szCs w:val="19"/>
          <w:lang w:eastAsia="fr-FR"/>
          <w14:ligatures w14:val="none"/>
        </w:rPr>
        <w:t>éthambutol</w:t>
      </w:r>
      <w:proofErr w:type="spellEnd"/>
      <w:r w:rsidRPr="004A0C20">
        <w:rPr>
          <w:rFonts w:ascii="Roboto" w:eastAsia="Times New Roman" w:hAnsi="Roboto" w:cs="Times New Roman"/>
          <w:color w:val="333333"/>
          <w:kern w:val="0"/>
          <w:sz w:val="19"/>
          <w:szCs w:val="19"/>
          <w:lang w:eastAsia="fr-FR"/>
          <w14:ligatures w14:val="none"/>
        </w:rPr>
        <w:t xml:space="preserve"> (EMB).</w:t>
      </w:r>
    </w:p>
    <w:p w14:paraId="179D7E9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Posologie du traitement</w:t>
      </w:r>
    </w:p>
    <w:p w14:paraId="100ED66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Adulte :</w:t>
      </w:r>
      <w:r w:rsidRPr="004A0C20">
        <w:rPr>
          <w:rFonts w:ascii="Roboto" w:eastAsia="Times New Roman" w:hAnsi="Roboto" w:cs="Times New Roman"/>
          <w:color w:val="333333"/>
          <w:kern w:val="0"/>
          <w:sz w:val="19"/>
          <w:szCs w:val="19"/>
          <w:lang w:eastAsia="fr-FR"/>
          <w14:ligatures w14:val="none"/>
        </w:rPr>
        <w:t> 8 à 12 mg/kg/j de préférence à distance des repas en une prise.</w:t>
      </w:r>
    </w:p>
    <w:p w14:paraId="2443FBF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Enfant à partir de 6 ans</w:t>
      </w:r>
      <w:r w:rsidRPr="004A0C20">
        <w:rPr>
          <w:rFonts w:ascii="Roboto" w:eastAsia="Times New Roman" w:hAnsi="Roboto" w:cs="Times New Roman"/>
          <w:color w:val="333333"/>
          <w:kern w:val="0"/>
          <w:sz w:val="19"/>
          <w:szCs w:val="19"/>
          <w:lang w:eastAsia="fr-FR"/>
          <w14:ligatures w14:val="none"/>
        </w:rPr>
        <w:t> : 15 (10-20) mg/kg/j, en une prise, sans dépasser la dose de 600 mg/j.</w:t>
      </w:r>
    </w:p>
    <w:p w14:paraId="5F25342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Les doses les plus élevées sont recommandées pour le traitement des formes sévères de la maladie.</w:t>
      </w:r>
    </w:p>
    <w:p w14:paraId="314F843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Ces posologies peuvent nécessiter d'être ajustées au cas par cas en tenant compte des facteurs pouvant influencer la pharmacocinétique des médicaments (statut nutritionnel, maturité </w:t>
      </w:r>
      <w:proofErr w:type="gramStart"/>
      <w:r w:rsidRPr="004A0C20">
        <w:rPr>
          <w:rFonts w:ascii="Roboto" w:eastAsia="Times New Roman" w:hAnsi="Roboto" w:cs="Times New Roman"/>
          <w:color w:val="333333"/>
          <w:kern w:val="0"/>
          <w:sz w:val="19"/>
          <w:szCs w:val="19"/>
          <w:lang w:eastAsia="fr-FR"/>
          <w14:ligatures w14:val="none"/>
        </w:rPr>
        <w:t>enzymatique,...</w:t>
      </w:r>
      <w:proofErr w:type="gramEnd"/>
      <w:r w:rsidRPr="004A0C20">
        <w:rPr>
          <w:rFonts w:ascii="Roboto" w:eastAsia="Times New Roman" w:hAnsi="Roboto" w:cs="Times New Roman"/>
          <w:color w:val="333333"/>
          <w:kern w:val="0"/>
          <w:sz w:val="19"/>
          <w:szCs w:val="19"/>
          <w:lang w:eastAsia="fr-FR"/>
          <w14:ligatures w14:val="none"/>
        </w:rPr>
        <w:t>).</w:t>
      </w:r>
    </w:p>
    <w:p w14:paraId="528FA14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 schéma habituel recommandé pour le traitement de la tuberculose pulmonaire non compliquée, à bacilles sensibles est une </w:t>
      </w:r>
      <w:r w:rsidRPr="004A0C20">
        <w:rPr>
          <w:rFonts w:ascii="Roboto" w:eastAsia="Times New Roman" w:hAnsi="Roboto" w:cs="Times New Roman"/>
          <w:color w:val="333333"/>
          <w:kern w:val="0"/>
          <w:sz w:val="19"/>
          <w:szCs w:val="19"/>
          <w:u w:val="single"/>
          <w:lang w:eastAsia="fr-FR"/>
          <w14:ligatures w14:val="none"/>
        </w:rPr>
        <w:t>trithérapie initiale</w:t>
      </w:r>
      <w:r w:rsidRPr="004A0C20">
        <w:rPr>
          <w:rFonts w:ascii="Roboto" w:eastAsia="Times New Roman" w:hAnsi="Roboto" w:cs="Times New Roman"/>
          <w:color w:val="333333"/>
          <w:kern w:val="0"/>
          <w:sz w:val="19"/>
          <w:szCs w:val="19"/>
          <w:lang w:eastAsia="fr-FR"/>
          <w14:ligatures w14:val="none"/>
        </w:rPr>
        <w:t xml:space="preserve"> : rifampicine, </w:t>
      </w:r>
      <w:proofErr w:type="spellStart"/>
      <w:r w:rsidRPr="004A0C20">
        <w:rPr>
          <w:rFonts w:ascii="Roboto" w:eastAsia="Times New Roman" w:hAnsi="Roboto" w:cs="Times New Roman"/>
          <w:color w:val="333333"/>
          <w:kern w:val="0"/>
          <w:sz w:val="19"/>
          <w:szCs w:val="19"/>
          <w:lang w:eastAsia="fr-FR"/>
          <w14:ligatures w14:val="none"/>
        </w:rPr>
        <w:t>pyrazinamide</w:t>
      </w:r>
      <w:proofErr w:type="spellEnd"/>
      <w:r w:rsidRPr="004A0C20">
        <w:rPr>
          <w:rFonts w:ascii="Roboto" w:eastAsia="Times New Roman" w:hAnsi="Roboto" w:cs="Times New Roman"/>
          <w:color w:val="333333"/>
          <w:kern w:val="0"/>
          <w:sz w:val="19"/>
          <w:szCs w:val="19"/>
          <w:lang w:eastAsia="fr-FR"/>
          <w14:ligatures w14:val="none"/>
        </w:rPr>
        <w:t>, isoniazide pendant 2 mois.</w:t>
      </w:r>
    </w:p>
    <w:p w14:paraId="6B2AC0D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Celle-ci peut être remplacée par une </w:t>
      </w:r>
      <w:r w:rsidRPr="004A0C20">
        <w:rPr>
          <w:rFonts w:ascii="Roboto" w:eastAsia="Times New Roman" w:hAnsi="Roboto" w:cs="Times New Roman"/>
          <w:color w:val="333333"/>
          <w:kern w:val="0"/>
          <w:sz w:val="19"/>
          <w:szCs w:val="19"/>
          <w:u w:val="single"/>
          <w:lang w:eastAsia="fr-FR"/>
          <w14:ligatures w14:val="none"/>
        </w:rPr>
        <w:t>quadrithérapie initiale</w:t>
      </w:r>
      <w:r w:rsidRPr="004A0C20">
        <w:rPr>
          <w:rFonts w:ascii="Roboto" w:eastAsia="Times New Roman" w:hAnsi="Roboto" w:cs="Times New Roman"/>
          <w:color w:val="333333"/>
          <w:kern w:val="0"/>
          <w:sz w:val="19"/>
          <w:szCs w:val="19"/>
          <w:lang w:eastAsia="fr-FR"/>
          <w14:ligatures w14:val="none"/>
        </w:rPr>
        <w:t> incluant l'</w:t>
      </w:r>
      <w:proofErr w:type="spellStart"/>
      <w:r w:rsidRPr="004A0C20">
        <w:rPr>
          <w:rFonts w:ascii="Roboto" w:eastAsia="Times New Roman" w:hAnsi="Roboto" w:cs="Times New Roman"/>
          <w:color w:val="333333"/>
          <w:kern w:val="0"/>
          <w:sz w:val="19"/>
          <w:szCs w:val="19"/>
          <w:lang w:eastAsia="fr-FR"/>
          <w14:ligatures w14:val="none"/>
        </w:rPr>
        <w:t>éthambutol</w:t>
      </w:r>
      <w:proofErr w:type="spellEnd"/>
      <w:r w:rsidRPr="004A0C20">
        <w:rPr>
          <w:rFonts w:ascii="Roboto" w:eastAsia="Times New Roman" w:hAnsi="Roboto" w:cs="Times New Roman"/>
          <w:color w:val="333333"/>
          <w:kern w:val="0"/>
          <w:sz w:val="19"/>
          <w:szCs w:val="19"/>
          <w:lang w:eastAsia="fr-FR"/>
          <w14:ligatures w14:val="none"/>
        </w:rPr>
        <w:t xml:space="preserve"> en cas de rechute, de suspicion de résistance ou d'antécédents de tuberculose.</w:t>
      </w:r>
    </w:p>
    <w:p w14:paraId="6235AE3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Ce traitement initial est suivi d'une </w:t>
      </w:r>
      <w:r w:rsidRPr="004A0C20">
        <w:rPr>
          <w:rFonts w:ascii="Roboto" w:eastAsia="Times New Roman" w:hAnsi="Roboto" w:cs="Times New Roman"/>
          <w:color w:val="333333"/>
          <w:kern w:val="0"/>
          <w:sz w:val="19"/>
          <w:szCs w:val="19"/>
          <w:u w:val="single"/>
          <w:lang w:eastAsia="fr-FR"/>
          <w14:ligatures w14:val="none"/>
        </w:rPr>
        <w:t>phase de consolidation</w:t>
      </w:r>
      <w:r w:rsidRPr="004A0C20">
        <w:rPr>
          <w:rFonts w:ascii="Roboto" w:eastAsia="Times New Roman" w:hAnsi="Roboto" w:cs="Times New Roman"/>
          <w:color w:val="333333"/>
          <w:kern w:val="0"/>
          <w:sz w:val="19"/>
          <w:szCs w:val="19"/>
          <w:lang w:eastAsia="fr-FR"/>
          <w14:ligatures w14:val="none"/>
        </w:rPr>
        <w:t> de 4 mois associant rifampicine et isoniazide (durée totale du traitement : 6 mois).</w:t>
      </w:r>
    </w:p>
    <w:p w14:paraId="406A067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Si le malade n'a pas reçu de </w:t>
      </w:r>
      <w:proofErr w:type="spellStart"/>
      <w:r w:rsidRPr="004A0C20">
        <w:rPr>
          <w:rFonts w:ascii="Roboto" w:eastAsia="Times New Roman" w:hAnsi="Roboto" w:cs="Times New Roman"/>
          <w:color w:val="333333"/>
          <w:kern w:val="0"/>
          <w:sz w:val="19"/>
          <w:szCs w:val="19"/>
          <w:lang w:eastAsia="fr-FR"/>
          <w14:ligatures w14:val="none"/>
        </w:rPr>
        <w:t>pyrazinamide</w:t>
      </w:r>
      <w:proofErr w:type="spellEnd"/>
      <w:r w:rsidRPr="004A0C20">
        <w:rPr>
          <w:rFonts w:ascii="Roboto" w:eastAsia="Times New Roman" w:hAnsi="Roboto" w:cs="Times New Roman"/>
          <w:color w:val="333333"/>
          <w:kern w:val="0"/>
          <w:sz w:val="19"/>
          <w:szCs w:val="19"/>
          <w:lang w:eastAsia="fr-FR"/>
          <w14:ligatures w14:val="none"/>
        </w:rPr>
        <w:t xml:space="preserve"> à la phase initiale, la phase de consolidation doit être poursuivie 7 mois (durée totale du traitement : 9 mois).</w:t>
      </w:r>
    </w:p>
    <w:p w14:paraId="3E86044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 la phase de consolidation (à partir du 3</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mois), l'association rifampicine + isoniazide peut être prescrite de façon intermittente 2 ou 3 fois par semaine. Ce mode d'administration rentre surtout dans le cadre des traitements supervisés et nécessite l'augmentation de la prise unitaire d'isoniazide.</w:t>
      </w:r>
    </w:p>
    <w:p w14:paraId="365FE35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 chimioprophylaxie</w:t>
      </w:r>
    </w:p>
    <w:p w14:paraId="17A1C45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posologie est la même qu'en cas de tuberculose avérée. La durée du traitement est habituellement de 6 à 12 mois.</w:t>
      </w:r>
    </w:p>
    <w:p w14:paraId="33F5425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Lèpre</w:t>
      </w:r>
    </w:p>
    <w:p w14:paraId="62FF31E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le traitement de la lèpre, les posologies recommandées par l'O.M.S. sont :</w:t>
      </w:r>
    </w:p>
    <w:p w14:paraId="7329BE55" w14:textId="77777777" w:rsidR="004A0C20" w:rsidRPr="004A0C20" w:rsidRDefault="004A0C20" w:rsidP="004A0C20">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Formes </w:t>
      </w:r>
      <w:proofErr w:type="spellStart"/>
      <w:r w:rsidRPr="004A0C20">
        <w:rPr>
          <w:rFonts w:ascii="Roboto" w:eastAsia="Times New Roman" w:hAnsi="Roboto" w:cs="Times New Roman"/>
          <w:color w:val="333333"/>
          <w:kern w:val="0"/>
          <w:sz w:val="19"/>
          <w:szCs w:val="19"/>
          <w:lang w:eastAsia="fr-FR"/>
          <w14:ligatures w14:val="none"/>
        </w:rPr>
        <w:t>multibacillaires</w:t>
      </w:r>
      <w:proofErr w:type="spellEnd"/>
      <w:r w:rsidRPr="004A0C20">
        <w:rPr>
          <w:rFonts w:ascii="Roboto" w:eastAsia="Times New Roman" w:hAnsi="Roboto" w:cs="Times New Roman"/>
          <w:color w:val="333333"/>
          <w:kern w:val="0"/>
          <w:sz w:val="19"/>
          <w:szCs w:val="19"/>
          <w:lang w:eastAsia="fr-FR"/>
          <w14:ligatures w14:val="none"/>
        </w:rPr>
        <w:t xml:space="preserve"> (LL, BL, BB)</w:t>
      </w:r>
    </w:p>
    <w:p w14:paraId="2377C02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Adulte</w:t>
      </w:r>
    </w:p>
    <w:p w14:paraId="4413B35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 600 mg une fois par mois, sous surveillance</w:t>
      </w:r>
    </w:p>
    <w:p w14:paraId="42D417A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Dapsone</w:t>
      </w:r>
      <w:proofErr w:type="spellEnd"/>
      <w:r w:rsidRPr="004A0C20">
        <w:rPr>
          <w:rFonts w:ascii="Roboto" w:eastAsia="Times New Roman" w:hAnsi="Roboto" w:cs="Times New Roman"/>
          <w:color w:val="333333"/>
          <w:kern w:val="0"/>
          <w:sz w:val="19"/>
          <w:szCs w:val="19"/>
          <w:lang w:eastAsia="fr-FR"/>
          <w14:ligatures w14:val="none"/>
        </w:rPr>
        <w:t> : 100 mg par jour, auto-administrée</w:t>
      </w:r>
    </w:p>
    <w:p w14:paraId="5D9B3B1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Clofazimine</w:t>
      </w:r>
      <w:proofErr w:type="spellEnd"/>
      <w:r w:rsidRPr="004A0C20">
        <w:rPr>
          <w:rFonts w:ascii="Roboto" w:eastAsia="Times New Roman" w:hAnsi="Roboto" w:cs="Times New Roman"/>
          <w:color w:val="333333"/>
          <w:kern w:val="0"/>
          <w:sz w:val="19"/>
          <w:szCs w:val="19"/>
          <w:lang w:eastAsia="fr-FR"/>
          <w14:ligatures w14:val="none"/>
        </w:rPr>
        <w:t> : 300 mg une fois par mois, sous surveillance, et 50 mg par jour, auto-administrée.</w:t>
      </w:r>
    </w:p>
    <w:p w14:paraId="2737367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Enfant</w:t>
      </w:r>
    </w:p>
    <w:p w14:paraId="0C30CA1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 10 mg/kg, 1 fois par mois</w:t>
      </w:r>
    </w:p>
    <w:p w14:paraId="46C5DF4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Dapsone</w:t>
      </w:r>
      <w:proofErr w:type="spellEnd"/>
      <w:r w:rsidRPr="004A0C20">
        <w:rPr>
          <w:rFonts w:ascii="Roboto" w:eastAsia="Times New Roman" w:hAnsi="Roboto" w:cs="Times New Roman"/>
          <w:color w:val="333333"/>
          <w:kern w:val="0"/>
          <w:sz w:val="19"/>
          <w:szCs w:val="19"/>
          <w:lang w:eastAsia="fr-FR"/>
          <w14:ligatures w14:val="none"/>
        </w:rPr>
        <w:t> : 1-2 mg/kg/j</w:t>
      </w:r>
    </w:p>
    <w:p w14:paraId="3013512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Clofazimine</w:t>
      </w:r>
      <w:proofErr w:type="spellEnd"/>
      <w:r w:rsidRPr="004A0C20">
        <w:rPr>
          <w:rFonts w:ascii="Roboto" w:eastAsia="Times New Roman" w:hAnsi="Roboto" w:cs="Times New Roman"/>
          <w:color w:val="333333"/>
          <w:kern w:val="0"/>
          <w:sz w:val="19"/>
          <w:szCs w:val="19"/>
          <w:lang w:eastAsia="fr-FR"/>
          <w14:ligatures w14:val="none"/>
        </w:rPr>
        <w:t> : 200 mg 1 fois par mois + 50 mg un jour sur deux.</w:t>
      </w:r>
    </w:p>
    <w:p w14:paraId="701C2A8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Durée du traitement : au moins 2 ans.</w:t>
      </w:r>
    </w:p>
    <w:p w14:paraId="0397E765" w14:textId="77777777" w:rsidR="004A0C20" w:rsidRPr="004A0C20" w:rsidRDefault="004A0C20" w:rsidP="004A0C20">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Formes paucibacillaires (TT, BT)</w:t>
      </w:r>
    </w:p>
    <w:p w14:paraId="7594AE4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Adulte</w:t>
      </w:r>
    </w:p>
    <w:p w14:paraId="63EF00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 600 mg une fois par mois, sous surveillance</w:t>
      </w:r>
    </w:p>
    <w:p w14:paraId="6301BA5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Dapsone</w:t>
      </w:r>
      <w:proofErr w:type="spellEnd"/>
      <w:r w:rsidRPr="004A0C20">
        <w:rPr>
          <w:rFonts w:ascii="Roboto" w:eastAsia="Times New Roman" w:hAnsi="Roboto" w:cs="Times New Roman"/>
          <w:color w:val="333333"/>
          <w:kern w:val="0"/>
          <w:sz w:val="19"/>
          <w:szCs w:val="19"/>
          <w:lang w:eastAsia="fr-FR"/>
          <w14:ligatures w14:val="none"/>
        </w:rPr>
        <w:t> : 100 mg (1-2 mg/kg) une fois par jour.</w:t>
      </w:r>
    </w:p>
    <w:p w14:paraId="545666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Enfant</w:t>
      </w:r>
    </w:p>
    <w:p w14:paraId="1197229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 10 mg/kg, 1 fois par mois</w:t>
      </w:r>
    </w:p>
    <w:p w14:paraId="6E1721C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Dapsone</w:t>
      </w:r>
      <w:proofErr w:type="spellEnd"/>
      <w:r w:rsidRPr="004A0C20">
        <w:rPr>
          <w:rFonts w:ascii="Roboto" w:eastAsia="Times New Roman" w:hAnsi="Roboto" w:cs="Times New Roman"/>
          <w:color w:val="333333"/>
          <w:kern w:val="0"/>
          <w:sz w:val="19"/>
          <w:szCs w:val="19"/>
          <w:lang w:eastAsia="fr-FR"/>
          <w14:ligatures w14:val="none"/>
        </w:rPr>
        <w:t> : 1-2 mg/kg/j.</w:t>
      </w:r>
    </w:p>
    <w:p w14:paraId="08785D4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Durée du traitement : 6 mois.</w:t>
      </w:r>
    </w:p>
    <w:p w14:paraId="0C9E983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Brucellose</w:t>
      </w:r>
    </w:p>
    <w:p w14:paraId="3B41B39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association :</w:t>
      </w:r>
    </w:p>
    <w:p w14:paraId="6293AA9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Rifampicine : 900 mg/jour en une prise le matin à jeun.</w:t>
      </w:r>
    </w:p>
    <w:p w14:paraId="5604D4B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Doxycycline : 200 mg/jour en une prise, lors du repas du soir.</w:t>
      </w:r>
    </w:p>
    <w:p w14:paraId="1261A3F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les brucelloses aiguës la durée du traitement est de 45 jours.</w:t>
      </w:r>
    </w:p>
    <w:p w14:paraId="46DAE2C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Infections graves à germes Gram+ et -</w:t>
      </w:r>
    </w:p>
    <w:p w14:paraId="563B267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Après élimination d'une éventuelle tuberculose, la rifampicine sera administrée, toujours en association à un autre antibiotique actif, en fonction des résultats de l'antibiogramme, à la posologie suivante :</w:t>
      </w:r>
    </w:p>
    <w:p w14:paraId="364071B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lastRenderedPageBreak/>
        <w:t>Adulte :</w:t>
      </w:r>
      <w:r w:rsidRPr="004A0C20">
        <w:rPr>
          <w:rFonts w:ascii="Roboto" w:eastAsia="Times New Roman" w:hAnsi="Roboto" w:cs="Times New Roman"/>
          <w:color w:val="333333"/>
          <w:kern w:val="0"/>
          <w:sz w:val="19"/>
          <w:szCs w:val="19"/>
          <w:lang w:eastAsia="fr-FR"/>
          <w14:ligatures w14:val="none"/>
        </w:rPr>
        <w:t> 20 à 30 mg/kg/jour répartis en 2 prises, à prendre en dehors des repas.</w:t>
      </w:r>
    </w:p>
    <w:p w14:paraId="615726F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Enfant à partir de 6 ans :</w:t>
      </w:r>
      <w:r w:rsidRPr="004A0C20">
        <w:rPr>
          <w:rFonts w:ascii="Roboto" w:eastAsia="Times New Roman" w:hAnsi="Roboto" w:cs="Times New Roman"/>
          <w:color w:val="333333"/>
          <w:kern w:val="0"/>
          <w:sz w:val="19"/>
          <w:szCs w:val="19"/>
          <w:lang w:eastAsia="fr-FR"/>
          <w14:ligatures w14:val="none"/>
        </w:rPr>
        <w:t> même posologie que l'adulte.</w:t>
      </w:r>
    </w:p>
    <w:p w14:paraId="677E8F0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Prophylaxie des méningites à méningocoque</w:t>
      </w:r>
    </w:p>
    <w:p w14:paraId="7D41A2F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rifampicine sera donnée pendant 48 heures à la posologie suivante :</w:t>
      </w:r>
    </w:p>
    <w:p w14:paraId="5A16742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Adulte :</w:t>
      </w:r>
      <w:r w:rsidRPr="004A0C20">
        <w:rPr>
          <w:rFonts w:ascii="Roboto" w:eastAsia="Times New Roman" w:hAnsi="Roboto" w:cs="Times New Roman"/>
          <w:color w:val="333333"/>
          <w:kern w:val="0"/>
          <w:sz w:val="19"/>
          <w:szCs w:val="19"/>
          <w:lang w:eastAsia="fr-FR"/>
          <w14:ligatures w14:val="none"/>
        </w:rPr>
        <w:t> 600 mg toutes les 12 heures.</w:t>
      </w:r>
    </w:p>
    <w:p w14:paraId="2A73483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Enfant à partir de 6 ans :</w:t>
      </w:r>
      <w:r w:rsidRPr="004A0C20">
        <w:rPr>
          <w:rFonts w:ascii="Roboto" w:eastAsia="Times New Roman" w:hAnsi="Roboto" w:cs="Times New Roman"/>
          <w:color w:val="333333"/>
          <w:kern w:val="0"/>
          <w:sz w:val="19"/>
          <w:szCs w:val="19"/>
          <w:lang w:eastAsia="fr-FR"/>
          <w14:ligatures w14:val="none"/>
        </w:rPr>
        <w:t> 10 mg/kg toutes les 12 heures.</w:t>
      </w:r>
    </w:p>
    <w:p w14:paraId="23A5974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Insuffisance hépatique préexistante</w:t>
      </w:r>
    </w:p>
    <w:p w14:paraId="22AA6FD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La posologie devra être diminuée (par exemple, pour la tuberculose, 5 mg/kg/jour en 1 prise sans dépasser 900 mg/jour). On pourra s'aider du dosage de la </w:t>
      </w:r>
      <w:proofErr w:type="spellStart"/>
      <w:r w:rsidRPr="004A0C20">
        <w:rPr>
          <w:rFonts w:ascii="Roboto" w:eastAsia="Times New Roman" w:hAnsi="Roboto" w:cs="Times New Roman"/>
          <w:color w:val="333333"/>
          <w:kern w:val="0"/>
          <w:sz w:val="19"/>
          <w:szCs w:val="19"/>
          <w:lang w:eastAsia="fr-FR"/>
          <w14:ligatures w14:val="none"/>
        </w:rPr>
        <w:t>rifampicinémie</w:t>
      </w:r>
      <w:proofErr w:type="spellEnd"/>
      <w:r w:rsidRPr="004A0C20">
        <w:rPr>
          <w:rFonts w:ascii="Roboto" w:eastAsia="Times New Roman" w:hAnsi="Roboto" w:cs="Times New Roman"/>
          <w:color w:val="333333"/>
          <w:kern w:val="0"/>
          <w:sz w:val="19"/>
          <w:szCs w:val="19"/>
          <w:lang w:eastAsia="fr-FR"/>
          <w14:ligatures w14:val="none"/>
        </w:rPr>
        <w:t>.</w:t>
      </w:r>
    </w:p>
    <w:p w14:paraId="7F906EA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Insuffisance rénale</w:t>
      </w:r>
    </w:p>
    <w:p w14:paraId="62F1F2A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Aux posologies élevées dans les infections graves à germes Gram+ ou Gram-, le degré d'insuffisance rénale peut imposer d'espacer les prises :</w:t>
      </w:r>
    </w:p>
    <w:p w14:paraId="76F7DA58" w14:textId="77777777" w:rsidR="004A0C20" w:rsidRPr="004A0C20" w:rsidRDefault="004A0C20" w:rsidP="004A0C20">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insuffisance</w:t>
      </w:r>
      <w:proofErr w:type="gramEnd"/>
      <w:r w:rsidRPr="004A0C20">
        <w:rPr>
          <w:rFonts w:ascii="Roboto" w:eastAsia="Times New Roman" w:hAnsi="Roboto" w:cs="Times New Roman"/>
          <w:color w:val="333333"/>
          <w:kern w:val="0"/>
          <w:sz w:val="19"/>
          <w:szCs w:val="19"/>
          <w:lang w:eastAsia="fr-FR"/>
          <w14:ligatures w14:val="none"/>
        </w:rPr>
        <w:t xml:space="preserve"> rénale modérée (clairance de la créatinine comprise entre 60 et 30 </w:t>
      </w:r>
      <w:proofErr w:type="spellStart"/>
      <w:r w:rsidRPr="004A0C20">
        <w:rPr>
          <w:rFonts w:ascii="Roboto" w:eastAsia="Times New Roman" w:hAnsi="Roboto" w:cs="Times New Roman"/>
          <w:color w:val="333333"/>
          <w:kern w:val="0"/>
          <w:sz w:val="19"/>
          <w:szCs w:val="19"/>
          <w:lang w:eastAsia="fr-FR"/>
          <w14:ligatures w14:val="none"/>
        </w:rPr>
        <w:t>mL</w:t>
      </w:r>
      <w:proofErr w:type="spellEnd"/>
      <w:r w:rsidRPr="004A0C20">
        <w:rPr>
          <w:rFonts w:ascii="Roboto" w:eastAsia="Times New Roman" w:hAnsi="Roboto" w:cs="Times New Roman"/>
          <w:color w:val="333333"/>
          <w:kern w:val="0"/>
          <w:sz w:val="19"/>
          <w:szCs w:val="19"/>
          <w:lang w:eastAsia="fr-FR"/>
          <w14:ligatures w14:val="none"/>
        </w:rPr>
        <w:t xml:space="preserve">/mn) : vérifier la </w:t>
      </w:r>
      <w:proofErr w:type="spellStart"/>
      <w:r w:rsidRPr="004A0C20">
        <w:rPr>
          <w:rFonts w:ascii="Roboto" w:eastAsia="Times New Roman" w:hAnsi="Roboto" w:cs="Times New Roman"/>
          <w:color w:val="333333"/>
          <w:kern w:val="0"/>
          <w:sz w:val="19"/>
          <w:szCs w:val="19"/>
          <w:lang w:eastAsia="fr-FR"/>
          <w14:ligatures w14:val="none"/>
        </w:rPr>
        <w:t>rifampicinémie</w:t>
      </w:r>
      <w:proofErr w:type="spellEnd"/>
      <w:r w:rsidRPr="004A0C20">
        <w:rPr>
          <w:rFonts w:ascii="Roboto" w:eastAsia="Times New Roman" w:hAnsi="Roboto" w:cs="Times New Roman"/>
          <w:color w:val="333333"/>
          <w:kern w:val="0"/>
          <w:sz w:val="19"/>
          <w:szCs w:val="19"/>
          <w:lang w:eastAsia="fr-FR"/>
          <w14:ligatures w14:val="none"/>
        </w:rPr>
        <w:t xml:space="preserve"> au 2</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ou 3</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jour du traitement pour, éventuellement, espacer les prises,</w:t>
      </w:r>
    </w:p>
    <w:p w14:paraId="1D8059B5" w14:textId="77777777" w:rsidR="004A0C20" w:rsidRPr="004A0C20" w:rsidRDefault="004A0C20" w:rsidP="004A0C20">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insuffisance</w:t>
      </w:r>
      <w:proofErr w:type="gramEnd"/>
      <w:r w:rsidRPr="004A0C20">
        <w:rPr>
          <w:rFonts w:ascii="Roboto" w:eastAsia="Times New Roman" w:hAnsi="Roboto" w:cs="Times New Roman"/>
          <w:color w:val="333333"/>
          <w:kern w:val="0"/>
          <w:sz w:val="19"/>
          <w:szCs w:val="19"/>
          <w:lang w:eastAsia="fr-FR"/>
          <w14:ligatures w14:val="none"/>
        </w:rPr>
        <w:t xml:space="preserve"> rénale sévère (clairance de la créatinine inférieure à 30 </w:t>
      </w:r>
      <w:proofErr w:type="spellStart"/>
      <w:r w:rsidRPr="004A0C20">
        <w:rPr>
          <w:rFonts w:ascii="Roboto" w:eastAsia="Times New Roman" w:hAnsi="Roboto" w:cs="Times New Roman"/>
          <w:color w:val="333333"/>
          <w:kern w:val="0"/>
          <w:sz w:val="19"/>
          <w:szCs w:val="19"/>
          <w:lang w:eastAsia="fr-FR"/>
          <w14:ligatures w14:val="none"/>
        </w:rPr>
        <w:t>mL</w:t>
      </w:r>
      <w:proofErr w:type="spellEnd"/>
      <w:r w:rsidRPr="004A0C20">
        <w:rPr>
          <w:rFonts w:ascii="Roboto" w:eastAsia="Times New Roman" w:hAnsi="Roboto" w:cs="Times New Roman"/>
          <w:color w:val="333333"/>
          <w:kern w:val="0"/>
          <w:sz w:val="19"/>
          <w:szCs w:val="19"/>
          <w:lang w:eastAsia="fr-FR"/>
          <w14:ligatures w14:val="none"/>
        </w:rPr>
        <w:t>/mn) : l'espacement des prises est indispensable.</w:t>
      </w:r>
    </w:p>
    <w:p w14:paraId="5FFE326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Les jours de dialyse, la posologie à utiliser sera celle préconisée chez le sujet non insuffisant rénal.</w:t>
      </w:r>
    </w:p>
    <w:p w14:paraId="35E11F8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Mode d'administration</w:t>
      </w:r>
    </w:p>
    <w:p w14:paraId="1882F35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forme gélule est réservée aux adultes et aux enfants à partir de 6 ans.</w:t>
      </w:r>
    </w:p>
    <w:p w14:paraId="72BDB8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garantir une absorption optimale, les gélules de rifampicine doivent être prises de préférence à jeun, au moins ½ heure avant un repas.</w:t>
      </w:r>
    </w:p>
    <w:p w14:paraId="73554E0C"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AA012FA"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4A0C20" w:rsidRPr="004A0C20" w14:paraId="4343A821" w14:textId="77777777" w:rsidTr="004A0C20">
        <w:tc>
          <w:tcPr>
            <w:tcW w:w="0" w:type="auto"/>
            <w:shd w:val="clear" w:color="auto" w:fill="CC3300"/>
            <w:tcMar>
              <w:top w:w="0" w:type="dxa"/>
              <w:left w:w="75" w:type="dxa"/>
              <w:bottom w:w="0" w:type="dxa"/>
              <w:right w:w="75" w:type="dxa"/>
            </w:tcMar>
            <w:vAlign w:val="center"/>
            <w:hideMark/>
          </w:tcPr>
          <w:p w14:paraId="5A04DAF5"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750D68E"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CONTRE-INDICATIONS</w:t>
            </w:r>
            <w:r w:rsidRPr="004A0C20">
              <w:rPr>
                <w:rFonts w:ascii="Roboto" w:eastAsia="Times New Roman" w:hAnsi="Roboto" w:cs="Times New Roman"/>
                <w:kern w:val="0"/>
                <w:sz w:val="18"/>
                <w:szCs w:val="18"/>
                <w:lang w:eastAsia="fr-FR"/>
                <w14:ligatures w14:val="none"/>
              </w:rPr>
              <w:t> </w:t>
            </w:r>
          </w:p>
        </w:tc>
      </w:tr>
    </w:tbl>
    <w:p w14:paraId="1595C9B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Ce médicament ne doit jamais être utilisé dans les cas suivants :</w:t>
      </w:r>
    </w:p>
    <w:p w14:paraId="2E682F26"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chez</w:t>
      </w:r>
      <w:proofErr w:type="gramEnd"/>
      <w:r w:rsidRPr="004A0C20">
        <w:rPr>
          <w:rFonts w:ascii="Roboto" w:eastAsia="Times New Roman" w:hAnsi="Roboto" w:cs="Times New Roman"/>
          <w:color w:val="333333"/>
          <w:kern w:val="0"/>
          <w:sz w:val="19"/>
          <w:szCs w:val="19"/>
          <w:lang w:eastAsia="fr-FR"/>
          <w14:ligatures w14:val="none"/>
        </w:rPr>
        <w:t xml:space="preserve"> l'enfant en dessous de 6 ans en raison du risque de fausse route,</w:t>
      </w:r>
    </w:p>
    <w:p w14:paraId="6DE58B16"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hypersensibilité</w:t>
      </w:r>
      <w:proofErr w:type="gramEnd"/>
      <w:r w:rsidRPr="004A0C20">
        <w:rPr>
          <w:rFonts w:ascii="Roboto" w:eastAsia="Times New Roman" w:hAnsi="Roboto" w:cs="Times New Roman"/>
          <w:color w:val="333333"/>
          <w:kern w:val="0"/>
          <w:sz w:val="19"/>
          <w:szCs w:val="19"/>
          <w:lang w:eastAsia="fr-FR"/>
          <w14:ligatures w14:val="none"/>
        </w:rPr>
        <w:t xml:space="preserve"> à la substance active, aux </w:t>
      </w:r>
      <w:proofErr w:type="spellStart"/>
      <w:r w:rsidRPr="004A0C20">
        <w:rPr>
          <w:rFonts w:ascii="Roboto" w:eastAsia="Times New Roman" w:hAnsi="Roboto" w:cs="Times New Roman"/>
          <w:color w:val="333333"/>
          <w:kern w:val="0"/>
          <w:sz w:val="19"/>
          <w:szCs w:val="19"/>
          <w:lang w:eastAsia="fr-FR"/>
          <w14:ligatures w14:val="none"/>
        </w:rPr>
        <w:t>rifamycines</w:t>
      </w:r>
      <w:proofErr w:type="spellEnd"/>
      <w:r w:rsidRPr="004A0C20">
        <w:rPr>
          <w:rFonts w:ascii="Roboto" w:eastAsia="Times New Roman" w:hAnsi="Roboto" w:cs="Times New Roman"/>
          <w:color w:val="333333"/>
          <w:kern w:val="0"/>
          <w:sz w:val="19"/>
          <w:szCs w:val="19"/>
          <w:lang w:eastAsia="fr-FR"/>
          <w14:ligatures w14:val="none"/>
        </w:rPr>
        <w:t xml:space="preserve"> ou à l'un des excipients mentionnés à la rubrique </w:t>
      </w:r>
      <w:hyperlink r:id="rId5" w:anchor="composition" w:history="1">
        <w:r w:rsidRPr="004A0C20">
          <w:rPr>
            <w:rFonts w:ascii="Roboto" w:eastAsia="Times New Roman" w:hAnsi="Roboto" w:cs="Times New Roman"/>
            <w:color w:val="843D93"/>
            <w:kern w:val="0"/>
            <w:sz w:val="18"/>
            <w:szCs w:val="18"/>
            <w:u w:val="single"/>
            <w:lang w:eastAsia="fr-FR"/>
            <w14:ligatures w14:val="none"/>
          </w:rPr>
          <w:t>Composition</w:t>
        </w:r>
      </w:hyperlink>
      <w:r w:rsidRPr="004A0C20">
        <w:rPr>
          <w:rFonts w:ascii="Roboto" w:eastAsia="Times New Roman" w:hAnsi="Roboto" w:cs="Times New Roman"/>
          <w:color w:val="333333"/>
          <w:kern w:val="0"/>
          <w:sz w:val="19"/>
          <w:szCs w:val="19"/>
          <w:lang w:eastAsia="fr-FR"/>
          <w14:ligatures w14:val="none"/>
        </w:rPr>
        <w:t>,</w:t>
      </w:r>
    </w:p>
    <w:p w14:paraId="1A15B35F"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porphyries</w:t>
      </w:r>
      <w:proofErr w:type="gramEnd"/>
      <w:r w:rsidRPr="004A0C20">
        <w:rPr>
          <w:rFonts w:ascii="Roboto" w:eastAsia="Times New Roman" w:hAnsi="Roboto" w:cs="Times New Roman"/>
          <w:color w:val="333333"/>
          <w:kern w:val="0"/>
          <w:sz w:val="19"/>
          <w:szCs w:val="19"/>
          <w:lang w:eastAsia="fr-FR"/>
          <w14:ligatures w14:val="none"/>
        </w:rPr>
        <w:t>,</w:t>
      </w:r>
    </w:p>
    <w:p w14:paraId="4D8EF809"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les inhibiteurs de protéases boostés par ritonavir (voir rubrique </w:t>
      </w:r>
      <w:hyperlink r:id="rId6"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00CE57C7"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bictégravir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7"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070A0CFE"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cobicistat</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8"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27A11962"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dasabuvir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9"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6A5790EA"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délamanid</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0"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3C5F4E11"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grazoprévir</w:t>
      </w:r>
      <w:proofErr w:type="spellEnd"/>
      <w:r w:rsidRPr="004A0C20">
        <w:rPr>
          <w:rFonts w:ascii="Roboto" w:eastAsia="Times New Roman" w:hAnsi="Roboto" w:cs="Times New Roman"/>
          <w:color w:val="333333"/>
          <w:kern w:val="0"/>
          <w:sz w:val="19"/>
          <w:szCs w:val="19"/>
          <w:lang w:eastAsia="fr-FR"/>
          <w14:ligatures w14:val="none"/>
        </w:rPr>
        <w:t xml:space="preserve"> + </w:t>
      </w:r>
      <w:proofErr w:type="spellStart"/>
      <w:r w:rsidRPr="004A0C20">
        <w:rPr>
          <w:rFonts w:ascii="Roboto" w:eastAsia="Times New Roman" w:hAnsi="Roboto" w:cs="Times New Roman"/>
          <w:color w:val="333333"/>
          <w:kern w:val="0"/>
          <w:sz w:val="19"/>
          <w:szCs w:val="19"/>
          <w:lang w:eastAsia="fr-FR"/>
          <w14:ligatures w14:val="none"/>
        </w:rPr>
        <w:t>elbasvir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1"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2F42B74C"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w:t>
      </w:r>
      <w:proofErr w:type="spellStart"/>
      <w:r w:rsidRPr="004A0C20">
        <w:rPr>
          <w:rFonts w:ascii="Roboto" w:eastAsia="Times New Roman" w:hAnsi="Roboto" w:cs="Times New Roman"/>
          <w:color w:val="333333"/>
          <w:kern w:val="0"/>
          <w:sz w:val="19"/>
          <w:szCs w:val="19"/>
          <w:lang w:eastAsia="fr-FR"/>
          <w14:ligatures w14:val="none"/>
        </w:rPr>
        <w:t>isavuconazole</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2"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2D7E9F46"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lédipasvir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3"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6DB110E6"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la </w:t>
      </w:r>
      <w:proofErr w:type="spellStart"/>
      <w:r w:rsidRPr="004A0C20">
        <w:rPr>
          <w:rFonts w:ascii="Roboto" w:eastAsia="Times New Roman" w:hAnsi="Roboto" w:cs="Times New Roman"/>
          <w:color w:val="333333"/>
          <w:kern w:val="0"/>
          <w:sz w:val="19"/>
          <w:szCs w:val="19"/>
          <w:lang w:eastAsia="fr-FR"/>
          <w14:ligatures w14:val="none"/>
        </w:rPr>
        <w:t>lurasidone</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4"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3CE24AE8"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la </w:t>
      </w:r>
      <w:proofErr w:type="spellStart"/>
      <w:r w:rsidRPr="004A0C20">
        <w:rPr>
          <w:rFonts w:ascii="Roboto" w:eastAsia="Times New Roman" w:hAnsi="Roboto" w:cs="Times New Roman"/>
          <w:color w:val="333333"/>
          <w:kern w:val="0"/>
          <w:sz w:val="19"/>
          <w:szCs w:val="19"/>
          <w:lang w:eastAsia="fr-FR"/>
          <w14:ligatures w14:val="none"/>
        </w:rPr>
        <w:t>midostaurine</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5"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506069CA"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w:t>
      </w:r>
      <w:proofErr w:type="spellStart"/>
      <w:r w:rsidRPr="004A0C20">
        <w:rPr>
          <w:rFonts w:ascii="Roboto" w:eastAsia="Times New Roman" w:hAnsi="Roboto" w:cs="Times New Roman"/>
          <w:color w:val="333333"/>
          <w:kern w:val="0"/>
          <w:sz w:val="19"/>
          <w:szCs w:val="19"/>
          <w:lang w:eastAsia="fr-FR"/>
          <w14:ligatures w14:val="none"/>
        </w:rPr>
        <w:t>ombitasvir</w:t>
      </w:r>
      <w:proofErr w:type="spellEnd"/>
      <w:r w:rsidRPr="004A0C20">
        <w:rPr>
          <w:rFonts w:ascii="Roboto" w:eastAsia="Times New Roman" w:hAnsi="Roboto" w:cs="Times New Roman"/>
          <w:color w:val="333333"/>
          <w:kern w:val="0"/>
          <w:sz w:val="19"/>
          <w:szCs w:val="19"/>
          <w:lang w:eastAsia="fr-FR"/>
          <w14:ligatures w14:val="none"/>
        </w:rPr>
        <w:t xml:space="preserve"> + </w:t>
      </w:r>
      <w:proofErr w:type="spellStart"/>
      <w:r w:rsidRPr="004A0C20">
        <w:rPr>
          <w:rFonts w:ascii="Roboto" w:eastAsia="Times New Roman" w:hAnsi="Roboto" w:cs="Times New Roman"/>
          <w:color w:val="333333"/>
          <w:kern w:val="0"/>
          <w:sz w:val="19"/>
          <w:szCs w:val="19"/>
          <w:lang w:eastAsia="fr-FR"/>
          <w14:ligatures w14:val="none"/>
        </w:rPr>
        <w:t>paritaprévir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6"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1DC75D7A"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praziquantel (voir rubrique </w:t>
      </w:r>
      <w:hyperlink r:id="rId17"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0459C4CD"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la </w:t>
      </w:r>
      <w:proofErr w:type="spellStart"/>
      <w:r w:rsidRPr="004A0C20">
        <w:rPr>
          <w:rFonts w:ascii="Roboto" w:eastAsia="Times New Roman" w:hAnsi="Roboto" w:cs="Times New Roman"/>
          <w:color w:val="333333"/>
          <w:kern w:val="0"/>
          <w:sz w:val="19"/>
          <w:szCs w:val="19"/>
          <w:lang w:eastAsia="fr-FR"/>
          <w14:ligatures w14:val="none"/>
        </w:rPr>
        <w:t>rilpivirine</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8"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02DF97C9"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la </w:t>
      </w:r>
      <w:proofErr w:type="spellStart"/>
      <w:r w:rsidRPr="004A0C20">
        <w:rPr>
          <w:rFonts w:ascii="Roboto" w:eastAsia="Times New Roman" w:hAnsi="Roboto" w:cs="Times New Roman"/>
          <w:color w:val="333333"/>
          <w:kern w:val="0"/>
          <w:sz w:val="19"/>
          <w:szCs w:val="19"/>
          <w:lang w:eastAsia="fr-FR"/>
          <w14:ligatures w14:val="none"/>
        </w:rPr>
        <w:t>sofosbuvir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19"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56CEAD0B"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w:t>
      </w:r>
      <w:proofErr w:type="spellStart"/>
      <w:r w:rsidRPr="004A0C20">
        <w:rPr>
          <w:rFonts w:ascii="Roboto" w:eastAsia="Times New Roman" w:hAnsi="Roboto" w:cs="Times New Roman"/>
          <w:color w:val="333333"/>
          <w:kern w:val="0"/>
          <w:sz w:val="19"/>
          <w:szCs w:val="19"/>
          <w:lang w:eastAsia="fr-FR"/>
          <w14:ligatures w14:val="none"/>
        </w:rPr>
        <w:t>velpatasvir</w:t>
      </w:r>
      <w:proofErr w:type="spellEnd"/>
      <w:r w:rsidRPr="004A0C20">
        <w:rPr>
          <w:rFonts w:ascii="Roboto" w:eastAsia="Times New Roman" w:hAnsi="Roboto" w:cs="Times New Roman"/>
          <w:color w:val="333333"/>
          <w:kern w:val="0"/>
          <w:sz w:val="19"/>
          <w:szCs w:val="19"/>
          <w:lang w:eastAsia="fr-FR"/>
          <w14:ligatures w14:val="none"/>
        </w:rPr>
        <w:t xml:space="preserve"> (voir rubrique </w:t>
      </w:r>
      <w:hyperlink r:id="rId20"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51D17396" w14:textId="77777777" w:rsidR="004A0C20" w:rsidRPr="004A0C20" w:rsidRDefault="004A0C20" w:rsidP="004A0C20">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association</w:t>
      </w:r>
      <w:proofErr w:type="gramEnd"/>
      <w:r w:rsidRPr="004A0C20">
        <w:rPr>
          <w:rFonts w:ascii="Roboto" w:eastAsia="Times New Roman" w:hAnsi="Roboto" w:cs="Times New Roman"/>
          <w:color w:val="333333"/>
          <w:kern w:val="0"/>
          <w:sz w:val="19"/>
          <w:szCs w:val="19"/>
          <w:lang w:eastAsia="fr-FR"/>
          <w14:ligatures w14:val="none"/>
        </w:rPr>
        <w:t xml:space="preserve"> avec le voriconazole (voir rubrique </w:t>
      </w:r>
      <w:hyperlink r:id="rId21"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w:t>
      </w:r>
    </w:p>
    <w:p w14:paraId="6B4C243F"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3176E29"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4A0C20" w:rsidRPr="004A0C20" w14:paraId="68A058E4" w14:textId="77777777" w:rsidTr="004A0C20">
        <w:tc>
          <w:tcPr>
            <w:tcW w:w="0" w:type="auto"/>
            <w:shd w:val="clear" w:color="auto" w:fill="CC3300"/>
            <w:tcMar>
              <w:top w:w="0" w:type="dxa"/>
              <w:left w:w="75" w:type="dxa"/>
              <w:bottom w:w="0" w:type="dxa"/>
              <w:right w:w="75" w:type="dxa"/>
            </w:tcMar>
            <w:vAlign w:val="center"/>
            <w:hideMark/>
          </w:tcPr>
          <w:p w14:paraId="14E9FCAE"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F8F5442"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MISES EN GARDE et PRÉCAUTIONS D'EMPLOI</w:t>
            </w:r>
            <w:r w:rsidRPr="004A0C20">
              <w:rPr>
                <w:rFonts w:ascii="Roboto" w:eastAsia="Times New Roman" w:hAnsi="Roboto" w:cs="Times New Roman"/>
                <w:kern w:val="0"/>
                <w:sz w:val="18"/>
                <w:szCs w:val="18"/>
                <w:lang w:eastAsia="fr-FR"/>
                <w14:ligatures w14:val="none"/>
              </w:rPr>
              <w:t> </w:t>
            </w:r>
          </w:p>
        </w:tc>
      </w:tr>
    </w:tbl>
    <w:p w14:paraId="6A7F18D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Mises en garde spéciales</w:t>
      </w:r>
    </w:p>
    <w:p w14:paraId="28E8CD2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cours de traitement, l'émergence de mutants résistants, en particulier de staphylocoques, est possible. En conséquence une telle acquisition de résistance devra être recherchée lors d'un échec thérapeutique afin, le cas échéant, de modifier l'antibiothérapie.</w:t>
      </w:r>
    </w:p>
    <w:p w14:paraId="0613B50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Réactions cutanées sévères</w:t>
      </w:r>
    </w:p>
    <w:p w14:paraId="3D148F2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Des cas de réactions indésirables cutanées sévères (</w:t>
      </w:r>
      <w:proofErr w:type="spellStart"/>
      <w:r w:rsidRPr="004A0C20">
        <w:rPr>
          <w:rFonts w:ascii="Roboto" w:eastAsia="Times New Roman" w:hAnsi="Roboto" w:cs="Times New Roman"/>
          <w:color w:val="333333"/>
          <w:kern w:val="0"/>
          <w:sz w:val="19"/>
          <w:szCs w:val="19"/>
          <w:lang w:eastAsia="fr-FR"/>
          <w14:ligatures w14:val="none"/>
        </w:rPr>
        <w:t>SCARs</w:t>
      </w:r>
      <w:proofErr w:type="spellEnd"/>
      <w:r w:rsidRPr="004A0C20">
        <w:rPr>
          <w:rFonts w:ascii="Roboto" w:eastAsia="Times New Roman" w:hAnsi="Roboto" w:cs="Times New Roman"/>
          <w:color w:val="333333"/>
          <w:kern w:val="0"/>
          <w:sz w:val="19"/>
          <w:szCs w:val="19"/>
          <w:lang w:eastAsia="fr-FR"/>
          <w14:ligatures w14:val="none"/>
        </w:rPr>
        <w:t>), telles que le syndrome de Lyell ou nécrolyse épidermique toxique, le syndrome d'hypersensibilité médicamenteuse avec hyperéosinophilie et symptômes systémiques (syndrome DRESS), pouvant être fatales, ont été rapportés lors de l'utilisation de ce médicament (voir rubrique </w:t>
      </w:r>
      <w:hyperlink r:id="rId22" w:anchor="effets_indesirables" w:history="1">
        <w:r w:rsidRPr="004A0C20">
          <w:rPr>
            <w:rFonts w:ascii="Roboto" w:eastAsia="Times New Roman" w:hAnsi="Roboto" w:cs="Times New Roman"/>
            <w:color w:val="843D93"/>
            <w:kern w:val="0"/>
            <w:sz w:val="18"/>
            <w:szCs w:val="18"/>
            <w:u w:val="single"/>
            <w:lang w:eastAsia="fr-FR"/>
            <w14:ligatures w14:val="none"/>
          </w:rPr>
          <w:t>Effets indésirables</w:t>
        </w:r>
      </w:hyperlink>
      <w:r w:rsidRPr="004A0C20">
        <w:rPr>
          <w:rFonts w:ascii="Roboto" w:eastAsia="Times New Roman" w:hAnsi="Roboto" w:cs="Times New Roman"/>
          <w:color w:val="333333"/>
          <w:kern w:val="0"/>
          <w:sz w:val="19"/>
          <w:szCs w:val="19"/>
          <w:lang w:eastAsia="fr-FR"/>
          <w14:ligatures w14:val="none"/>
        </w:rPr>
        <w:t>). Si des signes ou symptômes se développent, le traitement par ce médicament doit être immédiatement arrêté et il convient d'indiquer au patient de consulter immédiatement son médecin.</w:t>
      </w:r>
    </w:p>
    <w:p w14:paraId="58C5B60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 traitement par RIMACTAN 300 mg, gélule doit être interrompu même si la raison de la survenue des signes et des symptômes ne peut être établie.</w:t>
      </w:r>
    </w:p>
    <w:p w14:paraId="33E5B82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Il est important de noter que des symptômes précoces des manifestations d'hypersensibilité, comme la fièvre, une </w:t>
      </w:r>
      <w:proofErr w:type="spellStart"/>
      <w:r w:rsidRPr="004A0C20">
        <w:rPr>
          <w:rFonts w:ascii="Roboto" w:eastAsia="Times New Roman" w:hAnsi="Roboto" w:cs="Times New Roman"/>
          <w:color w:val="333333"/>
          <w:kern w:val="0"/>
          <w:sz w:val="19"/>
          <w:szCs w:val="19"/>
          <w:lang w:eastAsia="fr-FR"/>
          <w14:ligatures w14:val="none"/>
        </w:rPr>
        <w:t>lymphadénopathie</w:t>
      </w:r>
      <w:proofErr w:type="spellEnd"/>
      <w:r w:rsidRPr="004A0C20">
        <w:rPr>
          <w:rFonts w:ascii="Roboto" w:eastAsia="Times New Roman" w:hAnsi="Roboto" w:cs="Times New Roman"/>
          <w:color w:val="333333"/>
          <w:kern w:val="0"/>
          <w:sz w:val="19"/>
          <w:szCs w:val="19"/>
          <w:lang w:eastAsia="fr-FR"/>
          <w14:ligatures w14:val="none"/>
        </w:rPr>
        <w:t xml:space="preserve"> ou des anomalies biologiques (incluant une hyperéosinophilie, des anomalies hépatiques), peuvent survenir, bien que l'éruption ne soit pas évidente.</w:t>
      </w:r>
    </w:p>
    <w:p w14:paraId="0ED5DF0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Excipients</w:t>
      </w:r>
    </w:p>
    <w:p w14:paraId="3DD9A78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raison de la présence de lactose, les patients présentant une intolérance au galactose, un déficit total en lactase ou un syndrome de malabsorption du glucose et du galactose (maladies héréditaires rares) ne doivent pas prendre ce médicament.</w:t>
      </w:r>
    </w:p>
    <w:p w14:paraId="61FC77F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Interactions</w:t>
      </w:r>
    </w:p>
    <w:p w14:paraId="2D928EE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Ce médicament ne doit généralement pas être utilisé en association avec : l'</w:t>
      </w:r>
      <w:proofErr w:type="spellStart"/>
      <w:r w:rsidRPr="004A0C20">
        <w:rPr>
          <w:rFonts w:ascii="Roboto" w:eastAsia="Times New Roman" w:hAnsi="Roboto" w:cs="Times New Roman"/>
          <w:color w:val="333333"/>
          <w:kern w:val="0"/>
          <w:sz w:val="19"/>
          <w:szCs w:val="19"/>
          <w:lang w:eastAsia="fr-FR"/>
          <w14:ligatures w14:val="none"/>
        </w:rPr>
        <w:t>abiratérone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apixaban</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atovaquone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aprémilast</w:t>
      </w:r>
      <w:proofErr w:type="spellEnd"/>
      <w:r w:rsidRPr="004A0C20">
        <w:rPr>
          <w:rFonts w:ascii="Roboto" w:eastAsia="Times New Roman" w:hAnsi="Roboto" w:cs="Times New Roman"/>
          <w:color w:val="333333"/>
          <w:kern w:val="0"/>
          <w:sz w:val="19"/>
          <w:szCs w:val="19"/>
          <w:lang w:eastAsia="fr-FR"/>
          <w14:ligatures w14:val="none"/>
        </w:rPr>
        <w:t xml:space="preserve"> l'</w:t>
      </w:r>
      <w:proofErr w:type="spellStart"/>
      <w:r w:rsidRPr="004A0C20">
        <w:rPr>
          <w:rFonts w:ascii="Roboto" w:eastAsia="Times New Roman" w:hAnsi="Roboto" w:cs="Times New Roman"/>
          <w:color w:val="333333"/>
          <w:kern w:val="0"/>
          <w:sz w:val="19"/>
          <w:szCs w:val="19"/>
          <w:lang w:eastAsia="fr-FR"/>
          <w14:ligatures w14:val="none"/>
        </w:rPr>
        <w:t>aprépitant</w:t>
      </w:r>
      <w:proofErr w:type="spellEnd"/>
      <w:r w:rsidRPr="004A0C20">
        <w:rPr>
          <w:rFonts w:ascii="Roboto" w:eastAsia="Times New Roman" w:hAnsi="Roboto" w:cs="Times New Roman"/>
          <w:color w:val="333333"/>
          <w:kern w:val="0"/>
          <w:sz w:val="19"/>
          <w:szCs w:val="19"/>
          <w:lang w:eastAsia="fr-FR"/>
          <w14:ligatures w14:val="none"/>
        </w:rPr>
        <w:t xml:space="preserve">, l'atorvastatine, la </w:t>
      </w:r>
      <w:proofErr w:type="spellStart"/>
      <w:r w:rsidRPr="004A0C20">
        <w:rPr>
          <w:rFonts w:ascii="Roboto" w:eastAsia="Times New Roman" w:hAnsi="Roboto" w:cs="Times New Roman"/>
          <w:color w:val="333333"/>
          <w:kern w:val="0"/>
          <w:sz w:val="19"/>
          <w:szCs w:val="19"/>
          <w:lang w:eastAsia="fr-FR"/>
          <w14:ligatures w14:val="none"/>
        </w:rPr>
        <w:t>bédaquiline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bosentan</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cannabidiol</w:t>
      </w:r>
      <w:proofErr w:type="spellEnd"/>
      <w:r w:rsidRPr="004A0C20">
        <w:rPr>
          <w:rFonts w:ascii="Roboto" w:eastAsia="Times New Roman" w:hAnsi="Roboto" w:cs="Times New Roman"/>
          <w:color w:val="333333"/>
          <w:kern w:val="0"/>
          <w:sz w:val="19"/>
          <w:szCs w:val="19"/>
          <w:lang w:eastAsia="fr-FR"/>
          <w14:ligatures w14:val="none"/>
        </w:rPr>
        <w:t xml:space="preserve">, le cyclophosphamide, la cyprotérone, le dabigatran, le </w:t>
      </w:r>
      <w:proofErr w:type="spellStart"/>
      <w:r w:rsidRPr="004A0C20">
        <w:rPr>
          <w:rFonts w:ascii="Roboto" w:eastAsia="Times New Roman" w:hAnsi="Roboto" w:cs="Times New Roman"/>
          <w:color w:val="333333"/>
          <w:kern w:val="0"/>
          <w:sz w:val="19"/>
          <w:szCs w:val="19"/>
          <w:lang w:eastAsia="fr-FR"/>
          <w14:ligatures w14:val="none"/>
        </w:rPr>
        <w:t>darolutamide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docétaxel</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dolutégravir</w:t>
      </w:r>
      <w:proofErr w:type="spellEnd"/>
      <w:r w:rsidRPr="004A0C20">
        <w:rPr>
          <w:rFonts w:ascii="Roboto" w:eastAsia="Times New Roman" w:hAnsi="Roboto" w:cs="Times New Roman"/>
          <w:color w:val="333333"/>
          <w:kern w:val="0"/>
          <w:sz w:val="19"/>
          <w:szCs w:val="19"/>
          <w:lang w:eastAsia="fr-FR"/>
          <w14:ligatures w14:val="none"/>
        </w:rPr>
        <w:t xml:space="preserve"> (uniquement en cas de résistance aux inhibiteurs d'intégrases), la </w:t>
      </w:r>
      <w:proofErr w:type="spellStart"/>
      <w:r w:rsidRPr="004A0C20">
        <w:rPr>
          <w:rFonts w:ascii="Roboto" w:eastAsia="Times New Roman" w:hAnsi="Roboto" w:cs="Times New Roman"/>
          <w:color w:val="333333"/>
          <w:kern w:val="0"/>
          <w:sz w:val="19"/>
          <w:szCs w:val="19"/>
          <w:lang w:eastAsia="fr-FR"/>
          <w14:ligatures w14:val="none"/>
        </w:rPr>
        <w:t>dronédarone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étoposide</w:t>
      </w:r>
      <w:proofErr w:type="spellEnd"/>
      <w:r w:rsidRPr="004A0C20">
        <w:rPr>
          <w:rFonts w:ascii="Roboto" w:eastAsia="Times New Roman" w:hAnsi="Roboto" w:cs="Times New Roman"/>
          <w:color w:val="333333"/>
          <w:kern w:val="0"/>
          <w:sz w:val="19"/>
          <w:szCs w:val="19"/>
          <w:lang w:eastAsia="fr-FR"/>
          <w14:ligatures w14:val="none"/>
        </w:rPr>
        <w:t xml:space="preserve">, le fentanyl, le </w:t>
      </w:r>
      <w:proofErr w:type="spellStart"/>
      <w:r w:rsidRPr="004A0C20">
        <w:rPr>
          <w:rFonts w:ascii="Roboto" w:eastAsia="Times New Roman" w:hAnsi="Roboto" w:cs="Times New Roman"/>
          <w:color w:val="333333"/>
          <w:kern w:val="0"/>
          <w:sz w:val="19"/>
          <w:szCs w:val="19"/>
          <w:lang w:eastAsia="fr-FR"/>
          <w14:ligatures w14:val="none"/>
        </w:rPr>
        <w:t>fluconazole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idélalisib</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dutastéride</w:t>
      </w:r>
      <w:proofErr w:type="spellEnd"/>
      <w:r w:rsidRPr="004A0C20">
        <w:rPr>
          <w:rFonts w:ascii="Roboto" w:eastAsia="Times New Roman" w:hAnsi="Roboto" w:cs="Times New Roman"/>
          <w:color w:val="333333"/>
          <w:kern w:val="0"/>
          <w:sz w:val="19"/>
          <w:szCs w:val="19"/>
          <w:lang w:eastAsia="fr-FR"/>
          <w14:ligatures w14:val="none"/>
        </w:rPr>
        <w:t xml:space="preserve"> et le finastéride, le </w:t>
      </w:r>
      <w:proofErr w:type="spellStart"/>
      <w:r w:rsidRPr="004A0C20">
        <w:rPr>
          <w:rFonts w:ascii="Roboto" w:eastAsia="Times New Roman" w:hAnsi="Roboto" w:cs="Times New Roman"/>
          <w:color w:val="333333"/>
          <w:kern w:val="0"/>
          <w:sz w:val="19"/>
          <w:szCs w:val="19"/>
          <w:lang w:eastAsia="fr-FR"/>
          <w14:ligatures w14:val="none"/>
        </w:rPr>
        <w:t>glasdégib</w:t>
      </w:r>
      <w:proofErr w:type="spellEnd"/>
      <w:r w:rsidRPr="004A0C20">
        <w:rPr>
          <w:rFonts w:ascii="Roboto" w:eastAsia="Times New Roman" w:hAnsi="Roboto" w:cs="Times New Roman"/>
          <w:color w:val="333333"/>
          <w:kern w:val="0"/>
          <w:sz w:val="19"/>
          <w:szCs w:val="19"/>
          <w:lang w:eastAsia="fr-FR"/>
          <w14:ligatures w14:val="none"/>
        </w:rPr>
        <w:t>, les inhibiteurs des tyrosine kinases métabolisés, l'</w:t>
      </w:r>
      <w:proofErr w:type="spellStart"/>
      <w:r w:rsidRPr="004A0C20">
        <w:rPr>
          <w:rFonts w:ascii="Roboto" w:eastAsia="Times New Roman" w:hAnsi="Roboto" w:cs="Times New Roman"/>
          <w:color w:val="333333"/>
          <w:kern w:val="0"/>
          <w:sz w:val="19"/>
          <w:szCs w:val="19"/>
          <w:lang w:eastAsia="fr-FR"/>
          <w14:ligatures w14:val="none"/>
        </w:rPr>
        <w:t>irinotécan</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itraconazole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ivacaftor,le</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kétoconazole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macitentan</w:t>
      </w:r>
      <w:proofErr w:type="spellEnd"/>
      <w:r w:rsidRPr="004A0C20">
        <w:rPr>
          <w:rFonts w:ascii="Roboto" w:eastAsia="Times New Roman" w:hAnsi="Roboto" w:cs="Times New Roman"/>
          <w:color w:val="333333"/>
          <w:kern w:val="0"/>
          <w:sz w:val="19"/>
          <w:szCs w:val="19"/>
          <w:lang w:eastAsia="fr-FR"/>
          <w14:ligatures w14:val="none"/>
        </w:rPr>
        <w:t xml:space="preserve">, la miansérine, le midazolam, le </w:t>
      </w:r>
      <w:proofErr w:type="spellStart"/>
      <w:r w:rsidRPr="004A0C20">
        <w:rPr>
          <w:rFonts w:ascii="Roboto" w:eastAsia="Times New Roman" w:hAnsi="Roboto" w:cs="Times New Roman"/>
          <w:color w:val="333333"/>
          <w:kern w:val="0"/>
          <w:sz w:val="19"/>
          <w:szCs w:val="19"/>
          <w:lang w:eastAsia="fr-FR"/>
          <w14:ligatures w14:val="none"/>
        </w:rPr>
        <w:t>naloxégol</w:t>
      </w:r>
      <w:proofErr w:type="spellEnd"/>
      <w:r w:rsidRPr="004A0C20">
        <w:rPr>
          <w:rFonts w:ascii="Roboto" w:eastAsia="Times New Roman" w:hAnsi="Roboto" w:cs="Times New Roman"/>
          <w:color w:val="333333"/>
          <w:kern w:val="0"/>
          <w:sz w:val="19"/>
          <w:szCs w:val="19"/>
          <w:lang w:eastAsia="fr-FR"/>
          <w14:ligatures w14:val="none"/>
        </w:rPr>
        <w:t xml:space="preserve">, la </w:t>
      </w:r>
      <w:proofErr w:type="spellStart"/>
      <w:r w:rsidRPr="004A0C20">
        <w:rPr>
          <w:rFonts w:ascii="Roboto" w:eastAsia="Times New Roman" w:hAnsi="Roboto" w:cs="Times New Roman"/>
          <w:color w:val="333333"/>
          <w:kern w:val="0"/>
          <w:sz w:val="19"/>
          <w:szCs w:val="19"/>
          <w:lang w:eastAsia="fr-FR"/>
          <w14:ligatures w14:val="none"/>
        </w:rPr>
        <w:t>néviparine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nimodipine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olaparib</w:t>
      </w:r>
      <w:proofErr w:type="spellEnd"/>
      <w:r w:rsidRPr="004A0C20">
        <w:rPr>
          <w:rFonts w:ascii="Roboto" w:eastAsia="Times New Roman" w:hAnsi="Roboto" w:cs="Times New Roman"/>
          <w:color w:val="333333"/>
          <w:kern w:val="0"/>
          <w:sz w:val="19"/>
          <w:szCs w:val="19"/>
          <w:lang w:eastAsia="fr-FR"/>
          <w14:ligatures w14:val="none"/>
        </w:rPr>
        <w:t>, l'oxycodone, l'</w:t>
      </w:r>
      <w:proofErr w:type="spellStart"/>
      <w:r w:rsidRPr="004A0C20">
        <w:rPr>
          <w:rFonts w:ascii="Roboto" w:eastAsia="Times New Roman" w:hAnsi="Roboto" w:cs="Times New Roman"/>
          <w:color w:val="333333"/>
          <w:kern w:val="0"/>
          <w:sz w:val="19"/>
          <w:szCs w:val="19"/>
          <w:lang w:eastAsia="fr-FR"/>
          <w14:ligatures w14:val="none"/>
        </w:rPr>
        <w:t>ozanimod,la</w:t>
      </w:r>
      <w:proofErr w:type="spellEnd"/>
      <w:r w:rsidRPr="004A0C20">
        <w:rPr>
          <w:rFonts w:ascii="Roboto" w:eastAsia="Times New Roman" w:hAnsi="Roboto" w:cs="Times New Roman"/>
          <w:color w:val="333333"/>
          <w:kern w:val="0"/>
          <w:sz w:val="19"/>
          <w:szCs w:val="19"/>
          <w:lang w:eastAsia="fr-FR"/>
          <w14:ligatures w14:val="none"/>
        </w:rPr>
        <w:t xml:space="preserve"> paclitaxel, le </w:t>
      </w:r>
      <w:proofErr w:type="spellStart"/>
      <w:r w:rsidRPr="004A0C20">
        <w:rPr>
          <w:rFonts w:ascii="Roboto" w:eastAsia="Times New Roman" w:hAnsi="Roboto" w:cs="Times New Roman"/>
          <w:color w:val="333333"/>
          <w:kern w:val="0"/>
          <w:sz w:val="19"/>
          <w:szCs w:val="19"/>
          <w:lang w:eastAsia="fr-FR"/>
          <w14:ligatures w14:val="none"/>
        </w:rPr>
        <w:t>posaconazole,la</w:t>
      </w:r>
      <w:proofErr w:type="spellEnd"/>
      <w:r w:rsidRPr="004A0C20">
        <w:rPr>
          <w:rFonts w:ascii="Roboto" w:eastAsia="Times New Roman" w:hAnsi="Roboto" w:cs="Times New Roman"/>
          <w:color w:val="333333"/>
          <w:kern w:val="0"/>
          <w:sz w:val="19"/>
          <w:szCs w:val="19"/>
          <w:lang w:eastAsia="fr-FR"/>
          <w14:ligatures w14:val="none"/>
        </w:rPr>
        <w:t xml:space="preserve"> quétiapine, la quinine, le </w:t>
      </w:r>
      <w:proofErr w:type="spellStart"/>
      <w:r w:rsidRPr="004A0C20">
        <w:rPr>
          <w:rFonts w:ascii="Roboto" w:eastAsia="Times New Roman" w:hAnsi="Roboto" w:cs="Times New Roman"/>
          <w:color w:val="333333"/>
          <w:kern w:val="0"/>
          <w:sz w:val="19"/>
          <w:szCs w:val="19"/>
          <w:lang w:eastAsia="fr-FR"/>
          <w14:ligatures w14:val="none"/>
        </w:rPr>
        <w:t>raltégravir</w:t>
      </w:r>
      <w:proofErr w:type="spellEnd"/>
      <w:r w:rsidRPr="004A0C20">
        <w:rPr>
          <w:rFonts w:ascii="Roboto" w:eastAsia="Times New Roman" w:hAnsi="Roboto" w:cs="Times New Roman"/>
          <w:color w:val="333333"/>
          <w:kern w:val="0"/>
          <w:sz w:val="19"/>
          <w:szCs w:val="19"/>
          <w:lang w:eastAsia="fr-FR"/>
          <w14:ligatures w14:val="none"/>
        </w:rPr>
        <w:t xml:space="preserve">, la </w:t>
      </w:r>
      <w:proofErr w:type="spellStart"/>
      <w:r w:rsidRPr="004A0C20">
        <w:rPr>
          <w:rFonts w:ascii="Roboto" w:eastAsia="Times New Roman" w:hAnsi="Roboto" w:cs="Times New Roman"/>
          <w:color w:val="333333"/>
          <w:kern w:val="0"/>
          <w:sz w:val="19"/>
          <w:szCs w:val="19"/>
          <w:lang w:eastAsia="fr-FR"/>
          <w14:ligatures w14:val="none"/>
        </w:rPr>
        <w:t>ranolazine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régorafénib</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rivaroxaban</w:t>
      </w:r>
      <w:proofErr w:type="spellEnd"/>
      <w:r w:rsidRPr="004A0C20">
        <w:rPr>
          <w:rFonts w:ascii="Roboto" w:eastAsia="Times New Roman" w:hAnsi="Roboto" w:cs="Times New Roman"/>
          <w:color w:val="333333"/>
          <w:kern w:val="0"/>
          <w:sz w:val="19"/>
          <w:szCs w:val="19"/>
          <w:lang w:eastAsia="fr-FR"/>
          <w14:ligatures w14:val="none"/>
        </w:rPr>
        <w:t xml:space="preserve">, la </w:t>
      </w:r>
      <w:proofErr w:type="spellStart"/>
      <w:r w:rsidRPr="004A0C20">
        <w:rPr>
          <w:rFonts w:ascii="Roboto" w:eastAsia="Times New Roman" w:hAnsi="Roboto" w:cs="Times New Roman"/>
          <w:color w:val="333333"/>
          <w:kern w:val="0"/>
          <w:sz w:val="19"/>
          <w:szCs w:val="19"/>
          <w:lang w:eastAsia="fr-FR"/>
          <w14:ligatures w14:val="none"/>
        </w:rPr>
        <w:t>sertraline</w:t>
      </w:r>
      <w:proofErr w:type="spellEnd"/>
      <w:r w:rsidRPr="004A0C20">
        <w:rPr>
          <w:rFonts w:ascii="Roboto" w:eastAsia="Times New Roman" w:hAnsi="Roboto" w:cs="Times New Roman"/>
          <w:color w:val="333333"/>
          <w:kern w:val="0"/>
          <w:sz w:val="19"/>
          <w:szCs w:val="19"/>
          <w:lang w:eastAsia="fr-FR"/>
          <w14:ligatures w14:val="none"/>
        </w:rPr>
        <w:t xml:space="preserve">, la simvastatine, le </w:t>
      </w:r>
      <w:proofErr w:type="spellStart"/>
      <w:r w:rsidRPr="004A0C20">
        <w:rPr>
          <w:rFonts w:ascii="Roboto" w:eastAsia="Times New Roman" w:hAnsi="Roboto" w:cs="Times New Roman"/>
          <w:color w:val="333333"/>
          <w:kern w:val="0"/>
          <w:sz w:val="19"/>
          <w:szCs w:val="19"/>
          <w:lang w:eastAsia="fr-FR"/>
          <w14:ligatures w14:val="none"/>
        </w:rPr>
        <w:t>ténofovir</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alafénamide</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ticagrélor</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télithromycine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ulipristal</w:t>
      </w:r>
      <w:proofErr w:type="spellEnd"/>
      <w:r w:rsidRPr="004A0C20">
        <w:rPr>
          <w:rFonts w:ascii="Roboto" w:eastAsia="Times New Roman" w:hAnsi="Roboto" w:cs="Times New Roman"/>
          <w:color w:val="333333"/>
          <w:kern w:val="0"/>
          <w:sz w:val="19"/>
          <w:szCs w:val="19"/>
          <w:lang w:eastAsia="fr-FR"/>
          <w14:ligatures w14:val="none"/>
        </w:rPr>
        <w:t xml:space="preserve">, les oestroprogestatifs et progestatifs contraceptifs, </w:t>
      </w:r>
      <w:proofErr w:type="spellStart"/>
      <w:r w:rsidRPr="004A0C20">
        <w:rPr>
          <w:rFonts w:ascii="Roboto" w:eastAsia="Times New Roman" w:hAnsi="Roboto" w:cs="Times New Roman"/>
          <w:color w:val="333333"/>
          <w:kern w:val="0"/>
          <w:sz w:val="19"/>
          <w:szCs w:val="19"/>
          <w:lang w:eastAsia="fr-FR"/>
          <w14:ligatures w14:val="none"/>
        </w:rPr>
        <w:t>sertraline</w:t>
      </w:r>
      <w:proofErr w:type="spellEnd"/>
      <w:r w:rsidRPr="004A0C20">
        <w:rPr>
          <w:rFonts w:ascii="Roboto" w:eastAsia="Times New Roman" w:hAnsi="Roboto" w:cs="Times New Roman"/>
          <w:color w:val="333333"/>
          <w:kern w:val="0"/>
          <w:sz w:val="19"/>
          <w:szCs w:val="19"/>
          <w:lang w:eastAsia="fr-FR"/>
          <w14:ligatures w14:val="none"/>
        </w:rPr>
        <w:t>, l'</w:t>
      </w:r>
      <w:proofErr w:type="spellStart"/>
      <w:r w:rsidRPr="004A0C20">
        <w:rPr>
          <w:rFonts w:ascii="Roboto" w:eastAsia="Times New Roman" w:hAnsi="Roboto" w:cs="Times New Roman"/>
          <w:color w:val="333333"/>
          <w:kern w:val="0"/>
          <w:sz w:val="19"/>
          <w:szCs w:val="19"/>
          <w:lang w:eastAsia="fr-FR"/>
          <w14:ligatures w14:val="none"/>
        </w:rPr>
        <w:t>ulipristal</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vémurafénib</w:t>
      </w:r>
      <w:proofErr w:type="spellEnd"/>
      <w:r w:rsidRPr="004A0C20">
        <w:rPr>
          <w:rFonts w:ascii="Roboto" w:eastAsia="Times New Roman" w:hAnsi="Roboto" w:cs="Times New Roman"/>
          <w:color w:val="333333"/>
          <w:kern w:val="0"/>
          <w:sz w:val="19"/>
          <w:szCs w:val="19"/>
          <w:lang w:eastAsia="fr-FR"/>
          <w14:ligatures w14:val="none"/>
        </w:rPr>
        <w:t xml:space="preserve">, le </w:t>
      </w:r>
      <w:proofErr w:type="spellStart"/>
      <w:r w:rsidRPr="004A0C20">
        <w:rPr>
          <w:rFonts w:ascii="Roboto" w:eastAsia="Times New Roman" w:hAnsi="Roboto" w:cs="Times New Roman"/>
          <w:color w:val="333333"/>
          <w:kern w:val="0"/>
          <w:sz w:val="19"/>
          <w:szCs w:val="19"/>
          <w:lang w:eastAsia="fr-FR"/>
          <w14:ligatures w14:val="none"/>
        </w:rPr>
        <w:t>vénétoclax</w:t>
      </w:r>
      <w:proofErr w:type="spellEnd"/>
      <w:r w:rsidRPr="004A0C20">
        <w:rPr>
          <w:rFonts w:ascii="Roboto" w:eastAsia="Times New Roman" w:hAnsi="Roboto" w:cs="Times New Roman"/>
          <w:color w:val="333333"/>
          <w:kern w:val="0"/>
          <w:sz w:val="19"/>
          <w:szCs w:val="19"/>
          <w:lang w:eastAsia="fr-FR"/>
          <w14:ligatures w14:val="none"/>
        </w:rPr>
        <w:t xml:space="preserve">, les </w:t>
      </w:r>
      <w:proofErr w:type="spellStart"/>
      <w:r w:rsidRPr="004A0C20">
        <w:rPr>
          <w:rFonts w:ascii="Roboto" w:eastAsia="Times New Roman" w:hAnsi="Roboto" w:cs="Times New Roman"/>
          <w:color w:val="333333"/>
          <w:kern w:val="0"/>
          <w:sz w:val="19"/>
          <w:szCs w:val="19"/>
          <w:lang w:eastAsia="fr-FR"/>
          <w14:ligatures w14:val="none"/>
        </w:rPr>
        <w:t>vinca</w:t>
      </w:r>
      <w:proofErr w:type="spellEnd"/>
      <w:r w:rsidRPr="004A0C20">
        <w:rPr>
          <w:rFonts w:ascii="Roboto" w:eastAsia="Times New Roman" w:hAnsi="Roboto" w:cs="Times New Roman"/>
          <w:color w:val="333333"/>
          <w:kern w:val="0"/>
          <w:sz w:val="19"/>
          <w:szCs w:val="19"/>
          <w:lang w:eastAsia="fr-FR"/>
          <w14:ligatures w14:val="none"/>
        </w:rPr>
        <w:t xml:space="preserve">-alcaloïdes cytotoxiques, le </w:t>
      </w:r>
      <w:proofErr w:type="spellStart"/>
      <w:r w:rsidRPr="004A0C20">
        <w:rPr>
          <w:rFonts w:ascii="Roboto" w:eastAsia="Times New Roman" w:hAnsi="Roboto" w:cs="Times New Roman"/>
          <w:color w:val="333333"/>
          <w:kern w:val="0"/>
          <w:sz w:val="19"/>
          <w:szCs w:val="19"/>
          <w:lang w:eastAsia="fr-FR"/>
          <w14:ligatures w14:val="none"/>
        </w:rPr>
        <w:t>vismodégib</w:t>
      </w:r>
      <w:proofErr w:type="spellEnd"/>
      <w:r w:rsidRPr="004A0C20">
        <w:rPr>
          <w:rFonts w:ascii="Roboto" w:eastAsia="Times New Roman" w:hAnsi="Roboto" w:cs="Times New Roman"/>
          <w:color w:val="333333"/>
          <w:kern w:val="0"/>
          <w:sz w:val="19"/>
          <w:szCs w:val="19"/>
          <w:lang w:eastAsia="fr-FR"/>
          <w14:ligatures w14:val="none"/>
        </w:rPr>
        <w:t xml:space="preserve"> et zidovudine (voir rubrique </w:t>
      </w:r>
      <w:hyperlink r:id="rId23" w:anchor="interactions" w:history="1">
        <w:r w:rsidRPr="004A0C20">
          <w:rPr>
            <w:rFonts w:ascii="Roboto" w:eastAsia="Times New Roman" w:hAnsi="Roboto" w:cs="Times New Roman"/>
            <w:color w:val="843D93"/>
            <w:kern w:val="0"/>
            <w:sz w:val="18"/>
            <w:szCs w:val="18"/>
            <w:u w:val="single"/>
            <w:lang w:eastAsia="fr-FR"/>
            <w14:ligatures w14:val="none"/>
          </w:rPr>
          <w:t>Interactions</w:t>
        </w:r>
      </w:hyperlink>
      <w:r w:rsidRPr="004A0C20">
        <w:rPr>
          <w:rFonts w:ascii="Roboto" w:eastAsia="Times New Roman" w:hAnsi="Roboto" w:cs="Times New Roman"/>
          <w:color w:val="333333"/>
          <w:kern w:val="0"/>
          <w:sz w:val="19"/>
          <w:szCs w:val="19"/>
          <w:lang w:eastAsia="fr-FR"/>
          <w14:ligatures w14:val="none"/>
        </w:rPr>
        <w:t>) ;</w:t>
      </w:r>
    </w:p>
    <w:p w14:paraId="6A81F84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Précautions d'emploi</w:t>
      </w:r>
    </w:p>
    <w:p w14:paraId="171EC85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on réinstaure un traitement par la rifampicine après un arrêt plus ou moins long, il convient d'administrer une posologie progressive. Chez l'adulte, on commencera par 150 mg par jour, dose que l'on augmente chaque jour de 150 mg jusqu'à ce que l'on atteigne la dose utile. Dans ces cas, on surveillera attentivement la fonction rénale. En cas exceptionnel d'apparition de thrombocytopénie, de purpura, d'anémie hémolytique ou d'insuffisance rénale sévère, on cessera immédiatement et définitivement la médication.</w:t>
      </w:r>
    </w:p>
    <w:p w14:paraId="12F941F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On évitera la prise discontinue de rifampicine en insistant, lors de la prescription, sur la nécessité d'une prise quotidienne régulière, excepté pour le traitement de la lèpre (voir rubrique </w:t>
      </w:r>
      <w:hyperlink r:id="rId24" w:anchor="posologie_et_mode_d_administration" w:history="1">
        <w:r w:rsidRPr="004A0C20">
          <w:rPr>
            <w:rFonts w:ascii="Roboto" w:eastAsia="Times New Roman" w:hAnsi="Roboto" w:cs="Times New Roman"/>
            <w:color w:val="843D93"/>
            <w:kern w:val="0"/>
            <w:sz w:val="18"/>
            <w:szCs w:val="18"/>
            <w:u w:val="single"/>
            <w:lang w:eastAsia="fr-FR"/>
            <w14:ligatures w14:val="none"/>
          </w:rPr>
          <w:t>Posologie et mode d'administration</w:t>
        </w:r>
      </w:hyperlink>
      <w:r w:rsidRPr="004A0C20">
        <w:rPr>
          <w:rFonts w:ascii="Roboto" w:eastAsia="Times New Roman" w:hAnsi="Roboto" w:cs="Times New Roman"/>
          <w:color w:val="333333"/>
          <w:kern w:val="0"/>
          <w:sz w:val="19"/>
          <w:szCs w:val="19"/>
          <w:lang w:eastAsia="fr-FR"/>
          <w14:ligatures w14:val="none"/>
        </w:rPr>
        <w:t>).</w:t>
      </w:r>
    </w:p>
    <w:p w14:paraId="7F64AB0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Après la fin du traitement, le produit éventuellement restant ne doit jamais être réutilisé sans avis médical (risque d'hypersensibilité).</w:t>
      </w:r>
    </w:p>
    <w:p w14:paraId="5402D10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régulière des fonctions hépatiques (en particulier en cas d'association avec l'isoniazide) et de l'hémogramme (+ plaquettes) par exemple au 8</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jour, à la fin du 1</w:t>
      </w:r>
      <w:r w:rsidRPr="004A0C20">
        <w:rPr>
          <w:rFonts w:ascii="Roboto" w:eastAsia="Times New Roman" w:hAnsi="Roboto" w:cs="Times New Roman"/>
          <w:color w:val="333333"/>
          <w:kern w:val="0"/>
          <w:sz w:val="14"/>
          <w:szCs w:val="14"/>
          <w:vertAlign w:val="superscript"/>
          <w:lang w:eastAsia="fr-FR"/>
          <w14:ligatures w14:val="none"/>
        </w:rPr>
        <w:t>er</w:t>
      </w:r>
      <w:r w:rsidRPr="004A0C20">
        <w:rPr>
          <w:rFonts w:ascii="Roboto" w:eastAsia="Times New Roman" w:hAnsi="Roboto" w:cs="Times New Roman"/>
          <w:color w:val="333333"/>
          <w:kern w:val="0"/>
          <w:sz w:val="19"/>
          <w:szCs w:val="19"/>
          <w:lang w:eastAsia="fr-FR"/>
          <w14:ligatures w14:val="none"/>
        </w:rPr>
        <w:t> mois, puis de façon plus espacée (2 mois).</w:t>
      </w:r>
    </w:p>
    <w:p w14:paraId="0B1A32D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La rifampicine peut entraîner une coloration anormale (jaune, orange, rouge, brune) des dents, de l'urine, de la sueur, des crachats et des larmes ; le patient doit en être informé. Elle peut colorer de façon permanente les lentilles de contact.</w:t>
      </w:r>
    </w:p>
    <w:p w14:paraId="071D438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posologie doit être adaptée en cas :</w:t>
      </w:r>
    </w:p>
    <w:p w14:paraId="08B3D787" w14:textId="77777777" w:rsidR="004A0C20" w:rsidRPr="004A0C20" w:rsidRDefault="004A0C20" w:rsidP="004A0C20">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d'insuffisance</w:t>
      </w:r>
      <w:proofErr w:type="gramEnd"/>
      <w:r w:rsidRPr="004A0C20">
        <w:rPr>
          <w:rFonts w:ascii="Roboto" w:eastAsia="Times New Roman" w:hAnsi="Roboto" w:cs="Times New Roman"/>
          <w:color w:val="333333"/>
          <w:kern w:val="0"/>
          <w:sz w:val="19"/>
          <w:szCs w:val="19"/>
          <w:lang w:eastAsia="fr-FR"/>
          <w14:ligatures w14:val="none"/>
        </w:rPr>
        <w:t xml:space="preserve"> hépatique préexistante,</w:t>
      </w:r>
    </w:p>
    <w:p w14:paraId="76600ED6" w14:textId="77777777" w:rsidR="004A0C20" w:rsidRPr="004A0C20" w:rsidRDefault="004A0C20" w:rsidP="004A0C20">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4A0C20">
        <w:rPr>
          <w:rFonts w:ascii="Roboto" w:eastAsia="Times New Roman" w:hAnsi="Roboto" w:cs="Times New Roman"/>
          <w:color w:val="333333"/>
          <w:kern w:val="0"/>
          <w:sz w:val="19"/>
          <w:szCs w:val="19"/>
          <w:lang w:eastAsia="fr-FR"/>
          <w14:ligatures w14:val="none"/>
        </w:rPr>
        <w:t>d'insuffisance</w:t>
      </w:r>
      <w:proofErr w:type="gramEnd"/>
      <w:r w:rsidRPr="004A0C20">
        <w:rPr>
          <w:rFonts w:ascii="Roboto" w:eastAsia="Times New Roman" w:hAnsi="Roboto" w:cs="Times New Roman"/>
          <w:color w:val="333333"/>
          <w:kern w:val="0"/>
          <w:sz w:val="19"/>
          <w:szCs w:val="19"/>
          <w:lang w:eastAsia="fr-FR"/>
          <w14:ligatures w14:val="none"/>
        </w:rPr>
        <w:t xml:space="preserve"> rénale pour les posologies élevées (voir rubrique </w:t>
      </w:r>
      <w:hyperlink r:id="rId25" w:anchor="posologie_et_mode_d_administration" w:history="1">
        <w:r w:rsidRPr="004A0C20">
          <w:rPr>
            <w:rFonts w:ascii="Roboto" w:eastAsia="Times New Roman" w:hAnsi="Roboto" w:cs="Times New Roman"/>
            <w:color w:val="843D93"/>
            <w:kern w:val="0"/>
            <w:sz w:val="18"/>
            <w:szCs w:val="18"/>
            <w:u w:val="single"/>
            <w:lang w:eastAsia="fr-FR"/>
            <w14:ligatures w14:val="none"/>
          </w:rPr>
          <w:t>Posologie et mode d'administration</w:t>
        </w:r>
      </w:hyperlink>
      <w:r w:rsidRPr="004A0C20">
        <w:rPr>
          <w:rFonts w:ascii="Roboto" w:eastAsia="Times New Roman" w:hAnsi="Roboto" w:cs="Times New Roman"/>
          <w:color w:val="333333"/>
          <w:kern w:val="0"/>
          <w:sz w:val="19"/>
          <w:szCs w:val="19"/>
          <w:lang w:eastAsia="fr-FR"/>
          <w14:ligatures w14:val="none"/>
        </w:rPr>
        <w:t>).</w:t>
      </w:r>
    </w:p>
    <w:p w14:paraId="5E261BC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i/>
          <w:iCs/>
          <w:color w:val="333333"/>
          <w:kern w:val="0"/>
          <w:sz w:val="19"/>
          <w:szCs w:val="19"/>
          <w:lang w:eastAsia="fr-FR"/>
          <w14:ligatures w14:val="none"/>
        </w:rPr>
        <w:t>Interactions avec les examens paracliniques</w:t>
      </w:r>
    </w:p>
    <w:p w14:paraId="7705959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rifampicine peut retarder l'excrétion biliaire des produits de contraste utilisés pour l'examen radiographique de la vésicule biliaire.</w:t>
      </w:r>
    </w:p>
    <w:p w14:paraId="2C49717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Les méthodes microbiologiques servant à déterminer la concentration plasmatique de l'acide folique et de la vitamine B12 ne sont pas utilisables pendant le traitement par la rifampicine.</w:t>
      </w:r>
    </w:p>
    <w:p w14:paraId="1892BC5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rifampicine entre en compétition à titre temporaire, avec la bilirubine et la BSP. Pour éviter les faux résultats positifs, le test à la BSP devra être réalisé le matin avant l'administration de la rifampicine.</w:t>
      </w:r>
    </w:p>
    <w:p w14:paraId="50514FB1"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A6B2891"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4A0C20" w:rsidRPr="004A0C20" w14:paraId="6726554B" w14:textId="77777777" w:rsidTr="004A0C20">
        <w:tc>
          <w:tcPr>
            <w:tcW w:w="0" w:type="auto"/>
            <w:shd w:val="clear" w:color="auto" w:fill="CC3300"/>
            <w:tcMar>
              <w:top w:w="0" w:type="dxa"/>
              <w:left w:w="75" w:type="dxa"/>
              <w:bottom w:w="0" w:type="dxa"/>
              <w:right w:w="75" w:type="dxa"/>
            </w:tcMar>
            <w:vAlign w:val="center"/>
            <w:hideMark/>
          </w:tcPr>
          <w:p w14:paraId="5C0038C3"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F8E74DF"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INTERACTIONS</w:t>
            </w:r>
            <w:r w:rsidRPr="004A0C20">
              <w:rPr>
                <w:rFonts w:ascii="Roboto" w:eastAsia="Times New Roman" w:hAnsi="Roboto" w:cs="Times New Roman"/>
                <w:kern w:val="0"/>
                <w:sz w:val="18"/>
                <w:szCs w:val="18"/>
                <w:lang w:eastAsia="fr-FR"/>
                <w14:ligatures w14:val="none"/>
              </w:rPr>
              <w:t> </w:t>
            </w:r>
          </w:p>
        </w:tc>
      </w:tr>
    </w:tbl>
    <w:p w14:paraId="44A3069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Anti-infectieux et INR</w:t>
      </w:r>
    </w:p>
    <w:p w14:paraId="3D41DC9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De nombreux cas d'augmentation de l'activité antivitamine K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w:t>
      </w:r>
    </w:p>
    <w:p w14:paraId="22B7D2F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L'utilisation concomitante de la rifampicine avec d'autres antibiotiques pouvant provoquer une coagulopathie dépendante de la vitamine K, telle que la </w:t>
      </w:r>
      <w:proofErr w:type="spellStart"/>
      <w:r w:rsidRPr="004A0C20">
        <w:rPr>
          <w:rFonts w:ascii="Roboto" w:eastAsia="Times New Roman" w:hAnsi="Roboto" w:cs="Times New Roman"/>
          <w:color w:val="333333"/>
          <w:kern w:val="0"/>
          <w:sz w:val="19"/>
          <w:szCs w:val="19"/>
          <w:lang w:eastAsia="fr-FR"/>
          <w14:ligatures w14:val="none"/>
        </w:rPr>
        <w:t>céfazoline</w:t>
      </w:r>
      <w:proofErr w:type="spellEnd"/>
      <w:r w:rsidRPr="004A0C20">
        <w:rPr>
          <w:rFonts w:ascii="Roboto" w:eastAsia="Times New Roman" w:hAnsi="Roboto" w:cs="Times New Roman"/>
          <w:color w:val="333333"/>
          <w:kern w:val="0"/>
          <w:sz w:val="19"/>
          <w:szCs w:val="19"/>
          <w:lang w:eastAsia="fr-FR"/>
          <w14:ligatures w14:val="none"/>
        </w:rPr>
        <w:t xml:space="preserve"> (ou d'autres céphalosporines à chaînes latérales N-</w:t>
      </w:r>
      <w:proofErr w:type="spellStart"/>
      <w:r w:rsidRPr="004A0C20">
        <w:rPr>
          <w:rFonts w:ascii="Roboto" w:eastAsia="Times New Roman" w:hAnsi="Roboto" w:cs="Times New Roman"/>
          <w:color w:val="333333"/>
          <w:kern w:val="0"/>
          <w:sz w:val="19"/>
          <w:szCs w:val="19"/>
          <w:lang w:eastAsia="fr-FR"/>
          <w14:ligatures w14:val="none"/>
        </w:rPr>
        <w:t>méthylthiotétrazole</w:t>
      </w:r>
      <w:proofErr w:type="spellEnd"/>
      <w:r w:rsidRPr="004A0C20">
        <w:rPr>
          <w:rFonts w:ascii="Roboto" w:eastAsia="Times New Roman" w:hAnsi="Roboto" w:cs="Times New Roman"/>
          <w:color w:val="333333"/>
          <w:kern w:val="0"/>
          <w:sz w:val="19"/>
          <w:szCs w:val="19"/>
          <w:lang w:eastAsia="fr-FR"/>
          <w14:ligatures w14:val="none"/>
        </w:rPr>
        <w:t xml:space="preserve">) doit être évitée car elle peut entraîner de graves troubles de la coagulation pouvant être fatals (surtout à doses élevées). En cas de </w:t>
      </w:r>
      <w:proofErr w:type="spellStart"/>
      <w:r w:rsidRPr="004A0C20">
        <w:rPr>
          <w:rFonts w:ascii="Roboto" w:eastAsia="Times New Roman" w:hAnsi="Roboto" w:cs="Times New Roman"/>
          <w:color w:val="333333"/>
          <w:kern w:val="0"/>
          <w:sz w:val="19"/>
          <w:szCs w:val="19"/>
          <w:lang w:eastAsia="fr-FR"/>
          <w14:ligatures w14:val="none"/>
        </w:rPr>
        <w:t>co</w:t>
      </w:r>
      <w:proofErr w:type="spellEnd"/>
      <w:r w:rsidRPr="004A0C20">
        <w:rPr>
          <w:rFonts w:ascii="Roboto" w:eastAsia="Times New Roman" w:hAnsi="Roboto" w:cs="Times New Roman"/>
          <w:color w:val="333333"/>
          <w:kern w:val="0"/>
          <w:sz w:val="19"/>
          <w:szCs w:val="19"/>
          <w:lang w:eastAsia="fr-FR"/>
          <w14:ligatures w14:val="none"/>
        </w:rPr>
        <w:t>-administration, il est recommandé de renforcer la surveillance de l'INR.</w:t>
      </w:r>
    </w:p>
    <w:p w14:paraId="01240B5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Induction enzymatique</w:t>
      </w:r>
    </w:p>
    <w:p w14:paraId="5ED4E83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rifampicine est un inducteur puissant d'enzymes du métabolisme, notamment les cytochromes P450 (CYP450) 1A2, 2B6, 2C8, 2C9, 2C19 et 3A4, les UDP-</w:t>
      </w:r>
      <w:proofErr w:type="spellStart"/>
      <w:r w:rsidRPr="004A0C20">
        <w:rPr>
          <w:rFonts w:ascii="Roboto" w:eastAsia="Times New Roman" w:hAnsi="Roboto" w:cs="Times New Roman"/>
          <w:color w:val="333333"/>
          <w:kern w:val="0"/>
          <w:sz w:val="19"/>
          <w:szCs w:val="19"/>
          <w:lang w:eastAsia="fr-FR"/>
          <w14:ligatures w14:val="none"/>
        </w:rPr>
        <w:t>glucuronosyltransférases</w:t>
      </w:r>
      <w:proofErr w:type="spellEnd"/>
      <w:r w:rsidRPr="004A0C20">
        <w:rPr>
          <w:rFonts w:ascii="Roboto" w:eastAsia="Times New Roman" w:hAnsi="Roboto" w:cs="Times New Roman"/>
          <w:color w:val="333333"/>
          <w:kern w:val="0"/>
          <w:sz w:val="19"/>
          <w:szCs w:val="19"/>
          <w:lang w:eastAsia="fr-FR"/>
          <w14:ligatures w14:val="none"/>
        </w:rPr>
        <w:t xml:space="preserve"> (UGT). Des études </w:t>
      </w:r>
      <w:r w:rsidRPr="004A0C20">
        <w:rPr>
          <w:rFonts w:ascii="Roboto" w:eastAsia="Times New Roman" w:hAnsi="Roboto" w:cs="Times New Roman"/>
          <w:i/>
          <w:iCs/>
          <w:color w:val="333333"/>
          <w:kern w:val="0"/>
          <w:sz w:val="19"/>
          <w:szCs w:val="19"/>
          <w:lang w:eastAsia="fr-FR"/>
          <w14:ligatures w14:val="none"/>
        </w:rPr>
        <w:t>in vitro</w:t>
      </w:r>
      <w:r w:rsidRPr="004A0C20">
        <w:rPr>
          <w:rFonts w:ascii="Roboto" w:eastAsia="Times New Roman" w:hAnsi="Roboto" w:cs="Times New Roman"/>
          <w:color w:val="333333"/>
          <w:kern w:val="0"/>
          <w:sz w:val="19"/>
          <w:szCs w:val="19"/>
          <w:lang w:eastAsia="fr-FR"/>
          <w14:ligatures w14:val="none"/>
        </w:rPr>
        <w:t> et </w:t>
      </w:r>
      <w:r w:rsidRPr="004A0C20">
        <w:rPr>
          <w:rFonts w:ascii="Roboto" w:eastAsia="Times New Roman" w:hAnsi="Roboto" w:cs="Times New Roman"/>
          <w:i/>
          <w:iCs/>
          <w:color w:val="333333"/>
          <w:kern w:val="0"/>
          <w:sz w:val="19"/>
          <w:szCs w:val="19"/>
          <w:lang w:eastAsia="fr-FR"/>
          <w14:ligatures w14:val="none"/>
        </w:rPr>
        <w:t>in vivo</w:t>
      </w:r>
      <w:r w:rsidRPr="004A0C20">
        <w:rPr>
          <w:rFonts w:ascii="Roboto" w:eastAsia="Times New Roman" w:hAnsi="Roboto" w:cs="Times New Roman"/>
          <w:color w:val="333333"/>
          <w:kern w:val="0"/>
          <w:sz w:val="19"/>
          <w:szCs w:val="19"/>
          <w:lang w:eastAsia="fr-FR"/>
          <w14:ligatures w14:val="none"/>
        </w:rPr>
        <w:t xml:space="preserve"> ont montré qu'elle induit également les transporteurs tels que la P-glycoprotéine (P-gp), la </w:t>
      </w:r>
      <w:proofErr w:type="spellStart"/>
      <w:r w:rsidRPr="004A0C20">
        <w:rPr>
          <w:rFonts w:ascii="Roboto" w:eastAsia="Times New Roman" w:hAnsi="Roboto" w:cs="Times New Roman"/>
          <w:color w:val="333333"/>
          <w:kern w:val="0"/>
          <w:sz w:val="19"/>
          <w:szCs w:val="19"/>
          <w:lang w:eastAsia="fr-FR"/>
          <w14:ligatures w14:val="none"/>
        </w:rPr>
        <w:t>Breast</w:t>
      </w:r>
      <w:proofErr w:type="spellEnd"/>
      <w:r w:rsidRPr="004A0C20">
        <w:rPr>
          <w:rFonts w:ascii="Roboto" w:eastAsia="Times New Roman" w:hAnsi="Roboto" w:cs="Times New Roman"/>
          <w:color w:val="333333"/>
          <w:kern w:val="0"/>
          <w:sz w:val="19"/>
          <w:szCs w:val="19"/>
          <w:lang w:eastAsia="fr-FR"/>
          <w14:ligatures w14:val="none"/>
        </w:rPr>
        <w:t xml:space="preserve"> Cancer Resistance </w:t>
      </w:r>
      <w:proofErr w:type="spellStart"/>
      <w:r w:rsidRPr="004A0C20">
        <w:rPr>
          <w:rFonts w:ascii="Roboto" w:eastAsia="Times New Roman" w:hAnsi="Roboto" w:cs="Times New Roman"/>
          <w:color w:val="333333"/>
          <w:kern w:val="0"/>
          <w:sz w:val="19"/>
          <w:szCs w:val="19"/>
          <w:lang w:eastAsia="fr-FR"/>
          <w14:ligatures w14:val="none"/>
        </w:rPr>
        <w:t>Protein</w:t>
      </w:r>
      <w:proofErr w:type="spellEnd"/>
      <w:r w:rsidRPr="004A0C20">
        <w:rPr>
          <w:rFonts w:ascii="Roboto" w:eastAsia="Times New Roman" w:hAnsi="Roboto" w:cs="Times New Roman"/>
          <w:color w:val="333333"/>
          <w:kern w:val="0"/>
          <w:sz w:val="19"/>
          <w:szCs w:val="19"/>
          <w:lang w:eastAsia="fr-FR"/>
          <w14:ligatures w14:val="none"/>
        </w:rPr>
        <w:t xml:space="preserve"> (BCRP) et la protéine 2 de </w:t>
      </w:r>
      <w:proofErr w:type="spellStart"/>
      <w:r w:rsidRPr="004A0C20">
        <w:rPr>
          <w:rFonts w:ascii="Roboto" w:eastAsia="Times New Roman" w:hAnsi="Roboto" w:cs="Times New Roman"/>
          <w:color w:val="333333"/>
          <w:kern w:val="0"/>
          <w:sz w:val="19"/>
          <w:szCs w:val="19"/>
          <w:lang w:eastAsia="fr-FR"/>
          <w14:ligatures w14:val="none"/>
        </w:rPr>
        <w:t>multi-résistance</w:t>
      </w:r>
      <w:proofErr w:type="spellEnd"/>
      <w:r w:rsidRPr="004A0C20">
        <w:rPr>
          <w:rFonts w:ascii="Roboto" w:eastAsia="Times New Roman" w:hAnsi="Roboto" w:cs="Times New Roman"/>
          <w:color w:val="333333"/>
          <w:kern w:val="0"/>
          <w:sz w:val="19"/>
          <w:szCs w:val="19"/>
          <w:lang w:eastAsia="fr-FR"/>
          <w14:ligatures w14:val="none"/>
        </w:rPr>
        <w:t xml:space="preserve"> aux médicaments (MRP2 - </w:t>
      </w:r>
      <w:proofErr w:type="spellStart"/>
      <w:r w:rsidRPr="004A0C20">
        <w:rPr>
          <w:rFonts w:ascii="Roboto" w:eastAsia="Times New Roman" w:hAnsi="Roboto" w:cs="Times New Roman"/>
          <w:color w:val="333333"/>
          <w:kern w:val="0"/>
          <w:sz w:val="19"/>
          <w:szCs w:val="19"/>
          <w:lang w:eastAsia="fr-FR"/>
          <w14:ligatures w14:val="none"/>
        </w:rPr>
        <w:t>Multidrug</w:t>
      </w:r>
      <w:proofErr w:type="spellEnd"/>
      <w:r w:rsidRPr="004A0C20">
        <w:rPr>
          <w:rFonts w:ascii="Roboto" w:eastAsia="Times New Roman" w:hAnsi="Roboto" w:cs="Times New Roman"/>
          <w:color w:val="333333"/>
          <w:kern w:val="0"/>
          <w:sz w:val="19"/>
          <w:szCs w:val="19"/>
          <w:lang w:eastAsia="fr-FR"/>
          <w14:ligatures w14:val="none"/>
        </w:rPr>
        <w:t xml:space="preserve"> Resistance </w:t>
      </w:r>
      <w:proofErr w:type="spellStart"/>
      <w:r w:rsidRPr="004A0C20">
        <w:rPr>
          <w:rFonts w:ascii="Roboto" w:eastAsia="Times New Roman" w:hAnsi="Roboto" w:cs="Times New Roman"/>
          <w:color w:val="333333"/>
          <w:kern w:val="0"/>
          <w:sz w:val="19"/>
          <w:szCs w:val="19"/>
          <w:lang w:eastAsia="fr-FR"/>
          <w14:ligatures w14:val="none"/>
        </w:rPr>
        <w:t>associated</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Protein</w:t>
      </w:r>
      <w:proofErr w:type="spellEnd"/>
      <w:r w:rsidRPr="004A0C20">
        <w:rPr>
          <w:rFonts w:ascii="Roboto" w:eastAsia="Times New Roman" w:hAnsi="Roboto" w:cs="Times New Roman"/>
          <w:color w:val="333333"/>
          <w:kern w:val="0"/>
          <w:sz w:val="19"/>
          <w:szCs w:val="19"/>
          <w:lang w:eastAsia="fr-FR"/>
          <w14:ligatures w14:val="none"/>
        </w:rPr>
        <w:t> 2). De nombreux médicaments sont des substrats d'au moins une ou plusieurs enzymes ou/et de ces transporteurs. A l'instauration ou à l'arrêt de l'administration de ces médicaments, un ajustement de la posologie de ces traitements peut être nécessaire afin de maintenir des concentrations sanguines optimales sachant que l'effet inducteur atteint un niveau maximum en 15 jours environ et persiste 1 à 2 semaines après l'arrêt de la rifampicine.</w:t>
      </w:r>
    </w:p>
    <w:p w14:paraId="28DE7D3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Associations contre-indiquées (voir rubrique </w:t>
      </w:r>
      <w:hyperlink r:id="rId26" w:anchor="contre_indications" w:history="1">
        <w:r w:rsidRPr="004A0C20">
          <w:rPr>
            <w:rFonts w:ascii="Roboto" w:eastAsia="Times New Roman" w:hAnsi="Roboto" w:cs="Times New Roman"/>
            <w:b/>
            <w:bCs/>
            <w:color w:val="843D93"/>
            <w:kern w:val="0"/>
            <w:sz w:val="18"/>
            <w:szCs w:val="18"/>
            <w:u w:val="single"/>
            <w:lang w:eastAsia="fr-FR"/>
            <w14:ligatures w14:val="none"/>
          </w:rPr>
          <w:t>Contre-indications</w:t>
        </w:r>
      </w:hyperlink>
      <w:r w:rsidRPr="004A0C20">
        <w:rPr>
          <w:rFonts w:ascii="Roboto" w:eastAsia="Times New Roman" w:hAnsi="Roboto" w:cs="Times New Roman"/>
          <w:b/>
          <w:bCs/>
          <w:color w:val="333333"/>
          <w:kern w:val="0"/>
          <w:sz w:val="19"/>
          <w:szCs w:val="19"/>
          <w:u w:val="single"/>
          <w:lang w:eastAsia="fr-FR"/>
          <w14:ligatures w14:val="none"/>
        </w:rPr>
        <w:t>)</w:t>
      </w:r>
    </w:p>
    <w:p w14:paraId="7A76CB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Bictégravir</w:t>
      </w:r>
      <w:proofErr w:type="spellEnd"/>
    </w:p>
    <w:p w14:paraId="3A76288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très importante des concentrations de </w:t>
      </w:r>
      <w:proofErr w:type="spellStart"/>
      <w:r w:rsidRPr="004A0C20">
        <w:rPr>
          <w:rFonts w:ascii="Roboto" w:eastAsia="Times New Roman" w:hAnsi="Roboto" w:cs="Times New Roman"/>
          <w:color w:val="333333"/>
          <w:kern w:val="0"/>
          <w:sz w:val="19"/>
          <w:szCs w:val="19"/>
          <w:lang w:eastAsia="fr-FR"/>
          <w14:ligatures w14:val="none"/>
        </w:rPr>
        <w:t>bictégravir</w:t>
      </w:r>
      <w:proofErr w:type="spellEnd"/>
      <w:r w:rsidRPr="004A0C20">
        <w:rPr>
          <w:rFonts w:ascii="Roboto" w:eastAsia="Times New Roman" w:hAnsi="Roboto" w:cs="Times New Roman"/>
          <w:color w:val="333333"/>
          <w:kern w:val="0"/>
          <w:sz w:val="19"/>
          <w:szCs w:val="19"/>
          <w:lang w:eastAsia="fr-FR"/>
          <w14:ligatures w14:val="none"/>
        </w:rPr>
        <w:t>, avec risque de perte d'efficacité.</w:t>
      </w:r>
    </w:p>
    <w:p w14:paraId="61FCC86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Cobicistat</w:t>
      </w:r>
      <w:proofErr w:type="spellEnd"/>
    </w:p>
    <w:p w14:paraId="39A04A8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4A0C20">
        <w:rPr>
          <w:rFonts w:ascii="Roboto" w:eastAsia="Times New Roman" w:hAnsi="Roboto" w:cs="Times New Roman"/>
          <w:color w:val="333333"/>
          <w:kern w:val="0"/>
          <w:sz w:val="19"/>
          <w:szCs w:val="19"/>
          <w:lang w:eastAsia="fr-FR"/>
          <w14:ligatures w14:val="none"/>
        </w:rPr>
        <w:t>cobicistat</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5558826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Dasabuvir</w:t>
      </w:r>
      <w:proofErr w:type="spellEnd"/>
    </w:p>
    <w:p w14:paraId="3F8F5CF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plasmatiques du </w:t>
      </w:r>
      <w:proofErr w:type="spellStart"/>
      <w:r w:rsidRPr="004A0C20">
        <w:rPr>
          <w:rFonts w:ascii="Roboto" w:eastAsia="Times New Roman" w:hAnsi="Roboto" w:cs="Times New Roman"/>
          <w:color w:val="333333"/>
          <w:kern w:val="0"/>
          <w:sz w:val="19"/>
          <w:szCs w:val="19"/>
          <w:lang w:eastAsia="fr-FR"/>
          <w14:ligatures w14:val="none"/>
        </w:rPr>
        <w:t>dasabuvir</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79EE6EB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Délamanid</w:t>
      </w:r>
      <w:proofErr w:type="spellEnd"/>
    </w:p>
    <w:p w14:paraId="4B1AF79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délamanid</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498446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Grazoprévir</w:t>
      </w:r>
      <w:proofErr w:type="spellEnd"/>
      <w:r w:rsidRPr="004A0C20">
        <w:rPr>
          <w:rFonts w:ascii="Roboto" w:eastAsia="Times New Roman" w:hAnsi="Roboto" w:cs="Times New Roman"/>
          <w:b/>
          <w:bCs/>
          <w:color w:val="333333"/>
          <w:kern w:val="0"/>
          <w:sz w:val="19"/>
          <w:szCs w:val="19"/>
          <w:lang w:eastAsia="fr-FR"/>
          <w14:ligatures w14:val="none"/>
        </w:rPr>
        <w:t xml:space="preserve"> + </w:t>
      </w:r>
      <w:proofErr w:type="spellStart"/>
      <w:r w:rsidRPr="004A0C20">
        <w:rPr>
          <w:rFonts w:ascii="Roboto" w:eastAsia="Times New Roman" w:hAnsi="Roboto" w:cs="Times New Roman"/>
          <w:b/>
          <w:bCs/>
          <w:color w:val="333333"/>
          <w:kern w:val="0"/>
          <w:sz w:val="19"/>
          <w:szCs w:val="19"/>
          <w:lang w:eastAsia="fr-FR"/>
          <w14:ligatures w14:val="none"/>
        </w:rPr>
        <w:t>Elbasvir</w:t>
      </w:r>
      <w:proofErr w:type="spellEnd"/>
    </w:p>
    <w:p w14:paraId="4085DFC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de </w:t>
      </w:r>
      <w:proofErr w:type="spellStart"/>
      <w:r w:rsidRPr="004A0C20">
        <w:rPr>
          <w:rFonts w:ascii="Roboto" w:eastAsia="Times New Roman" w:hAnsi="Roboto" w:cs="Times New Roman"/>
          <w:color w:val="333333"/>
          <w:kern w:val="0"/>
          <w:sz w:val="19"/>
          <w:szCs w:val="19"/>
          <w:lang w:eastAsia="fr-FR"/>
          <w14:ligatures w14:val="none"/>
        </w:rPr>
        <w:t>grazoprévir</w:t>
      </w:r>
      <w:proofErr w:type="spellEnd"/>
      <w:r w:rsidRPr="004A0C20">
        <w:rPr>
          <w:rFonts w:ascii="Roboto" w:eastAsia="Times New Roman" w:hAnsi="Roboto" w:cs="Times New Roman"/>
          <w:color w:val="333333"/>
          <w:kern w:val="0"/>
          <w:sz w:val="19"/>
          <w:szCs w:val="19"/>
          <w:lang w:eastAsia="fr-FR"/>
          <w14:ligatures w14:val="none"/>
        </w:rPr>
        <w:t xml:space="preserve"> et d'</w:t>
      </w:r>
      <w:proofErr w:type="spellStart"/>
      <w:r w:rsidRPr="004A0C20">
        <w:rPr>
          <w:rFonts w:ascii="Roboto" w:eastAsia="Times New Roman" w:hAnsi="Roboto" w:cs="Times New Roman"/>
          <w:color w:val="333333"/>
          <w:kern w:val="0"/>
          <w:sz w:val="19"/>
          <w:szCs w:val="19"/>
          <w:lang w:eastAsia="fr-FR"/>
          <w14:ligatures w14:val="none"/>
        </w:rPr>
        <w:t>elbasvir</w:t>
      </w:r>
      <w:proofErr w:type="spellEnd"/>
      <w:r w:rsidRPr="004A0C20">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6AE637B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Inhibiteurs de protéases boostés par ritonavir (</w:t>
      </w:r>
      <w:proofErr w:type="spellStart"/>
      <w:r w:rsidRPr="004A0C20">
        <w:rPr>
          <w:rFonts w:ascii="Roboto" w:eastAsia="Times New Roman" w:hAnsi="Roboto" w:cs="Times New Roman"/>
          <w:b/>
          <w:bCs/>
          <w:color w:val="333333"/>
          <w:kern w:val="0"/>
          <w:sz w:val="19"/>
          <w:szCs w:val="19"/>
          <w:lang w:eastAsia="fr-FR"/>
          <w14:ligatures w14:val="none"/>
        </w:rPr>
        <w:t>atazanavir</w:t>
      </w:r>
      <w:proofErr w:type="spellEnd"/>
      <w:r w:rsidRPr="004A0C20">
        <w:rPr>
          <w:rFonts w:ascii="Roboto" w:eastAsia="Times New Roman" w:hAnsi="Roboto" w:cs="Times New Roman"/>
          <w:b/>
          <w:bCs/>
          <w:color w:val="333333"/>
          <w:kern w:val="0"/>
          <w:sz w:val="19"/>
          <w:szCs w:val="19"/>
          <w:lang w:eastAsia="fr-FR"/>
          <w14:ligatures w14:val="none"/>
        </w:rPr>
        <w:t xml:space="preserve">, </w:t>
      </w:r>
      <w:proofErr w:type="spellStart"/>
      <w:r w:rsidRPr="004A0C20">
        <w:rPr>
          <w:rFonts w:ascii="Roboto" w:eastAsia="Times New Roman" w:hAnsi="Roboto" w:cs="Times New Roman"/>
          <w:b/>
          <w:bCs/>
          <w:color w:val="333333"/>
          <w:kern w:val="0"/>
          <w:sz w:val="19"/>
          <w:szCs w:val="19"/>
          <w:lang w:eastAsia="fr-FR"/>
          <w14:ligatures w14:val="none"/>
        </w:rPr>
        <w:t>darunavir</w:t>
      </w:r>
      <w:proofErr w:type="spellEnd"/>
      <w:r w:rsidRPr="004A0C20">
        <w:rPr>
          <w:rFonts w:ascii="Roboto" w:eastAsia="Times New Roman" w:hAnsi="Roboto" w:cs="Times New Roman"/>
          <w:b/>
          <w:bCs/>
          <w:color w:val="333333"/>
          <w:kern w:val="0"/>
          <w:sz w:val="19"/>
          <w:szCs w:val="19"/>
          <w:lang w:eastAsia="fr-FR"/>
          <w14:ligatures w14:val="none"/>
        </w:rPr>
        <w:t xml:space="preserve">, </w:t>
      </w:r>
      <w:proofErr w:type="spellStart"/>
      <w:r w:rsidRPr="004A0C20">
        <w:rPr>
          <w:rFonts w:ascii="Roboto" w:eastAsia="Times New Roman" w:hAnsi="Roboto" w:cs="Times New Roman"/>
          <w:b/>
          <w:bCs/>
          <w:color w:val="333333"/>
          <w:kern w:val="0"/>
          <w:sz w:val="19"/>
          <w:szCs w:val="19"/>
          <w:lang w:eastAsia="fr-FR"/>
          <w14:ligatures w14:val="none"/>
        </w:rPr>
        <w:t>fosamprenavir</w:t>
      </w:r>
      <w:proofErr w:type="spellEnd"/>
      <w:r w:rsidRPr="004A0C20">
        <w:rPr>
          <w:rFonts w:ascii="Roboto" w:eastAsia="Times New Roman" w:hAnsi="Roboto" w:cs="Times New Roman"/>
          <w:b/>
          <w:bCs/>
          <w:color w:val="333333"/>
          <w:kern w:val="0"/>
          <w:sz w:val="19"/>
          <w:szCs w:val="19"/>
          <w:lang w:eastAsia="fr-FR"/>
          <w14:ligatures w14:val="none"/>
        </w:rPr>
        <w:t xml:space="preserve">, </w:t>
      </w:r>
      <w:proofErr w:type="spellStart"/>
      <w:r w:rsidRPr="004A0C20">
        <w:rPr>
          <w:rFonts w:ascii="Roboto" w:eastAsia="Times New Roman" w:hAnsi="Roboto" w:cs="Times New Roman"/>
          <w:b/>
          <w:bCs/>
          <w:color w:val="333333"/>
          <w:kern w:val="0"/>
          <w:sz w:val="19"/>
          <w:szCs w:val="19"/>
          <w:lang w:eastAsia="fr-FR"/>
          <w14:ligatures w14:val="none"/>
        </w:rPr>
        <w:t>indinavir</w:t>
      </w:r>
      <w:proofErr w:type="spellEnd"/>
      <w:r w:rsidRPr="004A0C20">
        <w:rPr>
          <w:rFonts w:ascii="Roboto" w:eastAsia="Times New Roman" w:hAnsi="Roboto" w:cs="Times New Roman"/>
          <w:b/>
          <w:bCs/>
          <w:color w:val="333333"/>
          <w:kern w:val="0"/>
          <w:sz w:val="19"/>
          <w:szCs w:val="19"/>
          <w:lang w:eastAsia="fr-FR"/>
          <w14:ligatures w14:val="none"/>
        </w:rPr>
        <w:t xml:space="preserve">, lopinavir, </w:t>
      </w:r>
      <w:proofErr w:type="spellStart"/>
      <w:r w:rsidRPr="004A0C20">
        <w:rPr>
          <w:rFonts w:ascii="Roboto" w:eastAsia="Times New Roman" w:hAnsi="Roboto" w:cs="Times New Roman"/>
          <w:b/>
          <w:bCs/>
          <w:color w:val="333333"/>
          <w:kern w:val="0"/>
          <w:sz w:val="19"/>
          <w:szCs w:val="19"/>
          <w:lang w:eastAsia="fr-FR"/>
          <w14:ligatures w14:val="none"/>
        </w:rPr>
        <w:t>saquinavir</w:t>
      </w:r>
      <w:proofErr w:type="spellEnd"/>
      <w:r w:rsidRPr="004A0C20">
        <w:rPr>
          <w:rFonts w:ascii="Roboto" w:eastAsia="Times New Roman" w:hAnsi="Roboto" w:cs="Times New Roman"/>
          <w:b/>
          <w:bCs/>
          <w:color w:val="333333"/>
          <w:kern w:val="0"/>
          <w:sz w:val="19"/>
          <w:szCs w:val="19"/>
          <w:lang w:eastAsia="fr-FR"/>
          <w14:ligatures w14:val="none"/>
        </w:rPr>
        <w:t xml:space="preserve">, </w:t>
      </w:r>
      <w:proofErr w:type="spellStart"/>
      <w:r w:rsidRPr="004A0C20">
        <w:rPr>
          <w:rFonts w:ascii="Roboto" w:eastAsia="Times New Roman" w:hAnsi="Roboto" w:cs="Times New Roman"/>
          <w:b/>
          <w:bCs/>
          <w:color w:val="333333"/>
          <w:kern w:val="0"/>
          <w:sz w:val="19"/>
          <w:szCs w:val="19"/>
          <w:lang w:eastAsia="fr-FR"/>
          <w14:ligatures w14:val="none"/>
        </w:rPr>
        <w:t>tipranavir</w:t>
      </w:r>
      <w:proofErr w:type="spellEnd"/>
      <w:r w:rsidRPr="004A0C20">
        <w:rPr>
          <w:rFonts w:ascii="Roboto" w:eastAsia="Times New Roman" w:hAnsi="Roboto" w:cs="Times New Roman"/>
          <w:b/>
          <w:bCs/>
          <w:color w:val="333333"/>
          <w:kern w:val="0"/>
          <w:sz w:val="19"/>
          <w:szCs w:val="19"/>
          <w:lang w:eastAsia="fr-FR"/>
          <w14:ligatures w14:val="none"/>
        </w:rPr>
        <w:t>)</w:t>
      </w:r>
    </w:p>
    <w:p w14:paraId="1CF38B2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plasmatiques de l'inhibiteur de protéases, par augmentation de son métabolisme hépatique par la rifampicine.</w:t>
      </w:r>
    </w:p>
    <w:p w14:paraId="462ED2D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Pour l'association (</w:t>
      </w:r>
      <w:proofErr w:type="spellStart"/>
      <w:r w:rsidRPr="004A0C20">
        <w:rPr>
          <w:rFonts w:ascii="Roboto" w:eastAsia="Times New Roman" w:hAnsi="Roboto" w:cs="Times New Roman"/>
          <w:color w:val="333333"/>
          <w:kern w:val="0"/>
          <w:sz w:val="19"/>
          <w:szCs w:val="19"/>
          <w:lang w:eastAsia="fr-FR"/>
          <w14:ligatures w14:val="none"/>
        </w:rPr>
        <w:t>saquinavir</w:t>
      </w:r>
      <w:proofErr w:type="spellEnd"/>
      <w:r w:rsidRPr="004A0C20">
        <w:rPr>
          <w:rFonts w:ascii="Roboto" w:eastAsia="Times New Roman" w:hAnsi="Roboto" w:cs="Times New Roman"/>
          <w:color w:val="333333"/>
          <w:kern w:val="0"/>
          <w:sz w:val="19"/>
          <w:szCs w:val="19"/>
          <w:lang w:eastAsia="fr-FR"/>
          <w14:ligatures w14:val="none"/>
        </w:rPr>
        <w:t xml:space="preserve"> + ritonavir) : risque de toxicité hépatocellulaire sévère.</w:t>
      </w:r>
    </w:p>
    <w:p w14:paraId="0D5BD40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Dans l'attente de données complémentaires avec les inhibiteurs de protéases « boostés ».</w:t>
      </w:r>
    </w:p>
    <w:p w14:paraId="16E2F54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Isavuconazole</w:t>
      </w:r>
      <w:proofErr w:type="spellEnd"/>
    </w:p>
    <w:p w14:paraId="1BE8769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isavuconazole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401B4C5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Lédipasvir</w:t>
      </w:r>
      <w:proofErr w:type="spellEnd"/>
    </w:p>
    <w:p w14:paraId="724D51C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importante des concentrations plasmatiques du </w:t>
      </w:r>
      <w:proofErr w:type="spellStart"/>
      <w:r w:rsidRPr="004A0C20">
        <w:rPr>
          <w:rFonts w:ascii="Roboto" w:eastAsia="Times New Roman" w:hAnsi="Roboto" w:cs="Times New Roman"/>
          <w:color w:val="333333"/>
          <w:kern w:val="0"/>
          <w:sz w:val="19"/>
          <w:szCs w:val="19"/>
          <w:lang w:eastAsia="fr-FR"/>
          <w14:ligatures w14:val="none"/>
        </w:rPr>
        <w:t>lédipasvir</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1B46BF1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Lurasidone</w:t>
      </w:r>
      <w:proofErr w:type="spellEnd"/>
    </w:p>
    <w:p w14:paraId="041CDA8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4A0C20">
        <w:rPr>
          <w:rFonts w:ascii="Roboto" w:eastAsia="Times New Roman" w:hAnsi="Roboto" w:cs="Times New Roman"/>
          <w:color w:val="333333"/>
          <w:kern w:val="0"/>
          <w:sz w:val="19"/>
          <w:szCs w:val="19"/>
          <w:lang w:eastAsia="fr-FR"/>
          <w14:ligatures w14:val="none"/>
        </w:rPr>
        <w:t>lurasidone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1F911D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Midostaurine</w:t>
      </w:r>
      <w:proofErr w:type="spellEnd"/>
    </w:p>
    <w:p w14:paraId="2B2F1F6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4A0C20">
        <w:rPr>
          <w:rFonts w:ascii="Roboto" w:eastAsia="Times New Roman" w:hAnsi="Roboto" w:cs="Times New Roman"/>
          <w:color w:val="333333"/>
          <w:kern w:val="0"/>
          <w:sz w:val="19"/>
          <w:szCs w:val="19"/>
          <w:lang w:eastAsia="fr-FR"/>
          <w14:ligatures w14:val="none"/>
        </w:rPr>
        <w:t>midostaurine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49D5982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Ombitasvir</w:t>
      </w:r>
      <w:proofErr w:type="spellEnd"/>
      <w:r w:rsidRPr="004A0C20">
        <w:rPr>
          <w:rFonts w:ascii="Roboto" w:eastAsia="Times New Roman" w:hAnsi="Roboto" w:cs="Times New Roman"/>
          <w:b/>
          <w:bCs/>
          <w:color w:val="333333"/>
          <w:kern w:val="0"/>
          <w:sz w:val="19"/>
          <w:szCs w:val="19"/>
          <w:lang w:eastAsia="fr-FR"/>
          <w14:ligatures w14:val="none"/>
        </w:rPr>
        <w:t xml:space="preserve"> + </w:t>
      </w:r>
      <w:proofErr w:type="spellStart"/>
      <w:r w:rsidRPr="004A0C20">
        <w:rPr>
          <w:rFonts w:ascii="Roboto" w:eastAsia="Times New Roman" w:hAnsi="Roboto" w:cs="Times New Roman"/>
          <w:b/>
          <w:bCs/>
          <w:color w:val="333333"/>
          <w:kern w:val="0"/>
          <w:sz w:val="19"/>
          <w:szCs w:val="19"/>
          <w:lang w:eastAsia="fr-FR"/>
          <w14:ligatures w14:val="none"/>
        </w:rPr>
        <w:t>Paritaprévir</w:t>
      </w:r>
      <w:proofErr w:type="spellEnd"/>
    </w:p>
    <w:p w14:paraId="2239E35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la bithérapie par augmentation de son métabolisme hépatique par la rifampicine.</w:t>
      </w:r>
    </w:p>
    <w:p w14:paraId="21D225D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Praziquantel</w:t>
      </w:r>
    </w:p>
    <w:p w14:paraId="16018DC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plasmatiques du praziquantel, avec risque d'échec du traitement, par augmentation du métabolisme hépatique du praziquantel par la rifampicine.</w:t>
      </w:r>
    </w:p>
    <w:p w14:paraId="54A8F6B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Rilpivirine</w:t>
      </w:r>
      <w:proofErr w:type="spellEnd"/>
    </w:p>
    <w:p w14:paraId="710E9CA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significative des concentrations plasmatiques de </w:t>
      </w:r>
      <w:proofErr w:type="spellStart"/>
      <w:r w:rsidRPr="004A0C20">
        <w:rPr>
          <w:rFonts w:ascii="Roboto" w:eastAsia="Times New Roman" w:hAnsi="Roboto" w:cs="Times New Roman"/>
          <w:color w:val="333333"/>
          <w:kern w:val="0"/>
          <w:sz w:val="19"/>
          <w:szCs w:val="19"/>
          <w:lang w:eastAsia="fr-FR"/>
          <w14:ligatures w14:val="none"/>
        </w:rPr>
        <w:t>rilpivirine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89BC2E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Sofosbuvir</w:t>
      </w:r>
      <w:proofErr w:type="spellEnd"/>
    </w:p>
    <w:p w14:paraId="6A8FE4E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sofosbuvir</w:t>
      </w:r>
      <w:proofErr w:type="spellEnd"/>
      <w:r w:rsidRPr="004A0C20">
        <w:rPr>
          <w:rFonts w:ascii="Roboto" w:eastAsia="Times New Roman" w:hAnsi="Roboto" w:cs="Times New Roman"/>
          <w:color w:val="333333"/>
          <w:kern w:val="0"/>
          <w:sz w:val="19"/>
          <w:szCs w:val="19"/>
          <w:lang w:eastAsia="fr-FR"/>
          <w14:ligatures w14:val="none"/>
        </w:rPr>
        <w:t xml:space="preserve"> par diminution de son absorption intestinale par l'inducteur.</w:t>
      </w:r>
    </w:p>
    <w:p w14:paraId="2D4DC12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Velpatasvir</w:t>
      </w:r>
      <w:proofErr w:type="spellEnd"/>
    </w:p>
    <w:p w14:paraId="1AF8787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velpatasvir</w:t>
      </w:r>
      <w:proofErr w:type="spellEnd"/>
      <w:r w:rsidRPr="004A0C20">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49336CD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Voriconazole</w:t>
      </w:r>
    </w:p>
    <w:p w14:paraId="54E4342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importante des concentrations plasmatiques du voriconazole avec risque de perte d'efficacité, par augmentation de son métabolisme hépatique par la rifampicine.</w:t>
      </w:r>
    </w:p>
    <w:p w14:paraId="51B0814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Associations déconseillées (voir rubrique </w:t>
      </w:r>
      <w:hyperlink r:id="rId27" w:anchor="mises_en_garde_et_precautions_d_emploi" w:history="1">
        <w:r w:rsidRPr="004A0C20">
          <w:rPr>
            <w:rFonts w:ascii="Roboto" w:eastAsia="Times New Roman" w:hAnsi="Roboto" w:cs="Times New Roman"/>
            <w:b/>
            <w:bCs/>
            <w:color w:val="843D93"/>
            <w:kern w:val="0"/>
            <w:sz w:val="18"/>
            <w:szCs w:val="18"/>
            <w:u w:val="single"/>
            <w:lang w:eastAsia="fr-FR"/>
            <w14:ligatures w14:val="none"/>
          </w:rPr>
          <w:t>Mises en garde et précautions d'emploi</w:t>
        </w:r>
      </w:hyperlink>
      <w:r w:rsidRPr="004A0C20">
        <w:rPr>
          <w:rFonts w:ascii="Roboto" w:eastAsia="Times New Roman" w:hAnsi="Roboto" w:cs="Times New Roman"/>
          <w:b/>
          <w:bCs/>
          <w:color w:val="333333"/>
          <w:kern w:val="0"/>
          <w:sz w:val="19"/>
          <w:szCs w:val="19"/>
          <w:u w:val="single"/>
          <w:lang w:eastAsia="fr-FR"/>
          <w14:ligatures w14:val="none"/>
        </w:rPr>
        <w:t>)</w:t>
      </w:r>
    </w:p>
    <w:p w14:paraId="7B5D19F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Abiratérone</w:t>
      </w:r>
      <w:proofErr w:type="spellEnd"/>
    </w:p>
    <w:p w14:paraId="3DBB403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Diminution notable des concentrations plasmatiques de l'</w:t>
      </w:r>
      <w:proofErr w:type="spellStart"/>
      <w:r w:rsidRPr="004A0C20">
        <w:rPr>
          <w:rFonts w:ascii="Roboto" w:eastAsia="Times New Roman" w:hAnsi="Roboto" w:cs="Times New Roman"/>
          <w:color w:val="333333"/>
          <w:kern w:val="0"/>
          <w:sz w:val="19"/>
          <w:szCs w:val="19"/>
          <w:lang w:eastAsia="fr-FR"/>
          <w14:ligatures w14:val="none"/>
        </w:rPr>
        <w:t>abiratérone</w:t>
      </w:r>
      <w:proofErr w:type="spellEnd"/>
      <w:r w:rsidRPr="004A0C20">
        <w:rPr>
          <w:rFonts w:ascii="Roboto" w:eastAsia="Times New Roman" w:hAnsi="Roboto" w:cs="Times New Roman"/>
          <w:color w:val="333333"/>
          <w:kern w:val="0"/>
          <w:sz w:val="19"/>
          <w:szCs w:val="19"/>
          <w:lang w:eastAsia="fr-FR"/>
          <w14:ligatures w14:val="none"/>
        </w:rPr>
        <w:t>, avec risque de moindre efficacité.</w:t>
      </w:r>
    </w:p>
    <w:p w14:paraId="539BBC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Apixaban</w:t>
      </w:r>
      <w:proofErr w:type="spellEnd"/>
    </w:p>
    <w:p w14:paraId="18A7B6A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4A0C20">
        <w:rPr>
          <w:rFonts w:ascii="Roboto" w:eastAsia="Times New Roman" w:hAnsi="Roboto" w:cs="Times New Roman"/>
          <w:color w:val="333333"/>
          <w:kern w:val="0"/>
          <w:sz w:val="19"/>
          <w:szCs w:val="19"/>
          <w:lang w:eastAsia="fr-FR"/>
          <w14:ligatures w14:val="none"/>
        </w:rPr>
        <w:t>apixaban</w:t>
      </w:r>
      <w:proofErr w:type="spellEnd"/>
      <w:r w:rsidRPr="004A0C20">
        <w:rPr>
          <w:rFonts w:ascii="Roboto" w:eastAsia="Times New Roman" w:hAnsi="Roboto" w:cs="Times New Roman"/>
          <w:color w:val="333333"/>
          <w:kern w:val="0"/>
          <w:sz w:val="19"/>
          <w:szCs w:val="19"/>
          <w:lang w:eastAsia="fr-FR"/>
          <w14:ligatures w14:val="none"/>
        </w:rPr>
        <w:t xml:space="preserve"> par la rifampicine, avec risque de diminution de l'effet thérapeutique.</w:t>
      </w:r>
    </w:p>
    <w:p w14:paraId="75161F5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Aprémilast</w:t>
      </w:r>
      <w:proofErr w:type="spellEnd"/>
    </w:p>
    <w:p w14:paraId="6CBE540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aprémilast</w:t>
      </w:r>
      <w:proofErr w:type="spellEnd"/>
      <w:r w:rsidRPr="004A0C20">
        <w:rPr>
          <w:rFonts w:ascii="Roboto" w:eastAsia="Times New Roman" w:hAnsi="Roboto" w:cs="Times New Roman"/>
          <w:color w:val="333333"/>
          <w:kern w:val="0"/>
          <w:sz w:val="19"/>
          <w:szCs w:val="19"/>
          <w:lang w:eastAsia="fr-FR"/>
          <w14:ligatures w14:val="none"/>
        </w:rPr>
        <w:t xml:space="preserve"> par diminution de son métabolisme par la rifampicine.</w:t>
      </w:r>
    </w:p>
    <w:p w14:paraId="5CAA8C8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Aprépitant</w:t>
      </w:r>
      <w:proofErr w:type="spellEnd"/>
    </w:p>
    <w:p w14:paraId="15DEC86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d'</w:t>
      </w:r>
      <w:proofErr w:type="spellStart"/>
      <w:r w:rsidRPr="004A0C20">
        <w:rPr>
          <w:rFonts w:ascii="Roboto" w:eastAsia="Times New Roman" w:hAnsi="Roboto" w:cs="Times New Roman"/>
          <w:color w:val="333333"/>
          <w:kern w:val="0"/>
          <w:sz w:val="19"/>
          <w:szCs w:val="19"/>
          <w:lang w:eastAsia="fr-FR"/>
          <w14:ligatures w14:val="none"/>
        </w:rPr>
        <w:t>aprépitant</w:t>
      </w:r>
      <w:proofErr w:type="spellEnd"/>
      <w:r w:rsidRPr="004A0C20">
        <w:rPr>
          <w:rFonts w:ascii="Roboto" w:eastAsia="Times New Roman" w:hAnsi="Roboto" w:cs="Times New Roman"/>
          <w:color w:val="333333"/>
          <w:kern w:val="0"/>
          <w:sz w:val="19"/>
          <w:szCs w:val="19"/>
          <w:lang w:eastAsia="fr-FR"/>
          <w14:ligatures w14:val="none"/>
        </w:rPr>
        <w:t>.</w:t>
      </w:r>
    </w:p>
    <w:p w14:paraId="1EB9EBD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Atorvastatine</w:t>
      </w:r>
    </w:p>
    <w:p w14:paraId="5D9925D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plasmatiques d'atorvastatine, par augmentation de son métabolisme hépatique par la rifampicine.</w:t>
      </w:r>
    </w:p>
    <w:p w14:paraId="574E872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Atovaquone</w:t>
      </w:r>
      <w:proofErr w:type="spellEnd"/>
    </w:p>
    <w:p w14:paraId="7AA46E6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atovaquone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112D952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Bédaquiline</w:t>
      </w:r>
      <w:proofErr w:type="spellEnd"/>
    </w:p>
    <w:p w14:paraId="1CBFEAB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bédaquiline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099B1C8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Bosentan</w:t>
      </w:r>
      <w:proofErr w:type="spellEnd"/>
    </w:p>
    <w:p w14:paraId="1EA268E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importante pour la rifampicine, des concentrations plasmatiques de </w:t>
      </w:r>
      <w:proofErr w:type="spellStart"/>
      <w:r w:rsidRPr="004A0C20">
        <w:rPr>
          <w:rFonts w:ascii="Roboto" w:eastAsia="Times New Roman" w:hAnsi="Roboto" w:cs="Times New Roman"/>
          <w:color w:val="333333"/>
          <w:kern w:val="0"/>
          <w:sz w:val="19"/>
          <w:szCs w:val="19"/>
          <w:lang w:eastAsia="fr-FR"/>
          <w14:ligatures w14:val="none"/>
        </w:rPr>
        <w:t>bosentan</w:t>
      </w:r>
      <w:proofErr w:type="spellEnd"/>
      <w:r w:rsidRPr="004A0C20">
        <w:rPr>
          <w:rFonts w:ascii="Roboto" w:eastAsia="Times New Roman" w:hAnsi="Roboto" w:cs="Times New Roman"/>
          <w:color w:val="333333"/>
          <w:kern w:val="0"/>
          <w:sz w:val="19"/>
          <w:szCs w:val="19"/>
          <w:lang w:eastAsia="fr-FR"/>
          <w14:ligatures w14:val="none"/>
        </w:rPr>
        <w:t>.</w:t>
      </w:r>
    </w:p>
    <w:p w14:paraId="579EEAB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Cannabidiol</w:t>
      </w:r>
      <w:proofErr w:type="spellEnd"/>
    </w:p>
    <w:p w14:paraId="069F39F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cannabidiol</w:t>
      </w:r>
      <w:proofErr w:type="spellEnd"/>
      <w:r w:rsidRPr="004A0C20">
        <w:rPr>
          <w:rFonts w:ascii="Roboto" w:eastAsia="Times New Roman" w:hAnsi="Roboto" w:cs="Times New Roman"/>
          <w:color w:val="333333"/>
          <w:kern w:val="0"/>
          <w:sz w:val="19"/>
          <w:szCs w:val="19"/>
          <w:lang w:eastAsia="fr-FR"/>
          <w14:ligatures w14:val="none"/>
        </w:rPr>
        <w:t xml:space="preserve"> avec risque de perte d'efficacité.</w:t>
      </w:r>
    </w:p>
    <w:p w14:paraId="257E5C4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Cyclophosphamide</w:t>
      </w:r>
    </w:p>
    <w:p w14:paraId="7BA7743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d'augmentation des concentrations plasmatiques du métabolite actif du cyclophosphamide par la rifampicine, et donc de sa toxicité.</w:t>
      </w:r>
    </w:p>
    <w:p w14:paraId="62238E4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Cyprotérone (dans son utilisation comme contraceptif hormonal)</w:t>
      </w:r>
    </w:p>
    <w:p w14:paraId="0915D0C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l'efficacité de la cyprotérone.</w:t>
      </w:r>
    </w:p>
    <w:p w14:paraId="24F7F2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Utiliser de préférence une autre méthode de contraception en particulier de type mécanique, pendant la durée de l'association et un cycle suivant.</w:t>
      </w:r>
    </w:p>
    <w:p w14:paraId="572D9A9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Dabigatran</w:t>
      </w:r>
    </w:p>
    <w:p w14:paraId="0B90B8E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dabigatran, avec risque de diminution de l'effet thérapeutique.</w:t>
      </w:r>
    </w:p>
    <w:p w14:paraId="4A1216D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color w:val="333333"/>
          <w:kern w:val="0"/>
          <w:sz w:val="19"/>
          <w:szCs w:val="19"/>
          <w:lang w:eastAsia="fr-FR"/>
          <w14:ligatures w14:val="none"/>
        </w:rPr>
        <w:t>Darolutamide</w:t>
      </w:r>
      <w:proofErr w:type="spellEnd"/>
    </w:p>
    <w:p w14:paraId="3301F97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dalorutamide</w:t>
      </w:r>
      <w:proofErr w:type="spellEnd"/>
      <w:r w:rsidRPr="004A0C20">
        <w:rPr>
          <w:rFonts w:ascii="Roboto" w:eastAsia="Times New Roman" w:hAnsi="Roboto" w:cs="Times New Roman"/>
          <w:color w:val="333333"/>
          <w:kern w:val="0"/>
          <w:sz w:val="19"/>
          <w:szCs w:val="19"/>
          <w:lang w:eastAsia="fr-FR"/>
          <w14:ligatures w14:val="none"/>
        </w:rPr>
        <w:t xml:space="preserve"> avec risque de perte d'efficacité</w:t>
      </w:r>
    </w:p>
    <w:p w14:paraId="6DCB094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Docétaxel</w:t>
      </w:r>
      <w:proofErr w:type="spellEnd"/>
    </w:p>
    <w:p w14:paraId="2130404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531F19A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Dolutégravir</w:t>
      </w:r>
      <w:proofErr w:type="spellEnd"/>
      <w:r w:rsidRPr="004A0C20">
        <w:rPr>
          <w:rFonts w:ascii="Roboto" w:eastAsia="Times New Roman" w:hAnsi="Roboto" w:cs="Times New Roman"/>
          <w:b/>
          <w:bCs/>
          <w:color w:val="333333"/>
          <w:kern w:val="0"/>
          <w:sz w:val="19"/>
          <w:szCs w:val="19"/>
          <w:lang w:eastAsia="fr-FR"/>
          <w14:ligatures w14:val="none"/>
        </w:rPr>
        <w:t xml:space="preserve"> (en cas de résistance à la classe des inhibiteurs d'intégrase)</w:t>
      </w:r>
    </w:p>
    <w:p w14:paraId="6B27A2B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dolutégravir</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6A99FCC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Dronédarone</w:t>
      </w:r>
      <w:proofErr w:type="spellEnd"/>
    </w:p>
    <w:p w14:paraId="308438D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 xml:space="preserve">Diminution importante des concentrations de </w:t>
      </w:r>
      <w:proofErr w:type="spellStart"/>
      <w:r w:rsidRPr="004A0C20">
        <w:rPr>
          <w:rFonts w:ascii="Roboto" w:eastAsia="Times New Roman" w:hAnsi="Roboto" w:cs="Times New Roman"/>
          <w:color w:val="333333"/>
          <w:kern w:val="0"/>
          <w:sz w:val="19"/>
          <w:szCs w:val="19"/>
          <w:lang w:eastAsia="fr-FR"/>
          <w14:ligatures w14:val="none"/>
        </w:rPr>
        <w:t>dronédarone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sans modification notable du métabolite actif.</w:t>
      </w:r>
    </w:p>
    <w:p w14:paraId="5B8546F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Estroprogestatifs</w:t>
      </w:r>
      <w:proofErr w:type="spellEnd"/>
      <w:r w:rsidRPr="004A0C20">
        <w:rPr>
          <w:rFonts w:ascii="Roboto" w:eastAsia="Times New Roman" w:hAnsi="Roboto" w:cs="Times New Roman"/>
          <w:b/>
          <w:bCs/>
          <w:color w:val="333333"/>
          <w:kern w:val="0"/>
          <w:sz w:val="19"/>
          <w:szCs w:val="19"/>
          <w:lang w:eastAsia="fr-FR"/>
          <w14:ligatures w14:val="none"/>
        </w:rPr>
        <w:t xml:space="preserve"> contraceptifs</w:t>
      </w:r>
    </w:p>
    <w:p w14:paraId="22FFD6F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 l'efficacité contraceptive, par augmentation du métabolisme hépatique du contraceptif hormonal par la rifampicine.</w:t>
      </w:r>
    </w:p>
    <w:p w14:paraId="4BE73AF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Utiliser une méthode additionnelle de type mécanique (préservatif) pendant la durée de l'association, et un cycle suivant l'arrêt de la rifampicine.</w:t>
      </w:r>
    </w:p>
    <w:p w14:paraId="00CD0EA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Etoposide</w:t>
      </w:r>
      <w:proofErr w:type="spellEnd"/>
    </w:p>
    <w:p w14:paraId="55B749F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étoposide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739CB4B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l'association s'avère nécessaire, surveillance clinique et adaptation éventuelle de la posologie d'</w:t>
      </w:r>
      <w:proofErr w:type="spellStart"/>
      <w:r w:rsidRPr="004A0C20">
        <w:rPr>
          <w:rFonts w:ascii="Roboto" w:eastAsia="Times New Roman" w:hAnsi="Roboto" w:cs="Times New Roman"/>
          <w:color w:val="333333"/>
          <w:kern w:val="0"/>
          <w:sz w:val="19"/>
          <w:szCs w:val="19"/>
          <w:lang w:eastAsia="fr-FR"/>
          <w14:ligatures w14:val="none"/>
        </w:rPr>
        <w:t>étoposide</w:t>
      </w:r>
      <w:proofErr w:type="spellEnd"/>
      <w:r w:rsidRPr="004A0C20">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5DCE843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Fentanyl</w:t>
      </w:r>
    </w:p>
    <w:p w14:paraId="56B2E57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fentanyl par augmentation de son métabolisme hépatique par la rifampicine.</w:t>
      </w:r>
    </w:p>
    <w:p w14:paraId="28198B2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Préférer un autre morphinique.</w:t>
      </w:r>
    </w:p>
    <w:p w14:paraId="76FD16B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Fluconazole</w:t>
      </w:r>
      <w:proofErr w:type="spellEnd"/>
    </w:p>
    <w:p w14:paraId="665E1E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et de l'efficacité du </w:t>
      </w:r>
      <w:proofErr w:type="spellStart"/>
      <w:r w:rsidRPr="004A0C20">
        <w:rPr>
          <w:rFonts w:ascii="Roboto" w:eastAsia="Times New Roman" w:hAnsi="Roboto" w:cs="Times New Roman"/>
          <w:color w:val="333333"/>
          <w:kern w:val="0"/>
          <w:sz w:val="19"/>
          <w:szCs w:val="19"/>
          <w:lang w:eastAsia="fr-FR"/>
          <w14:ligatures w14:val="none"/>
        </w:rPr>
        <w:t>fluconazole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43D3B63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Glasdegib</w:t>
      </w:r>
      <w:proofErr w:type="spellEnd"/>
    </w:p>
    <w:p w14:paraId="2C024E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importante des concentrations de </w:t>
      </w:r>
      <w:proofErr w:type="spellStart"/>
      <w:r w:rsidRPr="004A0C20">
        <w:rPr>
          <w:rFonts w:ascii="Roboto" w:eastAsia="Times New Roman" w:hAnsi="Roboto" w:cs="Times New Roman"/>
          <w:color w:val="333333"/>
          <w:kern w:val="0"/>
          <w:sz w:val="19"/>
          <w:szCs w:val="19"/>
          <w:lang w:eastAsia="fr-FR"/>
          <w14:ligatures w14:val="none"/>
        </w:rPr>
        <w:t>glasdégib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avec risque d'inefficacité.</w:t>
      </w:r>
    </w:p>
    <w:p w14:paraId="6F8380A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Idélalisib</w:t>
      </w:r>
      <w:proofErr w:type="spellEnd"/>
    </w:p>
    <w:p w14:paraId="22EC1B0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idélalisib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6D4CB0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Inhibiteurs de la 5-alpha réductase (</w:t>
      </w:r>
      <w:proofErr w:type="spellStart"/>
      <w:r w:rsidRPr="004A0C20">
        <w:rPr>
          <w:rFonts w:ascii="Roboto" w:eastAsia="Times New Roman" w:hAnsi="Roboto" w:cs="Times New Roman"/>
          <w:b/>
          <w:bCs/>
          <w:color w:val="333333"/>
          <w:kern w:val="0"/>
          <w:sz w:val="19"/>
          <w:szCs w:val="19"/>
          <w:lang w:eastAsia="fr-FR"/>
          <w14:ligatures w14:val="none"/>
        </w:rPr>
        <w:t>dutastéride</w:t>
      </w:r>
      <w:proofErr w:type="spellEnd"/>
      <w:r w:rsidRPr="004A0C20">
        <w:rPr>
          <w:rFonts w:ascii="Roboto" w:eastAsia="Times New Roman" w:hAnsi="Roboto" w:cs="Times New Roman"/>
          <w:b/>
          <w:bCs/>
          <w:color w:val="333333"/>
          <w:kern w:val="0"/>
          <w:sz w:val="19"/>
          <w:szCs w:val="19"/>
          <w:lang w:eastAsia="fr-FR"/>
          <w14:ligatures w14:val="none"/>
        </w:rPr>
        <w:t>, finastéride)</w:t>
      </w:r>
    </w:p>
    <w:p w14:paraId="3C7CD6C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l'inhibiteur de la 5-alpha réductase par la rifampicine.</w:t>
      </w:r>
    </w:p>
    <w:p w14:paraId="1C4976D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l'association ne peut être évitée, surveillance clinique étroite.</w:t>
      </w:r>
    </w:p>
    <w:p w14:paraId="49605C4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Inhibiteurs des tyrosine kinases métabolisés</w:t>
      </w:r>
    </w:p>
    <w:p w14:paraId="10C0477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l'inhibiteur de tyrosine kinase, par augmentation de son métabolisme par la rifampicine.</w:t>
      </w:r>
    </w:p>
    <w:p w14:paraId="3B83556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Irinotécan</w:t>
      </w:r>
      <w:proofErr w:type="spellEnd"/>
    </w:p>
    <w:p w14:paraId="386F7BA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probable des concentrations plasmatiques du métabolite actif de l'</w:t>
      </w:r>
      <w:proofErr w:type="spellStart"/>
      <w:r w:rsidRPr="004A0C20">
        <w:rPr>
          <w:rFonts w:ascii="Roboto" w:eastAsia="Times New Roman" w:hAnsi="Roboto" w:cs="Times New Roman"/>
          <w:color w:val="333333"/>
          <w:kern w:val="0"/>
          <w:sz w:val="19"/>
          <w:szCs w:val="19"/>
          <w:lang w:eastAsia="fr-FR"/>
          <w14:ligatures w14:val="none"/>
        </w:rPr>
        <w:t>irinotécan</w:t>
      </w:r>
      <w:proofErr w:type="spellEnd"/>
      <w:r w:rsidRPr="004A0C20">
        <w:rPr>
          <w:rFonts w:ascii="Roboto" w:eastAsia="Times New Roman" w:hAnsi="Roboto" w:cs="Times New Roman"/>
          <w:color w:val="333333"/>
          <w:kern w:val="0"/>
          <w:sz w:val="19"/>
          <w:szCs w:val="19"/>
          <w:lang w:eastAsia="fr-FR"/>
          <w14:ligatures w14:val="none"/>
        </w:rPr>
        <w:t>, avec risque d'échec du traitement cytotoxique.</w:t>
      </w:r>
    </w:p>
    <w:p w14:paraId="27E864F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Itraconazole</w:t>
      </w:r>
      <w:proofErr w:type="spellEnd"/>
    </w:p>
    <w:p w14:paraId="1976AF7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w:t>
      </w:r>
      <w:proofErr w:type="spellStart"/>
      <w:r w:rsidRPr="004A0C20">
        <w:rPr>
          <w:rFonts w:ascii="Roboto" w:eastAsia="Times New Roman" w:hAnsi="Roboto" w:cs="Times New Roman"/>
          <w:color w:val="333333"/>
          <w:kern w:val="0"/>
          <w:sz w:val="19"/>
          <w:szCs w:val="19"/>
          <w:lang w:eastAsia="fr-FR"/>
          <w14:ligatures w14:val="none"/>
        </w:rPr>
        <w:t>itraconazole</w:t>
      </w:r>
      <w:proofErr w:type="spellEnd"/>
      <w:r w:rsidRPr="004A0C20">
        <w:rPr>
          <w:rFonts w:ascii="Roboto" w:eastAsia="Times New Roman" w:hAnsi="Roboto" w:cs="Times New Roman"/>
          <w:color w:val="333333"/>
          <w:kern w:val="0"/>
          <w:sz w:val="19"/>
          <w:szCs w:val="19"/>
          <w:lang w:eastAsia="fr-FR"/>
          <w14:ligatures w14:val="none"/>
        </w:rPr>
        <w:t>, avec risque de perte d'efficacité, par augmentation de son métabolisme hépatique par la rifampicine.</w:t>
      </w:r>
    </w:p>
    <w:p w14:paraId="7935A67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Ivacaftor</w:t>
      </w:r>
      <w:proofErr w:type="spellEnd"/>
    </w:p>
    <w:p w14:paraId="1A3F2AD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importante des concentrations de l'</w:t>
      </w:r>
      <w:proofErr w:type="spellStart"/>
      <w:r w:rsidRPr="004A0C20">
        <w:rPr>
          <w:rFonts w:ascii="Roboto" w:eastAsia="Times New Roman" w:hAnsi="Roboto" w:cs="Times New Roman"/>
          <w:color w:val="333333"/>
          <w:kern w:val="0"/>
          <w:sz w:val="19"/>
          <w:szCs w:val="19"/>
          <w:lang w:eastAsia="fr-FR"/>
          <w14:ligatures w14:val="none"/>
        </w:rPr>
        <w:t>ivacaftor</w:t>
      </w:r>
      <w:proofErr w:type="spellEnd"/>
      <w:r w:rsidRPr="004A0C20">
        <w:rPr>
          <w:rFonts w:ascii="Roboto" w:eastAsia="Times New Roman" w:hAnsi="Roboto" w:cs="Times New Roman"/>
          <w:color w:val="333333"/>
          <w:kern w:val="0"/>
          <w:sz w:val="19"/>
          <w:szCs w:val="19"/>
          <w:lang w:eastAsia="fr-FR"/>
          <w14:ligatures w14:val="none"/>
        </w:rPr>
        <w:t>, avec risque de perte d'efficacité.</w:t>
      </w:r>
    </w:p>
    <w:p w14:paraId="045A982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Kétoconazole</w:t>
      </w:r>
      <w:proofErr w:type="spellEnd"/>
    </w:p>
    <w:p w14:paraId="228CC0A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0CC88D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Macitentan</w:t>
      </w:r>
      <w:proofErr w:type="spellEnd"/>
    </w:p>
    <w:p w14:paraId="04F7D33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macitentan</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326DF29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Miansérine</w:t>
      </w:r>
    </w:p>
    <w:p w14:paraId="3EFF708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d'inefficacité de la miansérine.</w:t>
      </w:r>
    </w:p>
    <w:p w14:paraId="688BD7C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Midazolam</w:t>
      </w:r>
    </w:p>
    <w:p w14:paraId="57E2FCF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d'absence d'effet du midazolam, avec diminution très importante de ses concentrations plasmatiques, par augmentation de son métabolisme hépatique.</w:t>
      </w:r>
    </w:p>
    <w:p w14:paraId="3A0F3E4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Naloxegol</w:t>
      </w:r>
      <w:proofErr w:type="spellEnd"/>
    </w:p>
    <w:p w14:paraId="75D4627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4A0C20">
        <w:rPr>
          <w:rFonts w:ascii="Roboto" w:eastAsia="Times New Roman" w:hAnsi="Roboto" w:cs="Times New Roman"/>
          <w:color w:val="333333"/>
          <w:kern w:val="0"/>
          <w:sz w:val="19"/>
          <w:szCs w:val="19"/>
          <w:lang w:eastAsia="fr-FR"/>
          <w14:ligatures w14:val="none"/>
        </w:rPr>
        <w:t>naloxegol</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6FD225B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Névirapine</w:t>
      </w:r>
    </w:p>
    <w:p w14:paraId="6BFD46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la névirapine par augmentation de son métabolisme hépatique par la rifampicine.</w:t>
      </w:r>
    </w:p>
    <w:p w14:paraId="6E7FD98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Nimodipine</w:t>
      </w:r>
      <w:proofErr w:type="spellEnd"/>
    </w:p>
    <w:p w14:paraId="39CA23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4A0C20">
        <w:rPr>
          <w:rFonts w:ascii="Roboto" w:eastAsia="Times New Roman" w:hAnsi="Roboto" w:cs="Times New Roman"/>
          <w:color w:val="333333"/>
          <w:kern w:val="0"/>
          <w:sz w:val="19"/>
          <w:szCs w:val="19"/>
          <w:lang w:eastAsia="fr-FR"/>
          <w14:ligatures w14:val="none"/>
        </w:rPr>
        <w:t>nimodipine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w:t>
      </w:r>
    </w:p>
    <w:p w14:paraId="1AB0B84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l'antagoniste du calcium pendant le traitement par la rifampicine et après son arrêt.</w:t>
      </w:r>
    </w:p>
    <w:p w14:paraId="0899E82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Olaparib</w:t>
      </w:r>
      <w:proofErr w:type="spellEnd"/>
    </w:p>
    <w:p w14:paraId="136C567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éventuellement très importante, des concentrations plasmatiques de l'</w:t>
      </w:r>
      <w:proofErr w:type="spellStart"/>
      <w:r w:rsidRPr="004A0C20">
        <w:rPr>
          <w:rFonts w:ascii="Roboto" w:eastAsia="Times New Roman" w:hAnsi="Roboto" w:cs="Times New Roman"/>
          <w:color w:val="333333"/>
          <w:kern w:val="0"/>
          <w:sz w:val="19"/>
          <w:szCs w:val="19"/>
          <w:lang w:eastAsia="fr-FR"/>
          <w14:ligatures w14:val="none"/>
        </w:rPr>
        <w:t>olaparib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3E3E10D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Oxycodone</w:t>
      </w:r>
    </w:p>
    <w:p w14:paraId="6E17BF8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l'oxycodone par augmentation de son métabolisme par la rifampicine.</w:t>
      </w:r>
    </w:p>
    <w:p w14:paraId="201B47D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Adaptation éventuelle de la posologie d'oxycodone.</w:t>
      </w:r>
    </w:p>
    <w:p w14:paraId="51A05D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Ozanimod</w:t>
      </w:r>
      <w:proofErr w:type="spellEnd"/>
    </w:p>
    <w:p w14:paraId="103C232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des métabolites actifs de l'</w:t>
      </w:r>
      <w:proofErr w:type="spellStart"/>
      <w:r w:rsidRPr="004A0C20">
        <w:rPr>
          <w:rFonts w:ascii="Roboto" w:eastAsia="Times New Roman" w:hAnsi="Roboto" w:cs="Times New Roman"/>
          <w:color w:val="333333"/>
          <w:kern w:val="0"/>
          <w:sz w:val="19"/>
          <w:szCs w:val="19"/>
          <w:lang w:eastAsia="fr-FR"/>
          <w14:ligatures w14:val="none"/>
        </w:rPr>
        <w:t>ozanimod</w:t>
      </w:r>
      <w:proofErr w:type="spellEnd"/>
      <w:r w:rsidRPr="004A0C20">
        <w:rPr>
          <w:rFonts w:ascii="Roboto" w:eastAsia="Times New Roman" w:hAnsi="Roboto" w:cs="Times New Roman"/>
          <w:color w:val="333333"/>
          <w:kern w:val="0"/>
          <w:sz w:val="19"/>
          <w:szCs w:val="19"/>
          <w:lang w:eastAsia="fr-FR"/>
          <w14:ligatures w14:val="none"/>
        </w:rPr>
        <w:t xml:space="preserve"> d'environ 60 %.</w:t>
      </w:r>
    </w:p>
    <w:p w14:paraId="6E1D24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Paclitaxel</w:t>
      </w:r>
    </w:p>
    <w:p w14:paraId="6F1A79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65A410F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Posaconazole</w:t>
      </w:r>
      <w:proofErr w:type="spellEnd"/>
    </w:p>
    <w:p w14:paraId="622AC03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1D1C256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Progestatifs contraceptifs</w:t>
      </w:r>
    </w:p>
    <w:p w14:paraId="5BD438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 l'efficacité contraceptive du contraceptif hormonal, par augmentation de son métabolisme hépatique par la rifampicine.</w:t>
      </w:r>
    </w:p>
    <w:p w14:paraId="77972D1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Utiliser de préférence une autre méthode contraceptive, en particulier de type mécanique, pendant la durée de l'association et un cycle suivant.</w:t>
      </w:r>
    </w:p>
    <w:p w14:paraId="7DA98FE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Quétiapine</w:t>
      </w:r>
    </w:p>
    <w:p w14:paraId="6D02E5A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plasmatiques de quétiapine par augmentation de son métabolisme hépatique par la rifampicine, avec risque d'inefficacité.</w:t>
      </w:r>
    </w:p>
    <w:p w14:paraId="2330922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Quinine</w:t>
      </w:r>
    </w:p>
    <w:p w14:paraId="1962D5D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perte de l'efficacité de la quinine par augmentation de son métabolisme hépatique par l'inducteur.</w:t>
      </w:r>
    </w:p>
    <w:p w14:paraId="7FB1F7A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lastRenderedPageBreak/>
        <w:t>Raltégravir</w:t>
      </w:r>
      <w:proofErr w:type="spellEnd"/>
    </w:p>
    <w:p w14:paraId="6977F4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du </w:t>
      </w:r>
      <w:proofErr w:type="spellStart"/>
      <w:r w:rsidRPr="004A0C20">
        <w:rPr>
          <w:rFonts w:ascii="Roboto" w:eastAsia="Times New Roman" w:hAnsi="Roboto" w:cs="Times New Roman"/>
          <w:color w:val="333333"/>
          <w:kern w:val="0"/>
          <w:sz w:val="19"/>
          <w:szCs w:val="19"/>
          <w:lang w:eastAsia="fr-FR"/>
          <w14:ligatures w14:val="none"/>
        </w:rPr>
        <w:t>raltégravir</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39E508D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Si l'association ne peut être évitée, un doublement de la dose de </w:t>
      </w:r>
      <w:proofErr w:type="spellStart"/>
      <w:r w:rsidRPr="004A0C20">
        <w:rPr>
          <w:rFonts w:ascii="Roboto" w:eastAsia="Times New Roman" w:hAnsi="Roboto" w:cs="Times New Roman"/>
          <w:color w:val="333333"/>
          <w:kern w:val="0"/>
          <w:sz w:val="19"/>
          <w:szCs w:val="19"/>
          <w:lang w:eastAsia="fr-FR"/>
          <w14:ligatures w14:val="none"/>
        </w:rPr>
        <w:t>raltégravir</w:t>
      </w:r>
      <w:proofErr w:type="spellEnd"/>
      <w:r w:rsidRPr="004A0C20">
        <w:rPr>
          <w:rFonts w:ascii="Roboto" w:eastAsia="Times New Roman" w:hAnsi="Roboto" w:cs="Times New Roman"/>
          <w:color w:val="333333"/>
          <w:kern w:val="0"/>
          <w:sz w:val="19"/>
          <w:szCs w:val="19"/>
          <w:lang w:eastAsia="fr-FR"/>
          <w14:ligatures w14:val="none"/>
        </w:rPr>
        <w:t xml:space="preserve"> peut être envisagé.</w:t>
      </w:r>
    </w:p>
    <w:p w14:paraId="22900CA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Ranolazine</w:t>
      </w:r>
      <w:proofErr w:type="spellEnd"/>
    </w:p>
    <w:p w14:paraId="0B42042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très importante des concentrations de </w:t>
      </w:r>
      <w:proofErr w:type="spellStart"/>
      <w:r w:rsidRPr="004A0C20">
        <w:rPr>
          <w:rFonts w:ascii="Roboto" w:eastAsia="Times New Roman" w:hAnsi="Roboto" w:cs="Times New Roman"/>
          <w:color w:val="333333"/>
          <w:kern w:val="0"/>
          <w:sz w:val="19"/>
          <w:szCs w:val="19"/>
          <w:lang w:eastAsia="fr-FR"/>
          <w14:ligatures w14:val="none"/>
        </w:rPr>
        <w:t>ranolazine</w:t>
      </w:r>
      <w:proofErr w:type="spellEnd"/>
      <w:r w:rsidRPr="004A0C20">
        <w:rPr>
          <w:rFonts w:ascii="Roboto" w:eastAsia="Times New Roman" w:hAnsi="Roboto" w:cs="Times New Roman"/>
          <w:color w:val="333333"/>
          <w:kern w:val="0"/>
          <w:sz w:val="19"/>
          <w:szCs w:val="19"/>
          <w:lang w:eastAsia="fr-FR"/>
          <w14:ligatures w14:val="none"/>
        </w:rPr>
        <w:t>.</w:t>
      </w:r>
    </w:p>
    <w:p w14:paraId="7EA67A2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Régorafénib</w:t>
      </w:r>
      <w:proofErr w:type="spellEnd"/>
    </w:p>
    <w:p w14:paraId="53A8FB2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régorafénib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14B861B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Rivaroxaban</w:t>
      </w:r>
      <w:proofErr w:type="spellEnd"/>
    </w:p>
    <w:p w14:paraId="008A3D3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rivaroxaban</w:t>
      </w:r>
      <w:proofErr w:type="spellEnd"/>
      <w:r w:rsidRPr="004A0C20">
        <w:rPr>
          <w:rFonts w:ascii="Roboto" w:eastAsia="Times New Roman" w:hAnsi="Roboto" w:cs="Times New Roman"/>
          <w:color w:val="333333"/>
          <w:kern w:val="0"/>
          <w:sz w:val="19"/>
          <w:szCs w:val="19"/>
          <w:lang w:eastAsia="fr-FR"/>
          <w14:ligatures w14:val="none"/>
        </w:rPr>
        <w:t>, avec risque de diminution de l'effet thérapeutique.</w:t>
      </w:r>
    </w:p>
    <w:p w14:paraId="525B519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Rolapitant</w:t>
      </w:r>
      <w:proofErr w:type="spellEnd"/>
    </w:p>
    <w:p w14:paraId="14566CF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très importante des concentrations de </w:t>
      </w:r>
      <w:proofErr w:type="spellStart"/>
      <w:r w:rsidRPr="004A0C20">
        <w:rPr>
          <w:rFonts w:ascii="Roboto" w:eastAsia="Times New Roman" w:hAnsi="Roboto" w:cs="Times New Roman"/>
          <w:color w:val="333333"/>
          <w:kern w:val="0"/>
          <w:sz w:val="19"/>
          <w:szCs w:val="19"/>
          <w:lang w:eastAsia="fr-FR"/>
          <w14:ligatures w14:val="none"/>
        </w:rPr>
        <w:t>rolapitant</w:t>
      </w:r>
      <w:proofErr w:type="spellEnd"/>
      <w:r w:rsidRPr="004A0C20">
        <w:rPr>
          <w:rFonts w:ascii="Roboto" w:eastAsia="Times New Roman" w:hAnsi="Roboto" w:cs="Times New Roman"/>
          <w:color w:val="333333"/>
          <w:kern w:val="0"/>
          <w:sz w:val="19"/>
          <w:szCs w:val="19"/>
          <w:lang w:eastAsia="fr-FR"/>
          <w14:ligatures w14:val="none"/>
        </w:rPr>
        <w:t xml:space="preserve"> avec risque de perte d'efficacité.</w:t>
      </w:r>
    </w:p>
    <w:p w14:paraId="52A02EB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Sertraline</w:t>
      </w:r>
      <w:proofErr w:type="spellEnd"/>
    </w:p>
    <w:p w14:paraId="662D895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d'inefficacité du traitement anti-dépresseur.</w:t>
      </w:r>
    </w:p>
    <w:p w14:paraId="7BFA741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Simvastatine</w:t>
      </w:r>
    </w:p>
    <w:p w14:paraId="5243A97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très importante des concentrations plasmatiques de simvastatine, par augmentation de son métabolisme hépatique par la rifampicine.</w:t>
      </w:r>
    </w:p>
    <w:p w14:paraId="08C9D6E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Télithromycine</w:t>
      </w:r>
      <w:proofErr w:type="spellEnd"/>
    </w:p>
    <w:p w14:paraId="424577F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très importante des concentrations plasmatiques de la </w:t>
      </w:r>
      <w:proofErr w:type="spellStart"/>
      <w:r w:rsidRPr="004A0C20">
        <w:rPr>
          <w:rFonts w:ascii="Roboto" w:eastAsia="Times New Roman" w:hAnsi="Roboto" w:cs="Times New Roman"/>
          <w:color w:val="333333"/>
          <w:kern w:val="0"/>
          <w:sz w:val="19"/>
          <w:szCs w:val="19"/>
          <w:lang w:eastAsia="fr-FR"/>
          <w14:ligatures w14:val="none"/>
        </w:rPr>
        <w:t>télithromycine</w:t>
      </w:r>
      <w:proofErr w:type="spellEnd"/>
      <w:r w:rsidRPr="004A0C20">
        <w:rPr>
          <w:rFonts w:ascii="Roboto" w:eastAsia="Times New Roman" w:hAnsi="Roboto" w:cs="Times New Roman"/>
          <w:color w:val="333333"/>
          <w:kern w:val="0"/>
          <w:sz w:val="19"/>
          <w:szCs w:val="19"/>
          <w:lang w:eastAsia="fr-FR"/>
          <w14:ligatures w14:val="none"/>
        </w:rPr>
        <w:t xml:space="preserve">, avec risque d'échec du traitement anti-infectieux, par augmentation du métabolisme hépatique de la </w:t>
      </w:r>
      <w:proofErr w:type="spellStart"/>
      <w:r w:rsidRPr="004A0C20">
        <w:rPr>
          <w:rFonts w:ascii="Roboto" w:eastAsia="Times New Roman" w:hAnsi="Roboto" w:cs="Times New Roman"/>
          <w:color w:val="333333"/>
          <w:kern w:val="0"/>
          <w:sz w:val="19"/>
          <w:szCs w:val="19"/>
          <w:lang w:eastAsia="fr-FR"/>
          <w14:ligatures w14:val="none"/>
        </w:rPr>
        <w:t>télithromycine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7E180CB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Ténofovir</w:t>
      </w:r>
      <w:proofErr w:type="spellEnd"/>
      <w:r w:rsidRPr="004A0C20">
        <w:rPr>
          <w:rFonts w:ascii="Roboto" w:eastAsia="Times New Roman" w:hAnsi="Roboto" w:cs="Times New Roman"/>
          <w:b/>
          <w:bCs/>
          <w:color w:val="333333"/>
          <w:kern w:val="0"/>
          <w:sz w:val="19"/>
          <w:szCs w:val="19"/>
          <w:lang w:eastAsia="fr-FR"/>
          <w14:ligatures w14:val="none"/>
        </w:rPr>
        <w:t xml:space="preserve"> </w:t>
      </w:r>
      <w:proofErr w:type="spellStart"/>
      <w:r w:rsidRPr="004A0C20">
        <w:rPr>
          <w:rFonts w:ascii="Roboto" w:eastAsia="Times New Roman" w:hAnsi="Roboto" w:cs="Times New Roman"/>
          <w:b/>
          <w:bCs/>
          <w:color w:val="333333"/>
          <w:kern w:val="0"/>
          <w:sz w:val="19"/>
          <w:szCs w:val="19"/>
          <w:lang w:eastAsia="fr-FR"/>
          <w14:ligatures w14:val="none"/>
        </w:rPr>
        <w:t>Alafénamide</w:t>
      </w:r>
      <w:proofErr w:type="spellEnd"/>
    </w:p>
    <w:p w14:paraId="7BAD3F2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4A0C20">
        <w:rPr>
          <w:rFonts w:ascii="Roboto" w:eastAsia="Times New Roman" w:hAnsi="Roboto" w:cs="Times New Roman"/>
          <w:color w:val="333333"/>
          <w:kern w:val="0"/>
          <w:sz w:val="19"/>
          <w:szCs w:val="19"/>
          <w:lang w:eastAsia="fr-FR"/>
          <w14:ligatures w14:val="none"/>
        </w:rPr>
        <w:t>ténofovir</w:t>
      </w:r>
      <w:proofErr w:type="spellEnd"/>
      <w:r w:rsidRPr="004A0C20">
        <w:rPr>
          <w:rFonts w:ascii="Roboto" w:eastAsia="Times New Roman" w:hAnsi="Roboto" w:cs="Times New Roman"/>
          <w:color w:val="333333"/>
          <w:kern w:val="0"/>
          <w:sz w:val="19"/>
          <w:szCs w:val="19"/>
          <w:lang w:eastAsia="fr-FR"/>
          <w14:ligatures w14:val="none"/>
        </w:rPr>
        <w:t xml:space="preserve"> </w:t>
      </w:r>
      <w:proofErr w:type="spellStart"/>
      <w:r w:rsidRPr="004A0C20">
        <w:rPr>
          <w:rFonts w:ascii="Roboto" w:eastAsia="Times New Roman" w:hAnsi="Roboto" w:cs="Times New Roman"/>
          <w:color w:val="333333"/>
          <w:kern w:val="0"/>
          <w:sz w:val="19"/>
          <w:szCs w:val="19"/>
          <w:lang w:eastAsia="fr-FR"/>
          <w14:ligatures w14:val="none"/>
        </w:rPr>
        <w:t>alafénamide</w:t>
      </w:r>
      <w:proofErr w:type="spellEnd"/>
      <w:r w:rsidRPr="004A0C20">
        <w:rPr>
          <w:rFonts w:ascii="Roboto" w:eastAsia="Times New Roman" w:hAnsi="Roboto" w:cs="Times New Roman"/>
          <w:color w:val="333333"/>
          <w:kern w:val="0"/>
          <w:sz w:val="19"/>
          <w:szCs w:val="19"/>
          <w:lang w:eastAsia="fr-FR"/>
          <w14:ligatures w14:val="none"/>
        </w:rPr>
        <w:t xml:space="preserve"> par diminution de son absorption par la rifampicine.</w:t>
      </w:r>
    </w:p>
    <w:p w14:paraId="405C46C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l'association ne peut être évitée, surveillance clinique pendant l'association et 1 à 2 semaines après l'arrêt de la rifampicine.</w:t>
      </w:r>
    </w:p>
    <w:p w14:paraId="2F14467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Ticagrelor</w:t>
      </w:r>
      <w:proofErr w:type="spellEnd"/>
    </w:p>
    <w:p w14:paraId="37E10F7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importante des concentrations plasmatiques de </w:t>
      </w:r>
      <w:proofErr w:type="spellStart"/>
      <w:r w:rsidRPr="004A0C20">
        <w:rPr>
          <w:rFonts w:ascii="Roboto" w:eastAsia="Times New Roman" w:hAnsi="Roboto" w:cs="Times New Roman"/>
          <w:color w:val="333333"/>
          <w:kern w:val="0"/>
          <w:sz w:val="19"/>
          <w:szCs w:val="19"/>
          <w:lang w:eastAsia="fr-FR"/>
          <w14:ligatures w14:val="none"/>
        </w:rPr>
        <w:t>ticagrelor</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 avec risque de diminution de l'effet thérapeutique.</w:t>
      </w:r>
    </w:p>
    <w:p w14:paraId="501B0AD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Ulipristal</w:t>
      </w:r>
      <w:proofErr w:type="spellEnd"/>
    </w:p>
    <w:p w14:paraId="387BC64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l'effet de l'</w:t>
      </w:r>
      <w:proofErr w:type="spellStart"/>
      <w:r w:rsidRPr="004A0C20">
        <w:rPr>
          <w:rFonts w:ascii="Roboto" w:eastAsia="Times New Roman" w:hAnsi="Roboto" w:cs="Times New Roman"/>
          <w:color w:val="333333"/>
          <w:kern w:val="0"/>
          <w:sz w:val="19"/>
          <w:szCs w:val="19"/>
          <w:lang w:eastAsia="fr-FR"/>
          <w14:ligatures w14:val="none"/>
        </w:rPr>
        <w:t>ulipristal</w:t>
      </w:r>
      <w:proofErr w:type="spellEnd"/>
      <w:r w:rsidRPr="004A0C20">
        <w:rPr>
          <w:rFonts w:ascii="Roboto" w:eastAsia="Times New Roman" w:hAnsi="Roboto" w:cs="Times New Roman"/>
          <w:color w:val="333333"/>
          <w:kern w:val="0"/>
          <w:sz w:val="19"/>
          <w:szCs w:val="19"/>
          <w:lang w:eastAsia="fr-FR"/>
          <w14:ligatures w14:val="none"/>
        </w:rPr>
        <w:t>, par augmentation de son métabolisme hépatique par la rifampicine.</w:t>
      </w:r>
    </w:p>
    <w:p w14:paraId="7F735CE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Préférer une alternative thérapeutique peu ou pas métabolisée.</w:t>
      </w:r>
    </w:p>
    <w:p w14:paraId="07BFD71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Vémurafénib</w:t>
      </w:r>
      <w:proofErr w:type="spellEnd"/>
    </w:p>
    <w:p w14:paraId="65AB912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4A0C20">
        <w:rPr>
          <w:rFonts w:ascii="Roboto" w:eastAsia="Times New Roman" w:hAnsi="Roboto" w:cs="Times New Roman"/>
          <w:color w:val="333333"/>
          <w:kern w:val="0"/>
          <w:sz w:val="19"/>
          <w:szCs w:val="19"/>
          <w:lang w:eastAsia="fr-FR"/>
          <w14:ligatures w14:val="none"/>
        </w:rPr>
        <w:t>vémurafénib</w:t>
      </w:r>
      <w:proofErr w:type="spellEnd"/>
      <w:r w:rsidRPr="004A0C20">
        <w:rPr>
          <w:rFonts w:ascii="Roboto" w:eastAsia="Times New Roman" w:hAnsi="Roboto" w:cs="Times New Roman"/>
          <w:color w:val="333333"/>
          <w:kern w:val="0"/>
          <w:sz w:val="19"/>
          <w:szCs w:val="19"/>
          <w:lang w:eastAsia="fr-FR"/>
          <w14:ligatures w14:val="none"/>
        </w:rPr>
        <w:t>, avec moindre efficacité.</w:t>
      </w:r>
    </w:p>
    <w:p w14:paraId="01EC726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Venetoclax</w:t>
      </w:r>
      <w:proofErr w:type="spellEnd"/>
    </w:p>
    <w:p w14:paraId="66EE1FE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importante des concentrations de </w:t>
      </w:r>
      <w:proofErr w:type="spellStart"/>
      <w:r w:rsidRPr="004A0C20">
        <w:rPr>
          <w:rFonts w:ascii="Roboto" w:eastAsia="Times New Roman" w:hAnsi="Roboto" w:cs="Times New Roman"/>
          <w:color w:val="333333"/>
          <w:kern w:val="0"/>
          <w:sz w:val="19"/>
          <w:szCs w:val="19"/>
          <w:lang w:eastAsia="fr-FR"/>
          <w14:ligatures w14:val="none"/>
        </w:rPr>
        <w:t>vénétoclax</w:t>
      </w:r>
      <w:proofErr w:type="spellEnd"/>
      <w:r w:rsidRPr="004A0C20">
        <w:rPr>
          <w:rFonts w:ascii="Roboto" w:eastAsia="Times New Roman" w:hAnsi="Roboto" w:cs="Times New Roman"/>
          <w:color w:val="333333"/>
          <w:kern w:val="0"/>
          <w:sz w:val="19"/>
          <w:szCs w:val="19"/>
          <w:lang w:eastAsia="fr-FR"/>
          <w14:ligatures w14:val="none"/>
        </w:rPr>
        <w:t>, avec risque de perte d'efficacité.</w:t>
      </w:r>
    </w:p>
    <w:p w14:paraId="584AC12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Vinca</w:t>
      </w:r>
      <w:proofErr w:type="spellEnd"/>
      <w:r w:rsidRPr="004A0C20">
        <w:rPr>
          <w:rFonts w:ascii="Roboto" w:eastAsia="Times New Roman" w:hAnsi="Roboto" w:cs="Times New Roman"/>
          <w:b/>
          <w:bCs/>
          <w:color w:val="333333"/>
          <w:kern w:val="0"/>
          <w:sz w:val="19"/>
          <w:szCs w:val="19"/>
          <w:lang w:eastAsia="fr-FR"/>
          <w14:ligatures w14:val="none"/>
        </w:rPr>
        <w:t>-alcaloïdes cytotoxiques</w:t>
      </w:r>
    </w:p>
    <w:p w14:paraId="46DFE22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4A0C20">
        <w:rPr>
          <w:rFonts w:ascii="Roboto" w:eastAsia="Times New Roman" w:hAnsi="Roboto" w:cs="Times New Roman"/>
          <w:color w:val="333333"/>
          <w:kern w:val="0"/>
          <w:sz w:val="19"/>
          <w:szCs w:val="19"/>
          <w:lang w:eastAsia="fr-FR"/>
          <w14:ligatures w14:val="none"/>
        </w:rPr>
        <w:t>vinca</w:t>
      </w:r>
      <w:proofErr w:type="spellEnd"/>
      <w:r w:rsidRPr="004A0C20">
        <w:rPr>
          <w:rFonts w:ascii="Roboto" w:eastAsia="Times New Roman" w:hAnsi="Roboto" w:cs="Times New Roman"/>
          <w:color w:val="333333"/>
          <w:kern w:val="0"/>
          <w:sz w:val="19"/>
          <w:szCs w:val="19"/>
          <w:lang w:eastAsia="fr-FR"/>
          <w14:ligatures w14:val="none"/>
        </w:rPr>
        <w:t>-alcaloïde par la rifampicine, avec possible retentissement sur l'efficacité.</w:t>
      </w:r>
    </w:p>
    <w:p w14:paraId="15F40A3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lastRenderedPageBreak/>
        <w:t>Vismodégib</w:t>
      </w:r>
      <w:proofErr w:type="spellEnd"/>
    </w:p>
    <w:p w14:paraId="4E380F0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vismodégib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7A685B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Zidovudine</w:t>
      </w:r>
    </w:p>
    <w:p w14:paraId="2A63CFF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 moitié des concentrations de la zidovudine par augmentation de son métabolisme par la rifampicine.</w:t>
      </w:r>
    </w:p>
    <w:p w14:paraId="522CEE9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l'association s'avère nécessaire, surveillance clinique et biologique renforcée.</w:t>
      </w:r>
    </w:p>
    <w:p w14:paraId="20CA373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08B494A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Afatinib</w:t>
      </w:r>
      <w:proofErr w:type="spellEnd"/>
    </w:p>
    <w:p w14:paraId="12B72DC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4A0C20">
        <w:rPr>
          <w:rFonts w:ascii="Roboto" w:eastAsia="Times New Roman" w:hAnsi="Roboto" w:cs="Times New Roman"/>
          <w:color w:val="333333"/>
          <w:kern w:val="0"/>
          <w:sz w:val="19"/>
          <w:szCs w:val="19"/>
          <w:lang w:eastAsia="fr-FR"/>
          <w14:ligatures w14:val="none"/>
        </w:rPr>
        <w:t>afatinib</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la </w:t>
      </w:r>
      <w:proofErr w:type="spellStart"/>
      <w:r w:rsidRPr="004A0C20">
        <w:rPr>
          <w:rFonts w:ascii="Roboto" w:eastAsia="Times New Roman" w:hAnsi="Roboto" w:cs="Times New Roman"/>
          <w:color w:val="333333"/>
          <w:kern w:val="0"/>
          <w:sz w:val="19"/>
          <w:szCs w:val="19"/>
          <w:lang w:eastAsia="fr-FR"/>
          <w14:ligatures w14:val="none"/>
        </w:rPr>
        <w:t>rifampicineSurveillance</w:t>
      </w:r>
      <w:proofErr w:type="spellEnd"/>
      <w:r w:rsidRPr="004A0C20">
        <w:rPr>
          <w:rFonts w:ascii="Roboto" w:eastAsia="Times New Roman" w:hAnsi="Roboto" w:cs="Times New Roman"/>
          <w:color w:val="333333"/>
          <w:kern w:val="0"/>
          <w:sz w:val="19"/>
          <w:szCs w:val="19"/>
          <w:lang w:eastAsia="fr-FR"/>
          <w14:ligatures w14:val="none"/>
        </w:rPr>
        <w:t xml:space="preserve"> clinique pendant l'association et 1 à 2 semaines après leur arrêt.</w:t>
      </w:r>
    </w:p>
    <w:p w14:paraId="1862CDE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Albendazole</w:t>
      </w:r>
      <w:proofErr w:type="spellEnd"/>
    </w:p>
    <w:p w14:paraId="2181143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importante des concentrations plasmatiques de l'</w:t>
      </w:r>
      <w:proofErr w:type="spellStart"/>
      <w:r w:rsidRPr="004A0C20">
        <w:rPr>
          <w:rFonts w:ascii="Roboto" w:eastAsia="Times New Roman" w:hAnsi="Roboto" w:cs="Times New Roman"/>
          <w:color w:val="333333"/>
          <w:kern w:val="0"/>
          <w:sz w:val="19"/>
          <w:szCs w:val="19"/>
          <w:lang w:eastAsia="fr-FR"/>
          <w14:ligatures w14:val="none"/>
        </w:rPr>
        <w:t>albendazole</w:t>
      </w:r>
      <w:proofErr w:type="spellEnd"/>
      <w:r w:rsidRPr="004A0C20">
        <w:rPr>
          <w:rFonts w:ascii="Roboto" w:eastAsia="Times New Roman" w:hAnsi="Roboto" w:cs="Times New Roman"/>
          <w:color w:val="333333"/>
          <w:kern w:val="0"/>
          <w:sz w:val="19"/>
          <w:szCs w:val="19"/>
          <w:lang w:eastAsia="fr-FR"/>
          <w14:ligatures w14:val="none"/>
        </w:rPr>
        <w:t xml:space="preserve"> et de son métabolite actif par </w:t>
      </w:r>
      <w:proofErr w:type="spellStart"/>
      <w:r w:rsidRPr="004A0C20">
        <w:rPr>
          <w:rFonts w:ascii="Roboto" w:eastAsia="Times New Roman" w:hAnsi="Roboto" w:cs="Times New Roman"/>
          <w:color w:val="333333"/>
          <w:kern w:val="0"/>
          <w:sz w:val="19"/>
          <w:szCs w:val="19"/>
          <w:lang w:eastAsia="fr-FR"/>
          <w14:ligatures w14:val="none"/>
        </w:rPr>
        <w:t>par</w:t>
      </w:r>
      <w:proofErr w:type="spellEnd"/>
      <w:r w:rsidRPr="004A0C20">
        <w:rPr>
          <w:rFonts w:ascii="Roboto" w:eastAsia="Times New Roman" w:hAnsi="Roboto" w:cs="Times New Roman"/>
          <w:color w:val="333333"/>
          <w:kern w:val="0"/>
          <w:sz w:val="19"/>
          <w:szCs w:val="19"/>
          <w:lang w:eastAsia="fr-FR"/>
          <w14:ligatures w14:val="none"/>
        </w:rPr>
        <w:t xml:space="preserve"> la rifampicine, avec risque de baisse de son efficacité.</w:t>
      </w:r>
    </w:p>
    <w:p w14:paraId="6FF270C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de la réponse thérapeutique et adaptation éventuelle de la posologie de l'</w:t>
      </w:r>
      <w:proofErr w:type="spellStart"/>
      <w:r w:rsidRPr="004A0C20">
        <w:rPr>
          <w:rFonts w:ascii="Roboto" w:eastAsia="Times New Roman" w:hAnsi="Roboto" w:cs="Times New Roman"/>
          <w:color w:val="333333"/>
          <w:kern w:val="0"/>
          <w:sz w:val="19"/>
          <w:szCs w:val="19"/>
          <w:lang w:eastAsia="fr-FR"/>
          <w14:ligatures w14:val="none"/>
        </w:rPr>
        <w:t>albendazole</w:t>
      </w:r>
      <w:proofErr w:type="spellEnd"/>
      <w:r w:rsidRPr="004A0C20">
        <w:rPr>
          <w:rFonts w:ascii="Roboto" w:eastAsia="Times New Roman" w:hAnsi="Roboto" w:cs="Times New Roman"/>
          <w:color w:val="333333"/>
          <w:kern w:val="0"/>
          <w:sz w:val="19"/>
          <w:szCs w:val="19"/>
          <w:lang w:eastAsia="fr-FR"/>
          <w14:ligatures w14:val="none"/>
        </w:rPr>
        <w:t xml:space="preserve"> pendant le traitement avec l'inducteur enzymatique et après son arrêt.</w:t>
      </w:r>
    </w:p>
    <w:p w14:paraId="42DC7AF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Androgènes</w:t>
      </w:r>
    </w:p>
    <w:p w14:paraId="1F667AC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des concentrations plasmatiques de l'androgène et par conséquent de son efficacité, par augmentation de son métabolisme hépatique par l'inducteur.</w:t>
      </w:r>
    </w:p>
    <w:p w14:paraId="3981C3D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pendant l'association et 1 à 2 semaines après l'arrêt de l'inducteur.</w:t>
      </w:r>
    </w:p>
    <w:p w14:paraId="4243FAB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 xml:space="preserve">Antagonistes des canaux calciques (sauf </w:t>
      </w:r>
      <w:proofErr w:type="spellStart"/>
      <w:r w:rsidRPr="004A0C20">
        <w:rPr>
          <w:rFonts w:ascii="Roboto" w:eastAsia="Times New Roman" w:hAnsi="Roboto" w:cs="Times New Roman"/>
          <w:b/>
          <w:bCs/>
          <w:color w:val="333333"/>
          <w:kern w:val="0"/>
          <w:sz w:val="19"/>
          <w:szCs w:val="19"/>
          <w:lang w:eastAsia="fr-FR"/>
          <w14:ligatures w14:val="none"/>
        </w:rPr>
        <w:t>nimodipine</w:t>
      </w:r>
      <w:proofErr w:type="spellEnd"/>
      <w:r w:rsidRPr="004A0C20">
        <w:rPr>
          <w:rFonts w:ascii="Roboto" w:eastAsia="Times New Roman" w:hAnsi="Roboto" w:cs="Times New Roman"/>
          <w:b/>
          <w:bCs/>
          <w:color w:val="333333"/>
          <w:kern w:val="0"/>
          <w:sz w:val="19"/>
          <w:szCs w:val="19"/>
          <w:lang w:eastAsia="fr-FR"/>
          <w14:ligatures w14:val="none"/>
        </w:rPr>
        <w:t>, voir en association déconseillée)</w:t>
      </w:r>
    </w:p>
    <w:p w14:paraId="44F6C50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l'antagoniste du calcium par augmentation de son métabolisme hépatique.</w:t>
      </w:r>
    </w:p>
    <w:p w14:paraId="49F1895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l'antagoniste du calcium pendant le traitement par la rifampicine et après son arrêt.</w:t>
      </w:r>
    </w:p>
    <w:p w14:paraId="522F9D3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Anti-arythmiques</w:t>
      </w:r>
      <w:proofErr w:type="spellEnd"/>
      <w:r w:rsidRPr="004A0C20">
        <w:rPr>
          <w:rFonts w:ascii="Roboto" w:eastAsia="Times New Roman" w:hAnsi="Roboto" w:cs="Times New Roman"/>
          <w:b/>
          <w:bCs/>
          <w:color w:val="333333"/>
          <w:kern w:val="0"/>
          <w:sz w:val="19"/>
          <w:szCs w:val="19"/>
          <w:lang w:eastAsia="fr-FR"/>
          <w14:ligatures w14:val="none"/>
        </w:rPr>
        <w:t xml:space="preserve"> classe IA</w:t>
      </w:r>
    </w:p>
    <w:p w14:paraId="07AFE89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w:t>
      </w:r>
      <w:proofErr w:type="spellStart"/>
      <w:r w:rsidRPr="004A0C20">
        <w:rPr>
          <w:rFonts w:ascii="Roboto" w:eastAsia="Times New Roman" w:hAnsi="Roboto" w:cs="Times New Roman"/>
          <w:color w:val="333333"/>
          <w:kern w:val="0"/>
          <w:sz w:val="19"/>
          <w:szCs w:val="19"/>
          <w:lang w:eastAsia="fr-FR"/>
          <w14:ligatures w14:val="none"/>
        </w:rPr>
        <w:t>anti-arythmique</w:t>
      </w:r>
      <w:proofErr w:type="spellEnd"/>
      <w:r w:rsidRPr="004A0C20">
        <w:rPr>
          <w:rFonts w:ascii="Roboto" w:eastAsia="Times New Roman" w:hAnsi="Roboto" w:cs="Times New Roman"/>
          <w:color w:val="333333"/>
          <w:kern w:val="0"/>
          <w:sz w:val="19"/>
          <w:szCs w:val="19"/>
          <w:lang w:eastAsia="fr-FR"/>
          <w14:ligatures w14:val="none"/>
        </w:rPr>
        <w:t xml:space="preserve"> (accélération de son métabolisme hépatique).</w:t>
      </w:r>
    </w:p>
    <w:p w14:paraId="027A512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ECG et éventuellement de la concentration plasmatique de l'</w:t>
      </w:r>
      <w:proofErr w:type="spellStart"/>
      <w:r w:rsidRPr="004A0C20">
        <w:rPr>
          <w:rFonts w:ascii="Roboto" w:eastAsia="Times New Roman" w:hAnsi="Roboto" w:cs="Times New Roman"/>
          <w:color w:val="333333"/>
          <w:kern w:val="0"/>
          <w:sz w:val="19"/>
          <w:szCs w:val="19"/>
          <w:lang w:eastAsia="fr-FR"/>
          <w14:ligatures w14:val="none"/>
        </w:rPr>
        <w:t>anti-arythmique</w:t>
      </w:r>
      <w:proofErr w:type="spellEnd"/>
      <w:r w:rsidRPr="004A0C20">
        <w:rPr>
          <w:rFonts w:ascii="Roboto" w:eastAsia="Times New Roman" w:hAnsi="Roboto" w:cs="Times New Roman"/>
          <w:color w:val="333333"/>
          <w:kern w:val="0"/>
          <w:sz w:val="19"/>
          <w:szCs w:val="19"/>
          <w:lang w:eastAsia="fr-FR"/>
          <w14:ligatures w14:val="none"/>
        </w:rPr>
        <w:t>. Si besoin, adaptation de la posologie de l'</w:t>
      </w:r>
      <w:proofErr w:type="spellStart"/>
      <w:r w:rsidRPr="004A0C20">
        <w:rPr>
          <w:rFonts w:ascii="Roboto" w:eastAsia="Times New Roman" w:hAnsi="Roboto" w:cs="Times New Roman"/>
          <w:color w:val="333333"/>
          <w:kern w:val="0"/>
          <w:sz w:val="19"/>
          <w:szCs w:val="19"/>
          <w:lang w:eastAsia="fr-FR"/>
          <w14:ligatures w14:val="none"/>
        </w:rPr>
        <w:t>anti-arythmique</w:t>
      </w:r>
      <w:proofErr w:type="spellEnd"/>
      <w:r w:rsidRPr="004A0C20">
        <w:rPr>
          <w:rFonts w:ascii="Roboto" w:eastAsia="Times New Roman" w:hAnsi="Roboto" w:cs="Times New Roman"/>
          <w:color w:val="333333"/>
          <w:kern w:val="0"/>
          <w:sz w:val="19"/>
          <w:szCs w:val="19"/>
          <w:lang w:eastAsia="fr-FR"/>
          <w14:ligatures w14:val="none"/>
        </w:rPr>
        <w:t xml:space="preserve"> pendant le traitement par la rifampicine et après son arrêt (risque de surdosage en </w:t>
      </w:r>
      <w:proofErr w:type="spellStart"/>
      <w:r w:rsidRPr="004A0C20">
        <w:rPr>
          <w:rFonts w:ascii="Roboto" w:eastAsia="Times New Roman" w:hAnsi="Roboto" w:cs="Times New Roman"/>
          <w:color w:val="333333"/>
          <w:kern w:val="0"/>
          <w:sz w:val="19"/>
          <w:szCs w:val="19"/>
          <w:lang w:eastAsia="fr-FR"/>
          <w14:ligatures w14:val="none"/>
        </w:rPr>
        <w:t>anti-arythmique</w:t>
      </w:r>
      <w:proofErr w:type="spellEnd"/>
      <w:r w:rsidRPr="004A0C20">
        <w:rPr>
          <w:rFonts w:ascii="Roboto" w:eastAsia="Times New Roman" w:hAnsi="Roboto" w:cs="Times New Roman"/>
          <w:color w:val="333333"/>
          <w:kern w:val="0"/>
          <w:sz w:val="19"/>
          <w:szCs w:val="19"/>
          <w:lang w:eastAsia="fr-FR"/>
          <w14:ligatures w14:val="none"/>
        </w:rPr>
        <w:t>).</w:t>
      </w:r>
    </w:p>
    <w:p w14:paraId="29891C4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Antivitamines K</w:t>
      </w:r>
    </w:p>
    <w:p w14:paraId="0C0E2C4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 l'effet de l'antivitamine K par augmentation de son métabolisme hépatique par la rifampicine.</w:t>
      </w:r>
    </w:p>
    <w:p w14:paraId="16C58CE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Contrôle plus fréquent de l'INR. Adaptation éventuelle de la posologie de l'antivitamine K pendant le traitement par la rifampicine et 8 jours après son arrêt.</w:t>
      </w:r>
    </w:p>
    <w:p w14:paraId="33BACC4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Aripiprazole</w:t>
      </w:r>
      <w:proofErr w:type="spellEnd"/>
    </w:p>
    <w:p w14:paraId="203BF4F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4A0C20">
        <w:rPr>
          <w:rFonts w:ascii="Roboto" w:eastAsia="Times New Roman" w:hAnsi="Roboto" w:cs="Times New Roman"/>
          <w:color w:val="333333"/>
          <w:kern w:val="0"/>
          <w:sz w:val="19"/>
          <w:szCs w:val="19"/>
          <w:lang w:eastAsia="fr-FR"/>
          <w14:ligatures w14:val="none"/>
        </w:rPr>
        <w:t>aripiprazole</w:t>
      </w:r>
      <w:proofErr w:type="spellEnd"/>
      <w:r w:rsidRPr="004A0C20">
        <w:rPr>
          <w:rFonts w:ascii="Roboto" w:eastAsia="Times New Roman" w:hAnsi="Roboto" w:cs="Times New Roman"/>
          <w:color w:val="333333"/>
          <w:kern w:val="0"/>
          <w:sz w:val="19"/>
          <w:szCs w:val="19"/>
          <w:lang w:eastAsia="fr-FR"/>
          <w14:ligatures w14:val="none"/>
        </w:rPr>
        <w:t>.</w:t>
      </w:r>
    </w:p>
    <w:p w14:paraId="3731AFE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w:t>
      </w:r>
      <w:proofErr w:type="spellStart"/>
      <w:r w:rsidRPr="004A0C20">
        <w:rPr>
          <w:rFonts w:ascii="Roboto" w:eastAsia="Times New Roman" w:hAnsi="Roboto" w:cs="Times New Roman"/>
          <w:color w:val="333333"/>
          <w:kern w:val="0"/>
          <w:sz w:val="19"/>
          <w:szCs w:val="19"/>
          <w:lang w:eastAsia="fr-FR"/>
          <w14:ligatures w14:val="none"/>
        </w:rPr>
        <w:t>aripiprazole</w:t>
      </w:r>
      <w:proofErr w:type="spellEnd"/>
      <w:r w:rsidRPr="004A0C20">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0834FFC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Bazédoxifène</w:t>
      </w:r>
      <w:proofErr w:type="spellEnd"/>
    </w:p>
    <w:p w14:paraId="7445B2E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bazédoxifène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30EE70C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d'éventuels signes évocateurs d'une perte d'efficacité (saignements).</w:t>
      </w:r>
    </w:p>
    <w:p w14:paraId="4668BF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lastRenderedPageBreak/>
        <w:t>Buspirone</w:t>
      </w:r>
      <w:proofErr w:type="spellEnd"/>
    </w:p>
    <w:p w14:paraId="3B77651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4A0C20">
        <w:rPr>
          <w:rFonts w:ascii="Roboto" w:eastAsia="Times New Roman" w:hAnsi="Roboto" w:cs="Times New Roman"/>
          <w:color w:val="333333"/>
          <w:kern w:val="0"/>
          <w:sz w:val="19"/>
          <w:szCs w:val="19"/>
          <w:lang w:eastAsia="fr-FR"/>
          <w14:ligatures w14:val="none"/>
        </w:rPr>
        <w:t>buspirone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E6E02B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Surveillance clinique et adaptation éventuelle de la posologie de la </w:t>
      </w:r>
      <w:proofErr w:type="spellStart"/>
      <w:r w:rsidRPr="004A0C20">
        <w:rPr>
          <w:rFonts w:ascii="Roboto" w:eastAsia="Times New Roman" w:hAnsi="Roboto" w:cs="Times New Roman"/>
          <w:color w:val="333333"/>
          <w:kern w:val="0"/>
          <w:sz w:val="19"/>
          <w:szCs w:val="19"/>
          <w:lang w:eastAsia="fr-FR"/>
          <w14:ligatures w14:val="none"/>
        </w:rPr>
        <w:t>buspirone</w:t>
      </w:r>
      <w:proofErr w:type="spellEnd"/>
      <w:r w:rsidRPr="004A0C20">
        <w:rPr>
          <w:rFonts w:ascii="Roboto" w:eastAsia="Times New Roman" w:hAnsi="Roboto" w:cs="Times New Roman"/>
          <w:color w:val="333333"/>
          <w:kern w:val="0"/>
          <w:sz w:val="19"/>
          <w:szCs w:val="19"/>
          <w:lang w:eastAsia="fr-FR"/>
          <w14:ligatures w14:val="none"/>
        </w:rPr>
        <w:t xml:space="preserve"> pendant le traitement par rifampicine et après son arrêt.</w:t>
      </w:r>
    </w:p>
    <w:p w14:paraId="0D6BEF4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Carbamazépine</w:t>
      </w:r>
    </w:p>
    <w:p w14:paraId="00C6DF0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la carbamazépine par augmentation de son métabolisme hépatique par la rifampicine.</w:t>
      </w:r>
    </w:p>
    <w:p w14:paraId="68676C9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contrôle des concentrations plasmatiques et adaptation de la posologie de la carbamazépine pendant le traitement par la rifampicine et après son arrêt.</w:t>
      </w:r>
    </w:p>
    <w:p w14:paraId="62BD63D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Carvédilol</w:t>
      </w:r>
    </w:p>
    <w:p w14:paraId="16AB76D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importante des concentrations plasmatiques du carvédilol, par augmentation de son métabolisme hépatique par la rifampicine.</w:t>
      </w:r>
    </w:p>
    <w:p w14:paraId="4AFAB9C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régulière et adaptation de la posologie du carvédilol pendant le traitement par la rifampicine. A l'arrêt de la rifampicine, risque de remontée importante des concentrations plasmatiques de carvédilol imposant une réduction posologique et une surveillance clinique étroite.</w:t>
      </w:r>
    </w:p>
    <w:p w14:paraId="0FB5A61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Caspofungine</w:t>
      </w:r>
      <w:proofErr w:type="spellEnd"/>
    </w:p>
    <w:p w14:paraId="46B18CE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caspofungine</w:t>
      </w:r>
      <w:proofErr w:type="spellEnd"/>
      <w:r w:rsidRPr="004A0C20">
        <w:rPr>
          <w:rFonts w:ascii="Roboto" w:eastAsia="Times New Roman" w:hAnsi="Roboto" w:cs="Times New Roman"/>
          <w:color w:val="333333"/>
          <w:kern w:val="0"/>
          <w:sz w:val="19"/>
          <w:szCs w:val="19"/>
          <w:lang w:eastAsia="fr-FR"/>
          <w14:ligatures w14:val="none"/>
        </w:rPr>
        <w:t>.</w:t>
      </w:r>
    </w:p>
    <w:p w14:paraId="247878B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cas de traitement par inducteur, maintenir la posologie à 70 mg par jour dès le 2e jour.</w:t>
      </w:r>
    </w:p>
    <w:p w14:paraId="3CBC517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Clarithromycine</w:t>
      </w:r>
    </w:p>
    <w:p w14:paraId="1F8EDAB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risque de baisse de l'efficacité de la clarithromycine, notamment chez le patient HIV, par augmentation de son métabolisme hépatique par la rifampicine.</w:t>
      </w:r>
    </w:p>
    <w:p w14:paraId="4668673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régulière.</w:t>
      </w:r>
    </w:p>
    <w:p w14:paraId="2E4C2AD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Clozapine</w:t>
      </w:r>
    </w:p>
    <w:p w14:paraId="3B14DBC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d'inefficacité du traitement antipsychotique (diminution des concentrations plasmatiques de clozapine par augmentation de son métabolisme hépatique).</w:t>
      </w:r>
    </w:p>
    <w:p w14:paraId="2A40B21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augmentation éventuelle de la posologie de la clozapine durant le traitement par la rifampicine.</w:t>
      </w:r>
    </w:p>
    <w:p w14:paraId="0EFE0BA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Cyprotérone (dans ses indications comme anti-androgène)</w:t>
      </w:r>
    </w:p>
    <w:p w14:paraId="4311EEF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l'efficacité de la cyprotérone.</w:t>
      </w:r>
    </w:p>
    <w:p w14:paraId="2208754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la cyprotérone pendant l'association et après son arrêt.</w:t>
      </w:r>
    </w:p>
    <w:p w14:paraId="3987396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Déférasirox</w:t>
      </w:r>
      <w:proofErr w:type="spellEnd"/>
    </w:p>
    <w:p w14:paraId="13B2B2E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déférasirox</w:t>
      </w:r>
      <w:proofErr w:type="spellEnd"/>
      <w:r w:rsidRPr="004A0C20">
        <w:rPr>
          <w:rFonts w:ascii="Roboto" w:eastAsia="Times New Roman" w:hAnsi="Roboto" w:cs="Times New Roman"/>
          <w:color w:val="333333"/>
          <w:kern w:val="0"/>
          <w:sz w:val="19"/>
          <w:szCs w:val="19"/>
          <w:lang w:eastAsia="fr-FR"/>
          <w14:ligatures w14:val="none"/>
        </w:rPr>
        <w:t>.</w:t>
      </w:r>
    </w:p>
    <w:p w14:paraId="498663D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Surveiller la ferritinémie pendant et après le traitement par la rifampicine. Si besoin, adaptation de la posologie de </w:t>
      </w:r>
      <w:proofErr w:type="spellStart"/>
      <w:r w:rsidRPr="004A0C20">
        <w:rPr>
          <w:rFonts w:ascii="Roboto" w:eastAsia="Times New Roman" w:hAnsi="Roboto" w:cs="Times New Roman"/>
          <w:color w:val="333333"/>
          <w:kern w:val="0"/>
          <w:sz w:val="19"/>
          <w:szCs w:val="19"/>
          <w:lang w:eastAsia="fr-FR"/>
          <w14:ligatures w14:val="none"/>
        </w:rPr>
        <w:t>déférasirox</w:t>
      </w:r>
      <w:proofErr w:type="spellEnd"/>
      <w:r w:rsidRPr="004A0C20">
        <w:rPr>
          <w:rFonts w:ascii="Roboto" w:eastAsia="Times New Roman" w:hAnsi="Roboto" w:cs="Times New Roman"/>
          <w:color w:val="333333"/>
          <w:kern w:val="0"/>
          <w:sz w:val="19"/>
          <w:szCs w:val="19"/>
          <w:lang w:eastAsia="fr-FR"/>
          <w14:ligatures w14:val="none"/>
        </w:rPr>
        <w:t>.</w:t>
      </w:r>
    </w:p>
    <w:p w14:paraId="43B12F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Digoxine</w:t>
      </w:r>
      <w:proofErr w:type="spellEnd"/>
    </w:p>
    <w:p w14:paraId="7F681BC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modeste des concentrations de </w:t>
      </w:r>
      <w:proofErr w:type="spellStart"/>
      <w:r w:rsidRPr="004A0C20">
        <w:rPr>
          <w:rFonts w:ascii="Roboto" w:eastAsia="Times New Roman" w:hAnsi="Roboto" w:cs="Times New Roman"/>
          <w:color w:val="333333"/>
          <w:kern w:val="0"/>
          <w:sz w:val="19"/>
          <w:szCs w:val="19"/>
          <w:lang w:eastAsia="fr-FR"/>
          <w14:ligatures w14:val="none"/>
        </w:rPr>
        <w:t>digoxine</w:t>
      </w:r>
      <w:proofErr w:type="spellEnd"/>
      <w:r w:rsidRPr="004A0C20">
        <w:rPr>
          <w:rFonts w:ascii="Roboto" w:eastAsia="Times New Roman" w:hAnsi="Roboto" w:cs="Times New Roman"/>
          <w:color w:val="333333"/>
          <w:kern w:val="0"/>
          <w:sz w:val="19"/>
          <w:szCs w:val="19"/>
          <w:lang w:eastAsia="fr-FR"/>
          <w14:ligatures w14:val="none"/>
        </w:rPr>
        <w:t>.</w:t>
      </w:r>
    </w:p>
    <w:p w14:paraId="57FDC73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ECG.</w:t>
      </w:r>
    </w:p>
    <w:p w14:paraId="3DD0EFA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Disopyramide</w:t>
      </w:r>
      <w:proofErr w:type="spellEnd"/>
    </w:p>
    <w:p w14:paraId="1387F0D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4A0C20">
        <w:rPr>
          <w:rFonts w:ascii="Roboto" w:eastAsia="Times New Roman" w:hAnsi="Roboto" w:cs="Times New Roman"/>
          <w:color w:val="333333"/>
          <w:kern w:val="0"/>
          <w:sz w:val="19"/>
          <w:szCs w:val="19"/>
          <w:lang w:eastAsia="fr-FR"/>
          <w14:ligatures w14:val="none"/>
        </w:rPr>
        <w:t>disopyramide</w:t>
      </w:r>
      <w:proofErr w:type="spellEnd"/>
      <w:r w:rsidRPr="004A0C20">
        <w:rPr>
          <w:rFonts w:ascii="Roboto" w:eastAsia="Times New Roman" w:hAnsi="Roboto" w:cs="Times New Roman"/>
          <w:color w:val="333333"/>
          <w:kern w:val="0"/>
          <w:sz w:val="19"/>
          <w:szCs w:val="19"/>
          <w:lang w:eastAsia="fr-FR"/>
          <w14:ligatures w14:val="none"/>
        </w:rPr>
        <w:t xml:space="preserve"> par la rifampicine.</w:t>
      </w:r>
    </w:p>
    <w:p w14:paraId="612ED03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 xml:space="preserve">Surveillance clinique et éventuellement adaptation de la posologie du </w:t>
      </w:r>
      <w:proofErr w:type="spellStart"/>
      <w:r w:rsidRPr="004A0C20">
        <w:rPr>
          <w:rFonts w:ascii="Roboto" w:eastAsia="Times New Roman" w:hAnsi="Roboto" w:cs="Times New Roman"/>
          <w:color w:val="333333"/>
          <w:kern w:val="0"/>
          <w:sz w:val="19"/>
          <w:szCs w:val="19"/>
          <w:lang w:eastAsia="fr-FR"/>
          <w14:ligatures w14:val="none"/>
        </w:rPr>
        <w:t>disopyramide</w:t>
      </w:r>
      <w:proofErr w:type="spellEnd"/>
      <w:r w:rsidRPr="004A0C20">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5BF636E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Dolutégravir</w:t>
      </w:r>
      <w:proofErr w:type="spellEnd"/>
      <w:r w:rsidRPr="004A0C20">
        <w:rPr>
          <w:rFonts w:ascii="Roboto" w:eastAsia="Times New Roman" w:hAnsi="Roboto" w:cs="Times New Roman"/>
          <w:b/>
          <w:bCs/>
          <w:color w:val="333333"/>
          <w:kern w:val="0"/>
          <w:sz w:val="19"/>
          <w:szCs w:val="19"/>
          <w:lang w:eastAsia="fr-FR"/>
          <w14:ligatures w14:val="none"/>
        </w:rPr>
        <w:t xml:space="preserve"> (en l'absence de résistance à la classe des inhibiteurs d'intégrase)</w:t>
      </w:r>
    </w:p>
    <w:p w14:paraId="0FA517D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4A0C20">
        <w:rPr>
          <w:rFonts w:ascii="Roboto" w:eastAsia="Times New Roman" w:hAnsi="Roboto" w:cs="Times New Roman"/>
          <w:color w:val="333333"/>
          <w:kern w:val="0"/>
          <w:sz w:val="19"/>
          <w:szCs w:val="19"/>
          <w:lang w:eastAsia="fr-FR"/>
          <w14:ligatures w14:val="none"/>
        </w:rPr>
        <w:t>dolutégravir</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par l'inducteur.</w:t>
      </w:r>
    </w:p>
    <w:p w14:paraId="4B91018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Adaptation de la posologie de </w:t>
      </w:r>
      <w:proofErr w:type="spellStart"/>
      <w:r w:rsidRPr="004A0C20">
        <w:rPr>
          <w:rFonts w:ascii="Roboto" w:eastAsia="Times New Roman" w:hAnsi="Roboto" w:cs="Times New Roman"/>
          <w:color w:val="333333"/>
          <w:kern w:val="0"/>
          <w:sz w:val="19"/>
          <w:szCs w:val="19"/>
          <w:lang w:eastAsia="fr-FR"/>
          <w14:ligatures w14:val="none"/>
        </w:rPr>
        <w:t>dolutégravir</w:t>
      </w:r>
      <w:proofErr w:type="spellEnd"/>
      <w:r w:rsidRPr="004A0C20">
        <w:rPr>
          <w:rFonts w:ascii="Roboto" w:eastAsia="Times New Roman" w:hAnsi="Roboto" w:cs="Times New Roman"/>
          <w:color w:val="333333"/>
          <w:kern w:val="0"/>
          <w:sz w:val="19"/>
          <w:szCs w:val="19"/>
          <w:lang w:eastAsia="fr-FR"/>
          <w14:ligatures w14:val="none"/>
        </w:rPr>
        <w:t xml:space="preserve"> à 50 mg 2 fois par jour pendant l'association et une semaine après son arrêt.</w:t>
      </w:r>
    </w:p>
    <w:p w14:paraId="14F4712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Efavirenz</w:t>
      </w:r>
    </w:p>
    <w:p w14:paraId="00A4FE1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l'éfavirenz par augmentation de son métabolisme hépatique par la rifampicine.</w:t>
      </w:r>
    </w:p>
    <w:p w14:paraId="54B3AE6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régulière, notamment en début d'association.</w:t>
      </w:r>
    </w:p>
    <w:p w14:paraId="0C36E2F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Glucocorticoïdes (sauf Hydrocortisone)</w:t>
      </w:r>
    </w:p>
    <w:p w14:paraId="30AED7F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4A0C20">
        <w:rPr>
          <w:rFonts w:ascii="Roboto" w:eastAsia="Times New Roman" w:hAnsi="Roboto" w:cs="Times New Roman"/>
          <w:color w:val="333333"/>
          <w:kern w:val="0"/>
          <w:sz w:val="19"/>
          <w:szCs w:val="19"/>
          <w:lang w:eastAsia="fr-FR"/>
          <w14:ligatures w14:val="none"/>
        </w:rPr>
        <w:t>addisoniens</w:t>
      </w:r>
      <w:proofErr w:type="spellEnd"/>
      <w:r w:rsidRPr="004A0C20">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3EA08A6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2FE98F0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Halopéridol</w:t>
      </w:r>
    </w:p>
    <w:p w14:paraId="2E2170B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des concentrations plasmatiques de l'halopéridol et de son efficacité thérapeutique, par augmentation de son métabolisme hépatique par la rifampicine.</w:t>
      </w:r>
    </w:p>
    <w:p w14:paraId="53EED10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si besoin, adaptation posologique pendant le traitement par la rifampicine et après son arrêt.</w:t>
      </w:r>
    </w:p>
    <w:p w14:paraId="0BD61FF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Hormones thyroïdiennes</w:t>
      </w:r>
    </w:p>
    <w:p w14:paraId="3094E41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d'hypothyroïdie clinique chez les patients hypothyroïdiens, par augmentation du métabolisme de la T3 et de la T4.</w:t>
      </w:r>
    </w:p>
    <w:p w14:paraId="5AFF9B1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des concentrations sériques de T3 et de T4 et adaptation, si besoin, de la posologie des hormones thyroïdiennes pendant le traitement par la rifampicine et après son arrêt.</w:t>
      </w:r>
    </w:p>
    <w:p w14:paraId="1AED1BB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Hydrocortisone</w:t>
      </w:r>
    </w:p>
    <w:p w14:paraId="154E1A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l'efficacité de l'hydrocortisone (augmentation de son métabolisme) ; les conséquences sont graves lorsque l'hydrocortisone est administrée en traitement substitutif ou en cas de transplantation.</w:t>
      </w:r>
    </w:p>
    <w:p w14:paraId="7067B91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 adaptation de la posologie de l'hydrocortisone pendant l'association et après l'arrêt de l'inducteur enzymatique.</w:t>
      </w:r>
    </w:p>
    <w:p w14:paraId="56356AA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Hydroxychloroquine</w:t>
      </w:r>
    </w:p>
    <w:p w14:paraId="5A4A19E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l'effet thérapeutique de l'hydroxychloroquine, par augmentation de son métabolisme par la rifampicine.</w:t>
      </w:r>
    </w:p>
    <w:p w14:paraId="67D1AA4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l'hydroxychloroquine pendant le traitement par rifampicine et après son arrêt.</w:t>
      </w:r>
    </w:p>
    <w:p w14:paraId="717F734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Immunosuppresseurs</w:t>
      </w:r>
    </w:p>
    <w:p w14:paraId="4176A88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sanguines et de l'efficacité de l'immunosuppresseur, par augmentation de son métabolisme hépatique par la rifampicine.</w:t>
      </w:r>
    </w:p>
    <w:p w14:paraId="002B802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Augmentation de la posologie de l'immunosuppresseur sous contrôle des concentrations sanguines. Réduction de la posologie après l'arrêt de la rifampicine.</w:t>
      </w:r>
    </w:p>
    <w:p w14:paraId="1FDF6A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Isoniazide</w:t>
      </w:r>
    </w:p>
    <w:p w14:paraId="58FEC10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Augmentation de l'hépatotoxicité de l'isoniazide (accélération de la formation de métabolites toxiques de l'isoniazide).</w:t>
      </w:r>
    </w:p>
    <w:p w14:paraId="4041023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de cette association classique. En cas d'hépatite, arrêter l'isoniazide.</w:t>
      </w:r>
    </w:p>
    <w:p w14:paraId="18FEC07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Ivabradine</w:t>
      </w:r>
      <w:proofErr w:type="spellEnd"/>
    </w:p>
    <w:p w14:paraId="002954F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l'efficacité de l'</w:t>
      </w:r>
      <w:proofErr w:type="spellStart"/>
      <w:r w:rsidRPr="004A0C20">
        <w:rPr>
          <w:rFonts w:ascii="Roboto" w:eastAsia="Times New Roman" w:hAnsi="Roboto" w:cs="Times New Roman"/>
          <w:color w:val="333333"/>
          <w:kern w:val="0"/>
          <w:sz w:val="19"/>
          <w:szCs w:val="19"/>
          <w:lang w:eastAsia="fr-FR"/>
          <w14:ligatures w14:val="none"/>
        </w:rPr>
        <w:t>ivabradine</w:t>
      </w:r>
      <w:proofErr w:type="spellEnd"/>
      <w:r w:rsidRPr="004A0C20">
        <w:rPr>
          <w:rFonts w:ascii="Roboto" w:eastAsia="Times New Roman" w:hAnsi="Roboto" w:cs="Times New Roman"/>
          <w:color w:val="333333"/>
          <w:kern w:val="0"/>
          <w:sz w:val="19"/>
          <w:szCs w:val="19"/>
          <w:lang w:eastAsia="fr-FR"/>
          <w14:ligatures w14:val="none"/>
        </w:rPr>
        <w:t>, par augmentation de son métabolisme par la rifampicine.</w:t>
      </w:r>
    </w:p>
    <w:p w14:paraId="4CAD5E1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de la posologie de l'</w:t>
      </w:r>
      <w:proofErr w:type="spellStart"/>
      <w:r w:rsidRPr="004A0C20">
        <w:rPr>
          <w:rFonts w:ascii="Roboto" w:eastAsia="Times New Roman" w:hAnsi="Roboto" w:cs="Times New Roman"/>
          <w:color w:val="333333"/>
          <w:kern w:val="0"/>
          <w:sz w:val="19"/>
          <w:szCs w:val="19"/>
          <w:lang w:eastAsia="fr-FR"/>
          <w14:ligatures w14:val="none"/>
        </w:rPr>
        <w:t>ivabradine</w:t>
      </w:r>
      <w:proofErr w:type="spellEnd"/>
      <w:r w:rsidRPr="004A0C20">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3200B5A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Lévonorgestrel</w:t>
      </w:r>
    </w:p>
    <w:p w14:paraId="6045F9E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Avec le lévonorgestrel utilisé dans l'indication contraception d'urgence, diminution importante des concentrations plasmatiques de lévonorgestrel, avec risque d'inefficacité.</w:t>
      </w:r>
    </w:p>
    <w:p w14:paraId="7791B14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cas de prise d'un médicament inducteur dans les 4 dernières semaines, l'utilisation d'une contraception d'urgence non hormonale (DIU au cuivre) devrait s'envisager.</w:t>
      </w:r>
    </w:p>
    <w:p w14:paraId="2B4B6CE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Si ce n'est pas possible, le doublement de la dose de lévonorgestrel est une autre option.</w:t>
      </w:r>
    </w:p>
    <w:p w14:paraId="079EA27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Linézolide</w:t>
      </w:r>
      <w:proofErr w:type="spellEnd"/>
    </w:p>
    <w:p w14:paraId="6BCC0F1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4A0C20">
        <w:rPr>
          <w:rFonts w:ascii="Roboto" w:eastAsia="Times New Roman" w:hAnsi="Roboto" w:cs="Times New Roman"/>
          <w:color w:val="333333"/>
          <w:kern w:val="0"/>
          <w:sz w:val="19"/>
          <w:szCs w:val="19"/>
          <w:lang w:eastAsia="fr-FR"/>
          <w14:ligatures w14:val="none"/>
        </w:rPr>
        <w:t>linézolide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0E6CC1D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Surveillance clinique et augmentation éventuelle de la posologie du </w:t>
      </w:r>
      <w:proofErr w:type="spellStart"/>
      <w:r w:rsidRPr="004A0C20">
        <w:rPr>
          <w:rFonts w:ascii="Roboto" w:eastAsia="Times New Roman" w:hAnsi="Roboto" w:cs="Times New Roman"/>
          <w:color w:val="333333"/>
          <w:kern w:val="0"/>
          <w:sz w:val="19"/>
          <w:szCs w:val="19"/>
          <w:lang w:eastAsia="fr-FR"/>
          <w14:ligatures w14:val="none"/>
        </w:rPr>
        <w:t>linézolide</w:t>
      </w:r>
      <w:proofErr w:type="spellEnd"/>
      <w:r w:rsidRPr="004A0C20">
        <w:rPr>
          <w:rFonts w:ascii="Roboto" w:eastAsia="Times New Roman" w:hAnsi="Roboto" w:cs="Times New Roman"/>
          <w:color w:val="333333"/>
          <w:kern w:val="0"/>
          <w:sz w:val="19"/>
          <w:szCs w:val="19"/>
          <w:lang w:eastAsia="fr-FR"/>
          <w14:ligatures w14:val="none"/>
        </w:rPr>
        <w:t xml:space="preserve"> pendant le traitement par la rifampicine.</w:t>
      </w:r>
    </w:p>
    <w:p w14:paraId="7D55747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Maraviroc</w:t>
      </w:r>
      <w:proofErr w:type="spellEnd"/>
    </w:p>
    <w:p w14:paraId="5262539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En l'absence de </w:t>
      </w:r>
      <w:proofErr w:type="spellStart"/>
      <w:r w:rsidRPr="004A0C20">
        <w:rPr>
          <w:rFonts w:ascii="Roboto" w:eastAsia="Times New Roman" w:hAnsi="Roboto" w:cs="Times New Roman"/>
          <w:color w:val="333333"/>
          <w:kern w:val="0"/>
          <w:sz w:val="19"/>
          <w:szCs w:val="19"/>
          <w:lang w:eastAsia="fr-FR"/>
          <w14:ligatures w14:val="none"/>
        </w:rPr>
        <w:t>co</w:t>
      </w:r>
      <w:proofErr w:type="spellEnd"/>
      <w:r w:rsidRPr="004A0C20">
        <w:rPr>
          <w:rFonts w:ascii="Roboto" w:eastAsia="Times New Roman" w:hAnsi="Roboto" w:cs="Times New Roman"/>
          <w:color w:val="333333"/>
          <w:kern w:val="0"/>
          <w:sz w:val="19"/>
          <w:szCs w:val="19"/>
          <w:lang w:eastAsia="fr-FR"/>
          <w14:ligatures w14:val="none"/>
        </w:rPr>
        <w:t xml:space="preserve">-administration avec un inhibiteur puissant du CYP3A4, diminution des concentrations de </w:t>
      </w:r>
      <w:proofErr w:type="spellStart"/>
      <w:r w:rsidRPr="004A0C20">
        <w:rPr>
          <w:rFonts w:ascii="Roboto" w:eastAsia="Times New Roman" w:hAnsi="Roboto" w:cs="Times New Roman"/>
          <w:color w:val="333333"/>
          <w:kern w:val="0"/>
          <w:sz w:val="19"/>
          <w:szCs w:val="19"/>
          <w:lang w:eastAsia="fr-FR"/>
          <w14:ligatures w14:val="none"/>
        </w:rPr>
        <w:t>maraviroc</w:t>
      </w:r>
      <w:proofErr w:type="spellEnd"/>
      <w:r w:rsidRPr="004A0C20">
        <w:rPr>
          <w:rFonts w:ascii="Roboto" w:eastAsia="Times New Roman" w:hAnsi="Roboto" w:cs="Times New Roman"/>
          <w:color w:val="333333"/>
          <w:kern w:val="0"/>
          <w:sz w:val="19"/>
          <w:szCs w:val="19"/>
          <w:lang w:eastAsia="fr-FR"/>
          <w14:ligatures w14:val="none"/>
        </w:rPr>
        <w:t xml:space="preserve"> par l'inducteur.</w:t>
      </w:r>
    </w:p>
    <w:p w14:paraId="212CED9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La dose de </w:t>
      </w:r>
      <w:proofErr w:type="spellStart"/>
      <w:r w:rsidRPr="004A0C20">
        <w:rPr>
          <w:rFonts w:ascii="Roboto" w:eastAsia="Times New Roman" w:hAnsi="Roboto" w:cs="Times New Roman"/>
          <w:color w:val="333333"/>
          <w:kern w:val="0"/>
          <w:sz w:val="19"/>
          <w:szCs w:val="19"/>
          <w:lang w:eastAsia="fr-FR"/>
          <w14:ligatures w14:val="none"/>
        </w:rPr>
        <w:t>maraviroc</w:t>
      </w:r>
      <w:proofErr w:type="spellEnd"/>
      <w:r w:rsidRPr="004A0C20">
        <w:rPr>
          <w:rFonts w:ascii="Roboto" w:eastAsia="Times New Roman" w:hAnsi="Roboto" w:cs="Times New Roman"/>
          <w:color w:val="333333"/>
          <w:kern w:val="0"/>
          <w:sz w:val="19"/>
          <w:szCs w:val="19"/>
          <w:lang w:eastAsia="fr-FR"/>
          <w14:ligatures w14:val="none"/>
        </w:rPr>
        <w:t xml:space="preserve"> doit être augmentée à 600 mg deux fois par jour dans cette situation.</w:t>
      </w:r>
    </w:p>
    <w:p w14:paraId="53A2B23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Méthadone</w:t>
      </w:r>
    </w:p>
    <w:p w14:paraId="239C8A7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méthadone avec risque d'apparition d'un syndrome de sevrage, par augmentation de son métabolisme hépatique.</w:t>
      </w:r>
    </w:p>
    <w:p w14:paraId="47794CA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Augmenter la fréquence des prises de méthadone (2 à 3 fois par jour au lieu d'une fois par jour).</w:t>
      </w:r>
    </w:p>
    <w:p w14:paraId="137D7BF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Métronidazole</w:t>
      </w:r>
    </w:p>
    <w:p w14:paraId="500913B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du métronidazole par augmentation de son métabolisme hépatique par la rifampicine.</w:t>
      </w:r>
    </w:p>
    <w:p w14:paraId="0745FF5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métronidazole pendant le traitement par la rifampicine et après son arrêt.</w:t>
      </w:r>
    </w:p>
    <w:p w14:paraId="236083D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Minéralocorticoïdes</w:t>
      </w:r>
    </w:p>
    <w:p w14:paraId="48AFB36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4A0C20">
        <w:rPr>
          <w:rFonts w:ascii="Roboto" w:eastAsia="Times New Roman" w:hAnsi="Roboto" w:cs="Times New Roman"/>
          <w:color w:val="333333"/>
          <w:kern w:val="0"/>
          <w:sz w:val="19"/>
          <w:szCs w:val="19"/>
          <w:lang w:eastAsia="fr-FR"/>
          <w14:ligatures w14:val="none"/>
        </w:rPr>
        <w:t>addisoniens</w:t>
      </w:r>
      <w:proofErr w:type="spellEnd"/>
      <w:r w:rsidRPr="004A0C20">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1781D1B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6A56C01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Montélukast</w:t>
      </w:r>
      <w:proofErr w:type="spellEnd"/>
    </w:p>
    <w:p w14:paraId="1D13A95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Risque de baisse de l'efficacité du </w:t>
      </w:r>
      <w:proofErr w:type="spellStart"/>
      <w:r w:rsidRPr="004A0C20">
        <w:rPr>
          <w:rFonts w:ascii="Roboto" w:eastAsia="Times New Roman" w:hAnsi="Roboto" w:cs="Times New Roman"/>
          <w:color w:val="333333"/>
          <w:kern w:val="0"/>
          <w:sz w:val="19"/>
          <w:szCs w:val="19"/>
          <w:lang w:eastAsia="fr-FR"/>
          <w14:ligatures w14:val="none"/>
        </w:rPr>
        <w:t>montélukast</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1655366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w:t>
      </w:r>
      <w:proofErr w:type="spellStart"/>
      <w:r w:rsidRPr="004A0C20">
        <w:rPr>
          <w:rFonts w:ascii="Roboto" w:eastAsia="Times New Roman" w:hAnsi="Roboto" w:cs="Times New Roman"/>
          <w:color w:val="333333"/>
          <w:kern w:val="0"/>
          <w:sz w:val="19"/>
          <w:szCs w:val="19"/>
          <w:lang w:eastAsia="fr-FR"/>
          <w14:ligatures w14:val="none"/>
        </w:rPr>
        <w:t>anti-asthmatique</w:t>
      </w:r>
      <w:proofErr w:type="spellEnd"/>
      <w:r w:rsidRPr="004A0C20">
        <w:rPr>
          <w:rFonts w:ascii="Roboto" w:eastAsia="Times New Roman" w:hAnsi="Roboto" w:cs="Times New Roman"/>
          <w:color w:val="333333"/>
          <w:kern w:val="0"/>
          <w:sz w:val="19"/>
          <w:szCs w:val="19"/>
          <w:lang w:eastAsia="fr-FR"/>
          <w14:ligatures w14:val="none"/>
        </w:rPr>
        <w:t xml:space="preserve"> pendant le traitement par la rifampicine et après son arrêt.</w:t>
      </w:r>
    </w:p>
    <w:p w14:paraId="5E15745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Morphine</w:t>
      </w:r>
    </w:p>
    <w:p w14:paraId="781D4D2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Diminution des concentrations plasmatiques et de l'efficacité de la morphine et de son métabolite actif.</w:t>
      </w:r>
    </w:p>
    <w:p w14:paraId="1724B9D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de la morphine pendant le traitement par la rifampicine et après son arrêt.</w:t>
      </w:r>
    </w:p>
    <w:p w14:paraId="76F93DB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Nintédanib</w:t>
      </w:r>
      <w:proofErr w:type="spellEnd"/>
    </w:p>
    <w:p w14:paraId="52C0CD6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4A0C20">
        <w:rPr>
          <w:rFonts w:ascii="Roboto" w:eastAsia="Times New Roman" w:hAnsi="Roboto" w:cs="Times New Roman"/>
          <w:color w:val="333333"/>
          <w:kern w:val="0"/>
          <w:sz w:val="19"/>
          <w:szCs w:val="19"/>
          <w:lang w:eastAsia="fr-FR"/>
          <w14:ligatures w14:val="none"/>
        </w:rPr>
        <w:t>nintédanib</w:t>
      </w:r>
      <w:proofErr w:type="spellEnd"/>
      <w:r w:rsidRPr="004A0C20">
        <w:rPr>
          <w:rFonts w:ascii="Roboto" w:eastAsia="Times New Roman" w:hAnsi="Roboto" w:cs="Times New Roman"/>
          <w:color w:val="333333"/>
          <w:kern w:val="0"/>
          <w:sz w:val="19"/>
          <w:szCs w:val="19"/>
          <w:lang w:eastAsia="fr-FR"/>
          <w14:ligatures w14:val="none"/>
        </w:rPr>
        <w:t xml:space="preserve"> par diminution de son absorption par la rifampicine.</w:t>
      </w:r>
    </w:p>
    <w:p w14:paraId="4994A61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pendant l'association.</w:t>
      </w:r>
    </w:p>
    <w:p w14:paraId="66B4604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Pioglitazone</w:t>
      </w:r>
    </w:p>
    <w:p w14:paraId="30DE45C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de la glitazone par augmentation de son métabolisme par la rifampicine.</w:t>
      </w:r>
    </w:p>
    <w:p w14:paraId="5A28CAA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 adaptation de la posologie de la glitazone pendant le traitement par la rifampicine et après son arrêt.</w:t>
      </w:r>
    </w:p>
    <w:p w14:paraId="69F321D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Progestatifs non contraceptifs, associés ou non à un estrogène</w:t>
      </w:r>
    </w:p>
    <w:p w14:paraId="2F65FF4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 l'efficacité du progestatif.</w:t>
      </w:r>
    </w:p>
    <w:p w14:paraId="76FF669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adaptation éventuelle de la posologie du traitement hormonal pendant l'administration de l'inducteur et après son arrêt.</w:t>
      </w:r>
    </w:p>
    <w:p w14:paraId="3F107FB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Propafénone</w:t>
      </w:r>
      <w:proofErr w:type="spellEnd"/>
    </w:p>
    <w:p w14:paraId="77011BF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4A0C20">
        <w:rPr>
          <w:rFonts w:ascii="Roboto" w:eastAsia="Times New Roman" w:hAnsi="Roboto" w:cs="Times New Roman"/>
          <w:color w:val="333333"/>
          <w:kern w:val="0"/>
          <w:sz w:val="19"/>
          <w:szCs w:val="19"/>
          <w:lang w:eastAsia="fr-FR"/>
          <w14:ligatures w14:val="none"/>
        </w:rPr>
        <w:t>propafénone</w:t>
      </w:r>
      <w:proofErr w:type="spellEnd"/>
      <w:r w:rsidRPr="004A0C20">
        <w:rPr>
          <w:rFonts w:ascii="Roboto" w:eastAsia="Times New Roman" w:hAnsi="Roboto" w:cs="Times New Roman"/>
          <w:color w:val="333333"/>
          <w:kern w:val="0"/>
          <w:sz w:val="19"/>
          <w:szCs w:val="19"/>
          <w:lang w:eastAsia="fr-FR"/>
          <w14:ligatures w14:val="none"/>
        </w:rPr>
        <w:t>, par augmentation de son métabolisme hépatique par la rifampicine.</w:t>
      </w:r>
    </w:p>
    <w:p w14:paraId="009A0C2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Surveillance clinique et ECG. S'il y a lieu, adaptation de la posologie de la </w:t>
      </w:r>
      <w:proofErr w:type="spellStart"/>
      <w:r w:rsidRPr="004A0C20">
        <w:rPr>
          <w:rFonts w:ascii="Roboto" w:eastAsia="Times New Roman" w:hAnsi="Roboto" w:cs="Times New Roman"/>
          <w:color w:val="333333"/>
          <w:kern w:val="0"/>
          <w:sz w:val="19"/>
          <w:szCs w:val="19"/>
          <w:lang w:eastAsia="fr-FR"/>
          <w14:ligatures w14:val="none"/>
        </w:rPr>
        <w:t>propafénone</w:t>
      </w:r>
      <w:proofErr w:type="spellEnd"/>
      <w:r w:rsidRPr="004A0C20">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30D0E3C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Terbinafine</w:t>
      </w:r>
      <w:proofErr w:type="spellEnd"/>
    </w:p>
    <w:p w14:paraId="58BDFD5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et de l'efficacité de la </w:t>
      </w:r>
      <w:proofErr w:type="spellStart"/>
      <w:r w:rsidRPr="004A0C20">
        <w:rPr>
          <w:rFonts w:ascii="Roboto" w:eastAsia="Times New Roman" w:hAnsi="Roboto" w:cs="Times New Roman"/>
          <w:color w:val="333333"/>
          <w:kern w:val="0"/>
          <w:sz w:val="19"/>
          <w:szCs w:val="19"/>
          <w:lang w:eastAsia="fr-FR"/>
          <w14:ligatures w14:val="none"/>
        </w:rPr>
        <w:t>terbinafine</w:t>
      </w:r>
      <w:proofErr w:type="spellEnd"/>
      <w:r w:rsidRPr="004A0C20">
        <w:rPr>
          <w:rFonts w:ascii="Roboto" w:eastAsia="Times New Roman" w:hAnsi="Roboto" w:cs="Times New Roman"/>
          <w:color w:val="333333"/>
          <w:kern w:val="0"/>
          <w:sz w:val="19"/>
          <w:szCs w:val="19"/>
          <w:lang w:eastAsia="fr-FR"/>
          <w14:ligatures w14:val="none"/>
        </w:rPr>
        <w:t>, par augmentation de son métabolisme hépatique par la rifampicine.</w:t>
      </w:r>
    </w:p>
    <w:p w14:paraId="0BACC79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Surveillance clinique. Si besoin, adaptation de la posologie de la </w:t>
      </w:r>
      <w:proofErr w:type="spellStart"/>
      <w:r w:rsidRPr="004A0C20">
        <w:rPr>
          <w:rFonts w:ascii="Roboto" w:eastAsia="Times New Roman" w:hAnsi="Roboto" w:cs="Times New Roman"/>
          <w:color w:val="333333"/>
          <w:kern w:val="0"/>
          <w:sz w:val="19"/>
          <w:szCs w:val="19"/>
          <w:lang w:eastAsia="fr-FR"/>
          <w14:ligatures w14:val="none"/>
        </w:rPr>
        <w:t>terbinafine</w:t>
      </w:r>
      <w:proofErr w:type="spellEnd"/>
      <w:r w:rsidRPr="004A0C20">
        <w:rPr>
          <w:rFonts w:ascii="Roboto" w:eastAsia="Times New Roman" w:hAnsi="Roboto" w:cs="Times New Roman"/>
          <w:color w:val="333333"/>
          <w:kern w:val="0"/>
          <w:sz w:val="19"/>
          <w:szCs w:val="19"/>
          <w:lang w:eastAsia="fr-FR"/>
          <w14:ligatures w14:val="none"/>
        </w:rPr>
        <w:t xml:space="preserve"> pendant le traitement par la rifampicine.</w:t>
      </w:r>
    </w:p>
    <w:p w14:paraId="7E729B7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Théophylline (et, par extrapolation, aminophylline)</w:t>
      </w:r>
    </w:p>
    <w:p w14:paraId="0DC2FE5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la théophylline (augmentation de son métabolisme par induction enzymatique).</w:t>
      </w:r>
    </w:p>
    <w:p w14:paraId="0CA549C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Surveillance clinique et si besoin, de la </w:t>
      </w:r>
      <w:proofErr w:type="spellStart"/>
      <w:r w:rsidRPr="004A0C20">
        <w:rPr>
          <w:rFonts w:ascii="Roboto" w:eastAsia="Times New Roman" w:hAnsi="Roboto" w:cs="Times New Roman"/>
          <w:color w:val="333333"/>
          <w:kern w:val="0"/>
          <w:sz w:val="19"/>
          <w:szCs w:val="19"/>
          <w:lang w:eastAsia="fr-FR"/>
          <w14:ligatures w14:val="none"/>
        </w:rPr>
        <w:t>théophyllinémie</w:t>
      </w:r>
      <w:proofErr w:type="spellEnd"/>
      <w:r w:rsidRPr="004A0C20">
        <w:rPr>
          <w:rFonts w:ascii="Roboto" w:eastAsia="Times New Roman" w:hAnsi="Roboto" w:cs="Times New Roman"/>
          <w:color w:val="333333"/>
          <w:kern w:val="0"/>
          <w:sz w:val="19"/>
          <w:szCs w:val="19"/>
          <w:lang w:eastAsia="fr-FR"/>
          <w14:ligatures w14:val="none"/>
        </w:rPr>
        <w:t>. Adapter, s'il y a lieu, la posologie de la théophylline pendant le traitement par la rifampicine et après son arrêt.</w:t>
      </w:r>
    </w:p>
    <w:p w14:paraId="3C0BDA7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Tiagabine</w:t>
      </w:r>
      <w:proofErr w:type="spellEnd"/>
    </w:p>
    <w:p w14:paraId="2DC7ECA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4A0C20">
        <w:rPr>
          <w:rFonts w:ascii="Roboto" w:eastAsia="Times New Roman" w:hAnsi="Roboto" w:cs="Times New Roman"/>
          <w:color w:val="333333"/>
          <w:kern w:val="0"/>
          <w:sz w:val="19"/>
          <w:szCs w:val="19"/>
          <w:lang w:eastAsia="fr-FR"/>
          <w14:ligatures w14:val="none"/>
        </w:rPr>
        <w:t>tiagabine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w:t>
      </w:r>
    </w:p>
    <w:p w14:paraId="69CEA71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Une augmentation de la posologie de la </w:t>
      </w:r>
      <w:proofErr w:type="spellStart"/>
      <w:r w:rsidRPr="004A0C20">
        <w:rPr>
          <w:rFonts w:ascii="Roboto" w:eastAsia="Times New Roman" w:hAnsi="Roboto" w:cs="Times New Roman"/>
          <w:color w:val="333333"/>
          <w:kern w:val="0"/>
          <w:sz w:val="19"/>
          <w:szCs w:val="19"/>
          <w:lang w:eastAsia="fr-FR"/>
          <w14:ligatures w14:val="none"/>
        </w:rPr>
        <w:t>tiagabine</w:t>
      </w:r>
      <w:proofErr w:type="spellEnd"/>
      <w:r w:rsidRPr="004A0C20">
        <w:rPr>
          <w:rFonts w:ascii="Roboto" w:eastAsia="Times New Roman" w:hAnsi="Roboto" w:cs="Times New Roman"/>
          <w:color w:val="333333"/>
          <w:kern w:val="0"/>
          <w:sz w:val="19"/>
          <w:szCs w:val="19"/>
          <w:lang w:eastAsia="fr-FR"/>
          <w14:ligatures w14:val="none"/>
        </w:rPr>
        <w:t xml:space="preserve"> peut s'avérer nécessaire en cas d'association à la rifampicine.</w:t>
      </w:r>
    </w:p>
    <w:p w14:paraId="37EC46A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 xml:space="preserve">Valproïque (acide) et, par extrapolation, </w:t>
      </w:r>
      <w:proofErr w:type="spellStart"/>
      <w:r w:rsidRPr="004A0C20">
        <w:rPr>
          <w:rFonts w:ascii="Roboto" w:eastAsia="Times New Roman" w:hAnsi="Roboto" w:cs="Times New Roman"/>
          <w:b/>
          <w:bCs/>
          <w:color w:val="333333"/>
          <w:kern w:val="0"/>
          <w:sz w:val="19"/>
          <w:szCs w:val="19"/>
          <w:lang w:eastAsia="fr-FR"/>
          <w14:ligatures w14:val="none"/>
        </w:rPr>
        <w:t>Valpromide</w:t>
      </w:r>
      <w:proofErr w:type="spellEnd"/>
    </w:p>
    <w:p w14:paraId="7E5FBB8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survenue de crises convulsives, par augmentation du métabolisme hépatique du valproate par la rifampicine.</w:t>
      </w:r>
    </w:p>
    <w:p w14:paraId="39AA06B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et biologique, et adaptation éventuelle de la posologie de l'anticonvulsivant pendant le traitement par la rifampicine et après son arrêt.</w:t>
      </w:r>
    </w:p>
    <w:p w14:paraId="4AD101E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Vitamine D</w:t>
      </w:r>
    </w:p>
    <w:p w14:paraId="4F440B0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de vitamine D plus marquée qu'en l'absence de traitement par la rifampicine.</w:t>
      </w:r>
    </w:p>
    <w:p w14:paraId="0068309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Dosage des concentrations de vitamine D et supplémentation si nécessaire.</w:t>
      </w:r>
    </w:p>
    <w:p w14:paraId="381DB06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Zolpidem</w:t>
      </w:r>
    </w:p>
    <w:p w14:paraId="66064B0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du zolpidem par augmentation de son métabolisme hépatique par la rifampicine.</w:t>
      </w:r>
    </w:p>
    <w:p w14:paraId="1A79E07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Utiliser éventuellement un autre hypnotique.</w:t>
      </w:r>
    </w:p>
    <w:p w14:paraId="50A58F5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Zopiclone</w:t>
      </w:r>
    </w:p>
    <w:p w14:paraId="7A7919C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de la zopiclone par augmentation de son métabolisme hépatique par la rifampicine.</w:t>
      </w:r>
    </w:p>
    <w:p w14:paraId="12DFD0D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Surveillance clinique. Utiliser éventuellement un autre hypnotique.</w:t>
      </w:r>
    </w:p>
    <w:p w14:paraId="2F5AF22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Associations à prendre en compte</w:t>
      </w:r>
    </w:p>
    <w:p w14:paraId="4F0901F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Bortezomib</w:t>
      </w:r>
      <w:proofErr w:type="spellEnd"/>
    </w:p>
    <w:p w14:paraId="279DFA6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729B79A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Cabazitaxel</w:t>
      </w:r>
      <w:proofErr w:type="spellEnd"/>
    </w:p>
    <w:p w14:paraId="51963B9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0B79779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Exémestane</w:t>
      </w:r>
      <w:proofErr w:type="spellEnd"/>
    </w:p>
    <w:p w14:paraId="4DEE6E6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de diminution de l'efficacité de l'</w:t>
      </w:r>
      <w:proofErr w:type="spellStart"/>
      <w:r w:rsidRPr="004A0C20">
        <w:rPr>
          <w:rFonts w:ascii="Roboto" w:eastAsia="Times New Roman" w:hAnsi="Roboto" w:cs="Times New Roman"/>
          <w:color w:val="333333"/>
          <w:kern w:val="0"/>
          <w:sz w:val="19"/>
          <w:szCs w:val="19"/>
          <w:lang w:eastAsia="fr-FR"/>
          <w14:ligatures w14:val="none"/>
        </w:rPr>
        <w:t>exémestane</w:t>
      </w:r>
      <w:proofErr w:type="spellEnd"/>
      <w:r w:rsidRPr="004A0C20">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4F0DE08C"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Metformine</w:t>
      </w:r>
    </w:p>
    <w:p w14:paraId="626C3C1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de metformine par la rifampicine.</w:t>
      </w:r>
    </w:p>
    <w:p w14:paraId="6D4B1BE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Métoprolol</w:t>
      </w:r>
      <w:proofErr w:type="spellEnd"/>
    </w:p>
    <w:p w14:paraId="757A079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du β bloquant (augmentation de son métabolisme hépatique).</w:t>
      </w:r>
    </w:p>
    <w:p w14:paraId="65821F2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4A0C20">
        <w:rPr>
          <w:rFonts w:ascii="Roboto" w:eastAsia="Times New Roman" w:hAnsi="Roboto" w:cs="Times New Roman"/>
          <w:b/>
          <w:bCs/>
          <w:color w:val="333333"/>
          <w:kern w:val="0"/>
          <w:sz w:val="19"/>
          <w:szCs w:val="19"/>
          <w:lang w:eastAsia="fr-FR"/>
          <w14:ligatures w14:val="none"/>
        </w:rPr>
        <w:t>Pérampanel</w:t>
      </w:r>
      <w:proofErr w:type="spellEnd"/>
    </w:p>
    <w:p w14:paraId="4BF2A37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Diminution importante (jusqu'aux deux-tiers) des concentrations de </w:t>
      </w:r>
      <w:proofErr w:type="spellStart"/>
      <w:r w:rsidRPr="004A0C20">
        <w:rPr>
          <w:rFonts w:ascii="Roboto" w:eastAsia="Times New Roman" w:hAnsi="Roboto" w:cs="Times New Roman"/>
          <w:color w:val="333333"/>
          <w:kern w:val="0"/>
          <w:sz w:val="19"/>
          <w:szCs w:val="19"/>
          <w:lang w:eastAsia="fr-FR"/>
          <w14:ligatures w14:val="none"/>
        </w:rPr>
        <w:t>pérampanel</w:t>
      </w:r>
      <w:proofErr w:type="spellEnd"/>
      <w:r w:rsidRPr="004A0C20">
        <w:rPr>
          <w:rFonts w:ascii="Roboto" w:eastAsia="Times New Roman" w:hAnsi="Roboto" w:cs="Times New Roman"/>
          <w:color w:val="333333"/>
          <w:kern w:val="0"/>
          <w:sz w:val="19"/>
          <w:szCs w:val="19"/>
          <w:lang w:eastAsia="fr-FR"/>
          <w14:ligatures w14:val="none"/>
        </w:rPr>
        <w:t>.</w:t>
      </w:r>
    </w:p>
    <w:p w14:paraId="3674F25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Propranolol</w:t>
      </w:r>
    </w:p>
    <w:p w14:paraId="3F8156E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Diminution des concentrations plasmatiques et de l'efficacité du β bloquant (augmentation de son métabolisme hépatique).</w:t>
      </w:r>
    </w:p>
    <w:p w14:paraId="5FEFECA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lang w:eastAsia="fr-FR"/>
          <w14:ligatures w14:val="none"/>
        </w:rPr>
        <w:t>Tamoxifène</w:t>
      </w:r>
    </w:p>
    <w:p w14:paraId="1257A65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Risque d'inefficacité du tamoxifène par augmentation de son métabolisme par la rifampicine.</w:t>
      </w:r>
    </w:p>
    <w:p w14:paraId="4795AE0D"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442FD04"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4A0C20" w:rsidRPr="004A0C20" w14:paraId="3E1D9969" w14:textId="77777777" w:rsidTr="004A0C20">
        <w:tc>
          <w:tcPr>
            <w:tcW w:w="0" w:type="auto"/>
            <w:shd w:val="clear" w:color="auto" w:fill="CC3300"/>
            <w:tcMar>
              <w:top w:w="0" w:type="dxa"/>
              <w:left w:w="75" w:type="dxa"/>
              <w:bottom w:w="0" w:type="dxa"/>
              <w:right w:w="75" w:type="dxa"/>
            </w:tcMar>
            <w:vAlign w:val="center"/>
            <w:hideMark/>
          </w:tcPr>
          <w:p w14:paraId="28F1698E"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506B4407"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FERTILITÉ/GROSSESSE/ALLAITEMENT</w:t>
            </w:r>
            <w:r w:rsidRPr="004A0C20">
              <w:rPr>
                <w:rFonts w:ascii="Roboto" w:eastAsia="Times New Roman" w:hAnsi="Roboto" w:cs="Times New Roman"/>
                <w:kern w:val="0"/>
                <w:sz w:val="18"/>
                <w:szCs w:val="18"/>
                <w:lang w:eastAsia="fr-FR"/>
                <w14:ligatures w14:val="none"/>
              </w:rPr>
              <w:t> </w:t>
            </w:r>
          </w:p>
        </w:tc>
      </w:tr>
    </w:tbl>
    <w:p w14:paraId="109314F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Grossesse</w:t>
      </w:r>
    </w:p>
    <w:p w14:paraId="7597BD3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L'expérimentation animale a mis en évidence un effet tératogène chez le rat et la souris à doses élevées.</w:t>
      </w:r>
    </w:p>
    <w:p w14:paraId="5943BCE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En clinique, l'utilisation de la rifampicine au cours d'un nombre limité de grossesses n'a apparemment révélé aucun effet malformatif ou </w:t>
      </w:r>
      <w:proofErr w:type="spellStart"/>
      <w:r w:rsidRPr="004A0C20">
        <w:rPr>
          <w:rFonts w:ascii="Roboto" w:eastAsia="Times New Roman" w:hAnsi="Roboto" w:cs="Times New Roman"/>
          <w:color w:val="333333"/>
          <w:kern w:val="0"/>
          <w:sz w:val="19"/>
          <w:szCs w:val="19"/>
          <w:lang w:eastAsia="fr-FR"/>
          <w14:ligatures w14:val="none"/>
        </w:rPr>
        <w:t>fœtotoxique</w:t>
      </w:r>
      <w:proofErr w:type="spellEnd"/>
      <w:r w:rsidRPr="004A0C20">
        <w:rPr>
          <w:rFonts w:ascii="Roboto" w:eastAsia="Times New Roman" w:hAnsi="Roboto" w:cs="Times New Roman"/>
          <w:color w:val="333333"/>
          <w:kern w:val="0"/>
          <w:sz w:val="19"/>
          <w:szCs w:val="19"/>
          <w:lang w:eastAsia="fr-FR"/>
          <w14:ligatures w14:val="none"/>
        </w:rPr>
        <w:t xml:space="preserve"> particulier à ce jour. Bien que la rifampicine traverse la barrière placentaire et se retrouve dans le sang ombilical des études complémentaires sont nécessaires pour évaluer les conséquences d'une exposition en cours de grossesse.</w:t>
      </w:r>
    </w:p>
    <w:p w14:paraId="16B1D6F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En conséquence, l'utilisation de la rifampicine ne doit être envisagée au cours de la grossesse, qu'en l'absence d'alternative thérapeutique.</w:t>
      </w:r>
    </w:p>
    <w:p w14:paraId="3F9153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En cas d'utilisation pendant les dernières semaines de grossesse, des hémorragies maternelles et néonatales précoces ont été décrites. Un traitement préventif chez la mère et l'enfant à la naissance par la Vitamine K1 est proposé.</w:t>
      </w:r>
    </w:p>
    <w:p w14:paraId="454963B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Allaitement</w:t>
      </w:r>
    </w:p>
    <w:p w14:paraId="2B829DA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rifampicine passe dans le lait maternel. Par conséquent, une suspension de l'allaitement doit être envisagée.</w:t>
      </w:r>
    </w:p>
    <w:p w14:paraId="4CE6B80E"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A2FC741"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4A0C20" w:rsidRPr="004A0C20" w14:paraId="5B61004B" w14:textId="77777777" w:rsidTr="004A0C20">
        <w:tc>
          <w:tcPr>
            <w:tcW w:w="0" w:type="auto"/>
            <w:shd w:val="clear" w:color="auto" w:fill="CC3300"/>
            <w:tcMar>
              <w:top w:w="0" w:type="dxa"/>
              <w:left w:w="75" w:type="dxa"/>
              <w:bottom w:w="0" w:type="dxa"/>
              <w:right w:w="75" w:type="dxa"/>
            </w:tcMar>
            <w:vAlign w:val="center"/>
            <w:hideMark/>
          </w:tcPr>
          <w:p w14:paraId="25FBDE1C"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A849550"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EFFETS INDÉSIRABLES</w:t>
            </w:r>
            <w:r w:rsidRPr="004A0C20">
              <w:rPr>
                <w:rFonts w:ascii="Roboto" w:eastAsia="Times New Roman" w:hAnsi="Roboto" w:cs="Times New Roman"/>
                <w:kern w:val="0"/>
                <w:sz w:val="18"/>
                <w:szCs w:val="18"/>
                <w:lang w:eastAsia="fr-FR"/>
                <w14:ligatures w14:val="none"/>
              </w:rPr>
              <w:t> </w:t>
            </w:r>
          </w:p>
        </w:tc>
      </w:tr>
    </w:tbl>
    <w:p w14:paraId="33551C1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Des réactions à la rifampicine apparaissant lors des traitements quotidiens ou intermittents.</w:t>
      </w:r>
    </w:p>
    <w:p w14:paraId="63240FF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Les effets indésirables sont listés par classe de systèmes organes et par catégorie de fréquence. Les catégories de fréquence sont définies de la manière suivante : très fréquent (≥ 1/10), fréquent (≥ 1/100 à &lt; 1/10), peu fréquent (≥ 1/1 000 à &lt; 1/100), rare (≥ 1/10 000 à &lt; 1/1 000) et fréquence indéterminée (ne peut être estimée sur la base des données disponibles).</w:t>
      </w:r>
    </w:p>
    <w:p w14:paraId="7986A1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Infections et infestations</w:t>
      </w:r>
    </w:p>
    <w:p w14:paraId="3CFADC9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colite pseudomembraneuse</w:t>
      </w:r>
    </w:p>
    <w:p w14:paraId="7EEE5F7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hématologiques et du système lymphatique</w:t>
      </w:r>
    </w:p>
    <w:p w14:paraId="19D0DEF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éosinophilie, leucopénie.</w:t>
      </w:r>
    </w:p>
    <w:p w14:paraId="7D06DDC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thrombocytopénie avec ou sans purpura, habituellement associée aux traitements intermittents. Ceci est réversible si le traitement est suspendu dès l'apparition du purpura. Anémie hémolytique</w:t>
      </w:r>
    </w:p>
    <w:p w14:paraId="0B772E0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Troubles du métabolisme et de la nutrition</w:t>
      </w:r>
    </w:p>
    <w:p w14:paraId="762CA90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Fréquent : appétit diminué</w:t>
      </w:r>
    </w:p>
    <w:p w14:paraId="2A5CD15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du système nerveux</w:t>
      </w:r>
    </w:p>
    <w:p w14:paraId="45D7331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maux de tête, sensation vertigineuse. Dans les cas de purpura, l'administration de rifampicine doit être interrompue car des hémorragies cérébrales fatales ont été rapportées lorsque l'administration était maintenue ou reprise.</w:t>
      </w:r>
    </w:p>
    <w:p w14:paraId="6BD006A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oculaires</w:t>
      </w:r>
    </w:p>
    <w:p w14:paraId="269CBDF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coloration anormale des larmes. La rifampicine peut colorer de façon permanente les lentilles de contact.</w:t>
      </w:r>
    </w:p>
    <w:p w14:paraId="6631741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vasculaires</w:t>
      </w:r>
    </w:p>
    <w:p w14:paraId="123F86C0"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Fréquent : bouffées congestives</w:t>
      </w:r>
    </w:p>
    <w:p w14:paraId="2A2138E9"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choc</w:t>
      </w:r>
    </w:p>
    <w:p w14:paraId="57910F3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respiratoires, thoraciques et médiastinales</w:t>
      </w:r>
    </w:p>
    <w:p w14:paraId="7301C99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troubles respiratoires et asthmatiformes, expectoration de couleur anormale.</w:t>
      </w:r>
    </w:p>
    <w:p w14:paraId="26A03F96"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gastro-intestinales</w:t>
      </w:r>
    </w:p>
    <w:p w14:paraId="6CB4362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Fréquent : nausées, douleurs abdominales, météorisme.</w:t>
      </w:r>
    </w:p>
    <w:p w14:paraId="588D8B9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vomissements, diarrhées.</w:t>
      </w:r>
    </w:p>
    <w:p w14:paraId="4932218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coloration anormale des dents</w:t>
      </w:r>
    </w:p>
    <w:p w14:paraId="233C74C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hépatobiliaires</w:t>
      </w:r>
    </w:p>
    <w:p w14:paraId="61580BF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Fréquent : </w:t>
      </w:r>
      <w:proofErr w:type="spellStart"/>
      <w:r w:rsidRPr="004A0C20">
        <w:rPr>
          <w:rFonts w:ascii="Roboto" w:eastAsia="Times New Roman" w:hAnsi="Roboto" w:cs="Times New Roman"/>
          <w:color w:val="333333"/>
          <w:kern w:val="0"/>
          <w:sz w:val="19"/>
          <w:szCs w:val="19"/>
          <w:lang w:eastAsia="fr-FR"/>
          <w14:ligatures w14:val="none"/>
        </w:rPr>
        <w:t>hypertransaminasémie</w:t>
      </w:r>
      <w:proofErr w:type="spellEnd"/>
      <w:r w:rsidRPr="004A0C20">
        <w:rPr>
          <w:rFonts w:ascii="Roboto" w:eastAsia="Times New Roman" w:hAnsi="Roboto" w:cs="Times New Roman"/>
          <w:color w:val="333333"/>
          <w:kern w:val="0"/>
          <w:sz w:val="19"/>
          <w:szCs w:val="19"/>
          <w:lang w:eastAsia="fr-FR"/>
          <w14:ligatures w14:val="none"/>
        </w:rPr>
        <w:t xml:space="preserve"> isolée exceptionnellement associée à des signes cliniques.</w:t>
      </w:r>
    </w:p>
    <w:p w14:paraId="09D00C9A"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lastRenderedPageBreak/>
        <w:t>Fréquence indéterminée : Une atteinte hépatique peut être observée dans le cadre d'une réaction d'hypersensibilité à la rifampicine le plus souvent au cours du 1er mois de traitement.</w:t>
      </w:r>
    </w:p>
    <w:p w14:paraId="0D802BD1"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de la peau et du tissu sous-cutané</w:t>
      </w:r>
    </w:p>
    <w:p w14:paraId="091DA96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Fréquent ; prurit avec ou sans éruption, urticaire</w:t>
      </w:r>
    </w:p>
    <w:p w14:paraId="51F96C6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réactions d'hypersensibilité cutanées. Quelques cas isolés de syndrome du Lyell ou nécrolyse épidermique toxique ont été rapportés (voir rubrique </w:t>
      </w:r>
      <w:hyperlink r:id="rId28" w:anchor="mises_en_garde_et_precautions_d_emploi" w:history="1">
        <w:r w:rsidRPr="004A0C20">
          <w:rPr>
            <w:rFonts w:ascii="Roboto" w:eastAsia="Times New Roman" w:hAnsi="Roboto" w:cs="Times New Roman"/>
            <w:color w:val="843D93"/>
            <w:kern w:val="0"/>
            <w:sz w:val="18"/>
            <w:szCs w:val="18"/>
            <w:u w:val="single"/>
            <w:lang w:eastAsia="fr-FR"/>
            <w14:ligatures w14:val="none"/>
          </w:rPr>
          <w:t>Mises en garde et précautions d'emploi</w:t>
        </w:r>
      </w:hyperlink>
      <w:r w:rsidRPr="004A0C20">
        <w:rPr>
          <w:rFonts w:ascii="Roboto" w:eastAsia="Times New Roman" w:hAnsi="Roboto" w:cs="Times New Roman"/>
          <w:color w:val="333333"/>
          <w:kern w:val="0"/>
          <w:sz w:val="19"/>
          <w:szCs w:val="19"/>
          <w:lang w:eastAsia="fr-FR"/>
          <w14:ligatures w14:val="none"/>
        </w:rPr>
        <w:t>).</w:t>
      </w:r>
    </w:p>
    <w:p w14:paraId="68C1636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syndrome d'hypersensibilité médicamenteuse avec hyperéosinophilie et symptômes systémiques (syndrome DRESS) (voir rubrique </w:t>
      </w:r>
      <w:hyperlink r:id="rId29" w:anchor="mises_en_garde_et_precautions_d_emploi" w:history="1">
        <w:r w:rsidRPr="004A0C20">
          <w:rPr>
            <w:rFonts w:ascii="Roboto" w:eastAsia="Times New Roman" w:hAnsi="Roboto" w:cs="Times New Roman"/>
            <w:color w:val="843D93"/>
            <w:kern w:val="0"/>
            <w:sz w:val="18"/>
            <w:szCs w:val="18"/>
            <w:u w:val="single"/>
            <w:lang w:eastAsia="fr-FR"/>
            <w14:ligatures w14:val="none"/>
          </w:rPr>
          <w:t>Mises en garde et précautions d'emploi</w:t>
        </w:r>
      </w:hyperlink>
      <w:r w:rsidRPr="004A0C20">
        <w:rPr>
          <w:rFonts w:ascii="Roboto" w:eastAsia="Times New Roman" w:hAnsi="Roboto" w:cs="Times New Roman"/>
          <w:color w:val="333333"/>
          <w:kern w:val="0"/>
          <w:sz w:val="19"/>
          <w:szCs w:val="19"/>
          <w:lang w:eastAsia="fr-FR"/>
          <w14:ligatures w14:val="none"/>
        </w:rPr>
        <w:t>), coloration anormale de la sueur.</w:t>
      </w:r>
    </w:p>
    <w:p w14:paraId="5E0FE73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 xml:space="preserve">Affections </w:t>
      </w:r>
      <w:proofErr w:type="spellStart"/>
      <w:r w:rsidRPr="004A0C20">
        <w:rPr>
          <w:rFonts w:ascii="Roboto" w:eastAsia="Times New Roman" w:hAnsi="Roboto" w:cs="Times New Roman"/>
          <w:b/>
          <w:bCs/>
          <w:color w:val="333333"/>
          <w:kern w:val="0"/>
          <w:sz w:val="19"/>
          <w:szCs w:val="19"/>
          <w:u w:val="single"/>
          <w:lang w:eastAsia="fr-FR"/>
          <w14:ligatures w14:val="none"/>
        </w:rPr>
        <w:t>musculo-squelettiques</w:t>
      </w:r>
      <w:proofErr w:type="spellEnd"/>
      <w:r w:rsidRPr="004A0C20">
        <w:rPr>
          <w:rFonts w:ascii="Roboto" w:eastAsia="Times New Roman" w:hAnsi="Roboto" w:cs="Times New Roman"/>
          <w:b/>
          <w:bCs/>
          <w:color w:val="333333"/>
          <w:kern w:val="0"/>
          <w:sz w:val="19"/>
          <w:szCs w:val="19"/>
          <w:u w:val="single"/>
          <w:lang w:eastAsia="fr-FR"/>
          <w14:ligatures w14:val="none"/>
        </w:rPr>
        <w:t xml:space="preserve"> et systémiques</w:t>
      </w:r>
    </w:p>
    <w:p w14:paraId="2325558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douleurs osseuses.</w:t>
      </w:r>
    </w:p>
    <w:p w14:paraId="6A4E4F1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du rein et des voies urinaires</w:t>
      </w:r>
    </w:p>
    <w:p w14:paraId="593D10A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 xml:space="preserve">Fréquence indéterminée : insuffisance rénale aiguë habituellement due à une nécrose tubulaire rénale réversible, </w:t>
      </w:r>
      <w:proofErr w:type="spellStart"/>
      <w:r w:rsidRPr="004A0C20">
        <w:rPr>
          <w:rFonts w:ascii="Roboto" w:eastAsia="Times New Roman" w:hAnsi="Roboto" w:cs="Times New Roman"/>
          <w:color w:val="333333"/>
          <w:kern w:val="0"/>
          <w:sz w:val="19"/>
          <w:szCs w:val="19"/>
          <w:lang w:eastAsia="fr-FR"/>
          <w14:ligatures w14:val="none"/>
        </w:rPr>
        <w:t>chromaturie</w:t>
      </w:r>
      <w:proofErr w:type="spellEnd"/>
      <w:r w:rsidRPr="004A0C20">
        <w:rPr>
          <w:rFonts w:ascii="Roboto" w:eastAsia="Times New Roman" w:hAnsi="Roboto" w:cs="Times New Roman"/>
          <w:color w:val="333333"/>
          <w:kern w:val="0"/>
          <w:sz w:val="19"/>
          <w:szCs w:val="19"/>
          <w:lang w:eastAsia="fr-FR"/>
          <w14:ligatures w14:val="none"/>
        </w:rPr>
        <w:t xml:space="preserve"> (coloration anormale de l'urine). Une nécrose corticale a également été rapportée.</w:t>
      </w:r>
    </w:p>
    <w:p w14:paraId="16B4B4B5"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Affections des organes de reproduction et du sein</w:t>
      </w:r>
    </w:p>
    <w:p w14:paraId="2D8535A8"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troubles menstruels rapportées chez des patientes recevant des traitements antituberculeux prolongés contenant de la rifampicine.</w:t>
      </w:r>
    </w:p>
    <w:p w14:paraId="6A6846D2"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3D71C97F"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Rare : œdème</w:t>
      </w:r>
    </w:p>
    <w:p w14:paraId="514BD37E"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épisodes fébriles (pyrexie), frissons, syndrome grippal apparaissant le plus fréquemment entre le 3</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et le 6</w:t>
      </w:r>
      <w:r w:rsidRPr="004A0C20">
        <w:rPr>
          <w:rFonts w:ascii="Roboto" w:eastAsia="Times New Roman" w:hAnsi="Roboto" w:cs="Times New Roman"/>
          <w:color w:val="333333"/>
          <w:kern w:val="0"/>
          <w:sz w:val="14"/>
          <w:szCs w:val="14"/>
          <w:vertAlign w:val="superscript"/>
          <w:lang w:eastAsia="fr-FR"/>
          <w14:ligatures w14:val="none"/>
        </w:rPr>
        <w:t>ème</w:t>
      </w:r>
      <w:r w:rsidRPr="004A0C20">
        <w:rPr>
          <w:rFonts w:ascii="Roboto" w:eastAsia="Times New Roman" w:hAnsi="Roboto" w:cs="Times New Roman"/>
          <w:color w:val="333333"/>
          <w:kern w:val="0"/>
          <w:sz w:val="19"/>
          <w:szCs w:val="19"/>
          <w:lang w:eastAsia="fr-FR"/>
          <w14:ligatures w14:val="none"/>
        </w:rPr>
        <w:t> mois de traitement. La fréquence du syndrome varie mais elle peut s'observer chez 50 pour cent des patients recevant des traitements une fois par semaine à des posologies de 25 mg/kg ou plus.</w:t>
      </w:r>
    </w:p>
    <w:p w14:paraId="64FD781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Investigations</w:t>
      </w:r>
    </w:p>
    <w:p w14:paraId="6AF5ED97"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Fréquence indéterminée : diminution de la pression artérielle</w:t>
      </w:r>
    </w:p>
    <w:p w14:paraId="77A899C3"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b/>
          <w:bCs/>
          <w:color w:val="333333"/>
          <w:kern w:val="0"/>
          <w:sz w:val="19"/>
          <w:szCs w:val="19"/>
          <w:u w:val="single"/>
          <w:lang w:eastAsia="fr-FR"/>
          <w14:ligatures w14:val="none"/>
        </w:rPr>
        <w:t>Déclaration des effets indésirables suspectés</w:t>
      </w:r>
    </w:p>
    <w:p w14:paraId="1A1FBADD"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 </w:t>
      </w:r>
      <w:hyperlink r:id="rId30" w:history="1">
        <w:r w:rsidRPr="004A0C20">
          <w:rPr>
            <w:rFonts w:ascii="Roboto" w:eastAsia="Times New Roman" w:hAnsi="Roboto" w:cs="Times New Roman"/>
            <w:color w:val="843D93"/>
            <w:kern w:val="0"/>
            <w:sz w:val="18"/>
            <w:szCs w:val="18"/>
            <w:u w:val="single"/>
            <w:lang w:eastAsia="fr-FR"/>
            <w14:ligatures w14:val="none"/>
          </w:rPr>
          <w:t>www.signalement-sante.gouv.fr</w:t>
        </w:r>
      </w:hyperlink>
      <w:r w:rsidRPr="004A0C20">
        <w:rPr>
          <w:rFonts w:ascii="Roboto" w:eastAsia="Times New Roman" w:hAnsi="Roboto" w:cs="Times New Roman"/>
          <w:color w:val="333333"/>
          <w:kern w:val="0"/>
          <w:sz w:val="19"/>
          <w:szCs w:val="19"/>
          <w:lang w:eastAsia="fr-FR"/>
          <w14:ligatures w14:val="none"/>
        </w:rPr>
        <w:t>.</w:t>
      </w:r>
    </w:p>
    <w:p w14:paraId="4E506EDA"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EB96E5E" w14:textId="77777777" w:rsidR="004A0C20" w:rsidRPr="004A0C20" w:rsidRDefault="004A0C20" w:rsidP="004A0C20">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4A0C20" w:rsidRPr="004A0C20" w14:paraId="5EF89861" w14:textId="77777777" w:rsidTr="004A0C20">
        <w:tc>
          <w:tcPr>
            <w:tcW w:w="0" w:type="auto"/>
            <w:shd w:val="clear" w:color="auto" w:fill="CC3300"/>
            <w:tcMar>
              <w:top w:w="0" w:type="dxa"/>
              <w:left w:w="75" w:type="dxa"/>
              <w:bottom w:w="0" w:type="dxa"/>
              <w:right w:w="75" w:type="dxa"/>
            </w:tcMar>
            <w:vAlign w:val="center"/>
            <w:hideMark/>
          </w:tcPr>
          <w:p w14:paraId="2ACC0FCD" w14:textId="77777777" w:rsidR="004A0C20" w:rsidRPr="004A0C20" w:rsidRDefault="004A0C20" w:rsidP="004A0C20">
            <w:pPr>
              <w:spacing w:after="105" w:line="240" w:lineRule="auto"/>
              <w:rPr>
                <w:rFonts w:ascii="Roboto" w:eastAsia="Times New Roman" w:hAnsi="Roboto" w:cs="Times New Roman"/>
                <w:b/>
                <w:bCs/>
                <w:color w:val="FFFFFF"/>
                <w:kern w:val="0"/>
                <w:sz w:val="21"/>
                <w:szCs w:val="21"/>
                <w:lang w:eastAsia="fr-FR"/>
                <w14:ligatures w14:val="none"/>
              </w:rPr>
            </w:pPr>
            <w:r w:rsidRPr="004A0C20">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186E47E" w14:textId="77777777" w:rsidR="004A0C20" w:rsidRPr="004A0C20" w:rsidRDefault="004A0C20" w:rsidP="004A0C20">
            <w:pPr>
              <w:spacing w:after="105" w:line="240" w:lineRule="auto"/>
              <w:rPr>
                <w:rFonts w:ascii="Roboto" w:eastAsia="Times New Roman" w:hAnsi="Roboto" w:cs="Times New Roman"/>
                <w:kern w:val="0"/>
                <w:sz w:val="18"/>
                <w:szCs w:val="18"/>
                <w:lang w:eastAsia="fr-FR"/>
                <w14:ligatures w14:val="none"/>
              </w:rPr>
            </w:pPr>
            <w:r w:rsidRPr="004A0C20">
              <w:rPr>
                <w:rFonts w:ascii="Roboto" w:eastAsia="Times New Roman" w:hAnsi="Roboto" w:cs="Times New Roman"/>
                <w:b/>
                <w:bCs/>
                <w:caps/>
                <w:color w:val="C70036"/>
                <w:kern w:val="0"/>
                <w:lang w:eastAsia="fr-FR"/>
                <w14:ligatures w14:val="none"/>
              </w:rPr>
              <w:t>SURDOSAGE</w:t>
            </w:r>
            <w:r w:rsidRPr="004A0C20">
              <w:rPr>
                <w:rFonts w:ascii="Roboto" w:eastAsia="Times New Roman" w:hAnsi="Roboto" w:cs="Times New Roman"/>
                <w:kern w:val="0"/>
                <w:sz w:val="18"/>
                <w:szCs w:val="18"/>
                <w:lang w:eastAsia="fr-FR"/>
                <w14:ligatures w14:val="none"/>
              </w:rPr>
              <w:t> </w:t>
            </w:r>
          </w:p>
        </w:tc>
      </w:tr>
    </w:tbl>
    <w:p w14:paraId="01FA9C94"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Les manifestations suivantes ont été décrites lors de tentatives d'intoxication : sueurs, vomissements, coloration rouge des téguments et des urines en rapport avec la couleur de la rifampicine et l'hyperbilirubinémie, foie palpable, élévation modérée des phosphatases alcalines et des transaminases. Aucune perturbation cardio-vasculaire, rénale, hématologique ou de l'équilibre électrolytique n'a été signalée. Après un traitement symptomatique, retour à la normale vers le 3ème jour.</w:t>
      </w:r>
    </w:p>
    <w:p w14:paraId="06559D5B" w14:textId="77777777" w:rsidR="004A0C20" w:rsidRPr="004A0C20" w:rsidRDefault="004A0C20" w:rsidP="004A0C20">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4A0C20">
        <w:rPr>
          <w:rFonts w:ascii="Roboto" w:eastAsia="Times New Roman" w:hAnsi="Roboto" w:cs="Times New Roman"/>
          <w:color w:val="333333"/>
          <w:kern w:val="0"/>
          <w:sz w:val="19"/>
          <w:szCs w:val="19"/>
          <w:lang w:eastAsia="fr-FR"/>
          <w14:ligatures w14:val="none"/>
        </w:rPr>
        <w:t>Conduite à tenir : en dehors des mesures habituelles en vue de l'élimination rapide du ou des produits ingérés, instituer un traitement symptomatique.</w:t>
      </w:r>
    </w:p>
    <w:p w14:paraId="5E76F6F4" w14:textId="77777777" w:rsidR="00480A36" w:rsidRPr="00F55E88" w:rsidRDefault="00480A36" w:rsidP="00480A36">
      <w:pPr>
        <w:rPr>
          <w:b/>
          <w:bCs/>
          <w:color w:val="FF0000"/>
        </w:rPr>
      </w:pPr>
    </w:p>
    <w:sectPr w:rsidR="00480A36" w:rsidRPr="00F55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4B88"/>
    <w:multiLevelType w:val="multilevel"/>
    <w:tmpl w:val="D72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B179B"/>
    <w:multiLevelType w:val="multilevel"/>
    <w:tmpl w:val="78A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E28B4"/>
    <w:multiLevelType w:val="multilevel"/>
    <w:tmpl w:val="591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57FCE"/>
    <w:multiLevelType w:val="multilevel"/>
    <w:tmpl w:val="B04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DF16BB"/>
    <w:multiLevelType w:val="multilevel"/>
    <w:tmpl w:val="845E9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37A03"/>
    <w:multiLevelType w:val="multilevel"/>
    <w:tmpl w:val="547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33E04"/>
    <w:multiLevelType w:val="multilevel"/>
    <w:tmpl w:val="BA2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624E4"/>
    <w:multiLevelType w:val="multilevel"/>
    <w:tmpl w:val="F32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E63EE9"/>
    <w:multiLevelType w:val="multilevel"/>
    <w:tmpl w:val="806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77B33"/>
    <w:multiLevelType w:val="multilevel"/>
    <w:tmpl w:val="6D9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C0E2C"/>
    <w:multiLevelType w:val="multilevel"/>
    <w:tmpl w:val="BF48B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1"/>
  </w:num>
  <w:num w:numId="2" w16cid:durableId="560403149">
    <w:abstractNumId w:val="9"/>
  </w:num>
  <w:num w:numId="3" w16cid:durableId="1714815012">
    <w:abstractNumId w:val="10"/>
  </w:num>
  <w:num w:numId="4" w16cid:durableId="992875322">
    <w:abstractNumId w:val="8"/>
  </w:num>
  <w:num w:numId="5" w16cid:durableId="423381412">
    <w:abstractNumId w:val="0"/>
  </w:num>
  <w:num w:numId="6" w16cid:durableId="1428192167">
    <w:abstractNumId w:val="7"/>
  </w:num>
  <w:num w:numId="7" w16cid:durableId="416251027">
    <w:abstractNumId w:val="12"/>
  </w:num>
  <w:num w:numId="8" w16cid:durableId="719397708">
    <w:abstractNumId w:val="5"/>
  </w:num>
  <w:num w:numId="9" w16cid:durableId="182716268">
    <w:abstractNumId w:val="4"/>
  </w:num>
  <w:num w:numId="10" w16cid:durableId="1547450877">
    <w:abstractNumId w:val="11"/>
  </w:num>
  <w:num w:numId="11" w16cid:durableId="1942685178">
    <w:abstractNumId w:val="6"/>
  </w:num>
  <w:num w:numId="12" w16cid:durableId="254437873">
    <w:abstractNumId w:val="3"/>
  </w:num>
  <w:num w:numId="13" w16cid:durableId="297300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480A36"/>
    <w:rsid w:val="004A0C20"/>
    <w:rsid w:val="005F74D2"/>
    <w:rsid w:val="00D71F21"/>
    <w:rsid w:val="00E93289"/>
    <w:rsid w:val="00F5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100118">
      <w:bodyDiv w:val="1"/>
      <w:marLeft w:val="0"/>
      <w:marRight w:val="0"/>
      <w:marTop w:val="0"/>
      <w:marBottom w:val="0"/>
      <w:divBdr>
        <w:top w:val="none" w:sz="0" w:space="0" w:color="auto"/>
        <w:left w:val="none" w:sz="0" w:space="0" w:color="auto"/>
        <w:bottom w:val="none" w:sz="0" w:space="0" w:color="auto"/>
        <w:right w:val="none" w:sz="0" w:space="0" w:color="auto"/>
      </w:divBdr>
      <w:divsChild>
        <w:div w:id="581989412">
          <w:marLeft w:val="0"/>
          <w:marRight w:val="0"/>
          <w:marTop w:val="0"/>
          <w:marBottom w:val="0"/>
          <w:divBdr>
            <w:top w:val="none" w:sz="0" w:space="0" w:color="auto"/>
            <w:left w:val="none" w:sz="0" w:space="0" w:color="auto"/>
            <w:bottom w:val="none" w:sz="0" w:space="0" w:color="auto"/>
            <w:right w:val="none" w:sz="0" w:space="0" w:color="auto"/>
          </w:divBdr>
          <w:divsChild>
            <w:div w:id="1521309495">
              <w:marLeft w:val="0"/>
              <w:marRight w:val="0"/>
              <w:marTop w:val="0"/>
              <w:marBottom w:val="0"/>
              <w:divBdr>
                <w:top w:val="none" w:sz="0" w:space="0" w:color="auto"/>
                <w:left w:val="none" w:sz="0" w:space="0" w:color="auto"/>
                <w:bottom w:val="none" w:sz="0" w:space="0" w:color="auto"/>
                <w:right w:val="none" w:sz="0" w:space="0" w:color="auto"/>
              </w:divBdr>
            </w:div>
            <w:div w:id="81027820">
              <w:marLeft w:val="0"/>
              <w:marRight w:val="0"/>
              <w:marTop w:val="0"/>
              <w:marBottom w:val="0"/>
              <w:divBdr>
                <w:top w:val="none" w:sz="0" w:space="0" w:color="auto"/>
                <w:left w:val="none" w:sz="0" w:space="0" w:color="auto"/>
                <w:bottom w:val="none" w:sz="0" w:space="0" w:color="auto"/>
                <w:right w:val="none" w:sz="0" w:space="0" w:color="auto"/>
              </w:divBdr>
            </w:div>
          </w:divsChild>
        </w:div>
        <w:div w:id="31273133">
          <w:marLeft w:val="0"/>
          <w:marRight w:val="0"/>
          <w:marTop w:val="0"/>
          <w:marBottom w:val="0"/>
          <w:divBdr>
            <w:top w:val="none" w:sz="0" w:space="0" w:color="auto"/>
            <w:left w:val="none" w:sz="0" w:space="0" w:color="auto"/>
            <w:bottom w:val="none" w:sz="0" w:space="0" w:color="auto"/>
            <w:right w:val="none" w:sz="0" w:space="0" w:color="auto"/>
          </w:divBdr>
          <w:divsChild>
            <w:div w:id="866605259">
              <w:marLeft w:val="0"/>
              <w:marRight w:val="0"/>
              <w:marTop w:val="0"/>
              <w:marBottom w:val="0"/>
              <w:divBdr>
                <w:top w:val="none" w:sz="0" w:space="0" w:color="auto"/>
                <w:left w:val="none" w:sz="0" w:space="0" w:color="auto"/>
                <w:bottom w:val="none" w:sz="0" w:space="0" w:color="auto"/>
                <w:right w:val="none" w:sz="0" w:space="0" w:color="auto"/>
              </w:divBdr>
            </w:div>
            <w:div w:id="294606190">
              <w:marLeft w:val="0"/>
              <w:marRight w:val="0"/>
              <w:marTop w:val="0"/>
              <w:marBottom w:val="0"/>
              <w:divBdr>
                <w:top w:val="none" w:sz="0" w:space="0" w:color="auto"/>
                <w:left w:val="none" w:sz="0" w:space="0" w:color="auto"/>
                <w:bottom w:val="none" w:sz="0" w:space="0" w:color="auto"/>
                <w:right w:val="none" w:sz="0" w:space="0" w:color="auto"/>
              </w:divBdr>
            </w:div>
            <w:div w:id="1562137079">
              <w:marLeft w:val="0"/>
              <w:marRight w:val="0"/>
              <w:marTop w:val="0"/>
              <w:marBottom w:val="0"/>
              <w:divBdr>
                <w:top w:val="none" w:sz="0" w:space="0" w:color="auto"/>
                <w:left w:val="none" w:sz="0" w:space="0" w:color="auto"/>
                <w:bottom w:val="none" w:sz="0" w:space="0" w:color="auto"/>
                <w:right w:val="none" w:sz="0" w:space="0" w:color="auto"/>
              </w:divBdr>
              <w:divsChild>
                <w:div w:id="225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608">
          <w:marLeft w:val="0"/>
          <w:marRight w:val="0"/>
          <w:marTop w:val="0"/>
          <w:marBottom w:val="0"/>
          <w:divBdr>
            <w:top w:val="none" w:sz="0" w:space="0" w:color="auto"/>
            <w:left w:val="none" w:sz="0" w:space="0" w:color="auto"/>
            <w:bottom w:val="none" w:sz="0" w:space="0" w:color="auto"/>
            <w:right w:val="none" w:sz="0" w:space="0" w:color="auto"/>
          </w:divBdr>
          <w:divsChild>
            <w:div w:id="463080359">
              <w:marLeft w:val="0"/>
              <w:marRight w:val="0"/>
              <w:marTop w:val="0"/>
              <w:marBottom w:val="0"/>
              <w:divBdr>
                <w:top w:val="none" w:sz="0" w:space="0" w:color="auto"/>
                <w:left w:val="none" w:sz="0" w:space="0" w:color="auto"/>
                <w:bottom w:val="none" w:sz="0" w:space="0" w:color="auto"/>
                <w:right w:val="none" w:sz="0" w:space="0" w:color="auto"/>
              </w:divBdr>
            </w:div>
            <w:div w:id="1547717196">
              <w:marLeft w:val="0"/>
              <w:marRight w:val="0"/>
              <w:marTop w:val="0"/>
              <w:marBottom w:val="0"/>
              <w:divBdr>
                <w:top w:val="none" w:sz="0" w:space="0" w:color="auto"/>
                <w:left w:val="none" w:sz="0" w:space="0" w:color="auto"/>
                <w:bottom w:val="none" w:sz="0" w:space="0" w:color="auto"/>
                <w:right w:val="none" w:sz="0" w:space="0" w:color="auto"/>
              </w:divBdr>
            </w:div>
          </w:divsChild>
        </w:div>
        <w:div w:id="268244843">
          <w:marLeft w:val="0"/>
          <w:marRight w:val="0"/>
          <w:marTop w:val="0"/>
          <w:marBottom w:val="0"/>
          <w:divBdr>
            <w:top w:val="none" w:sz="0" w:space="0" w:color="auto"/>
            <w:left w:val="none" w:sz="0" w:space="0" w:color="auto"/>
            <w:bottom w:val="none" w:sz="0" w:space="0" w:color="auto"/>
            <w:right w:val="none" w:sz="0" w:space="0" w:color="auto"/>
          </w:divBdr>
          <w:divsChild>
            <w:div w:id="1945266973">
              <w:marLeft w:val="0"/>
              <w:marRight w:val="0"/>
              <w:marTop w:val="0"/>
              <w:marBottom w:val="0"/>
              <w:divBdr>
                <w:top w:val="none" w:sz="0" w:space="0" w:color="auto"/>
                <w:left w:val="none" w:sz="0" w:space="0" w:color="auto"/>
                <w:bottom w:val="none" w:sz="0" w:space="0" w:color="auto"/>
                <w:right w:val="none" w:sz="0" w:space="0" w:color="auto"/>
              </w:divBdr>
            </w:div>
            <w:div w:id="1740204700">
              <w:marLeft w:val="0"/>
              <w:marRight w:val="0"/>
              <w:marTop w:val="0"/>
              <w:marBottom w:val="0"/>
              <w:divBdr>
                <w:top w:val="none" w:sz="0" w:space="0" w:color="auto"/>
                <w:left w:val="none" w:sz="0" w:space="0" w:color="auto"/>
                <w:bottom w:val="none" w:sz="0" w:space="0" w:color="auto"/>
                <w:right w:val="none" w:sz="0" w:space="0" w:color="auto"/>
              </w:divBdr>
            </w:div>
          </w:divsChild>
        </w:div>
        <w:div w:id="246615100">
          <w:marLeft w:val="0"/>
          <w:marRight w:val="0"/>
          <w:marTop w:val="0"/>
          <w:marBottom w:val="0"/>
          <w:divBdr>
            <w:top w:val="none" w:sz="0" w:space="0" w:color="auto"/>
            <w:left w:val="none" w:sz="0" w:space="0" w:color="auto"/>
            <w:bottom w:val="none" w:sz="0" w:space="0" w:color="auto"/>
            <w:right w:val="none" w:sz="0" w:space="0" w:color="auto"/>
          </w:divBdr>
          <w:divsChild>
            <w:div w:id="1131168364">
              <w:marLeft w:val="0"/>
              <w:marRight w:val="0"/>
              <w:marTop w:val="0"/>
              <w:marBottom w:val="0"/>
              <w:divBdr>
                <w:top w:val="none" w:sz="0" w:space="0" w:color="auto"/>
                <w:left w:val="none" w:sz="0" w:space="0" w:color="auto"/>
                <w:bottom w:val="none" w:sz="0" w:space="0" w:color="auto"/>
                <w:right w:val="none" w:sz="0" w:space="0" w:color="auto"/>
              </w:divBdr>
            </w:div>
            <w:div w:id="13729738">
              <w:marLeft w:val="0"/>
              <w:marRight w:val="0"/>
              <w:marTop w:val="0"/>
              <w:marBottom w:val="0"/>
              <w:divBdr>
                <w:top w:val="none" w:sz="0" w:space="0" w:color="auto"/>
                <w:left w:val="none" w:sz="0" w:space="0" w:color="auto"/>
                <w:bottom w:val="none" w:sz="0" w:space="0" w:color="auto"/>
                <w:right w:val="none" w:sz="0" w:space="0" w:color="auto"/>
              </w:divBdr>
            </w:div>
          </w:divsChild>
        </w:div>
        <w:div w:id="658000329">
          <w:marLeft w:val="0"/>
          <w:marRight w:val="0"/>
          <w:marTop w:val="0"/>
          <w:marBottom w:val="0"/>
          <w:divBdr>
            <w:top w:val="none" w:sz="0" w:space="0" w:color="auto"/>
            <w:left w:val="none" w:sz="0" w:space="0" w:color="auto"/>
            <w:bottom w:val="none" w:sz="0" w:space="0" w:color="auto"/>
            <w:right w:val="none" w:sz="0" w:space="0" w:color="auto"/>
          </w:divBdr>
          <w:divsChild>
            <w:div w:id="714504031">
              <w:marLeft w:val="0"/>
              <w:marRight w:val="0"/>
              <w:marTop w:val="0"/>
              <w:marBottom w:val="0"/>
              <w:divBdr>
                <w:top w:val="none" w:sz="0" w:space="0" w:color="auto"/>
                <w:left w:val="none" w:sz="0" w:space="0" w:color="auto"/>
                <w:bottom w:val="none" w:sz="0" w:space="0" w:color="auto"/>
                <w:right w:val="none" w:sz="0" w:space="0" w:color="auto"/>
              </w:divBdr>
            </w:div>
            <w:div w:id="1687059092">
              <w:marLeft w:val="0"/>
              <w:marRight w:val="0"/>
              <w:marTop w:val="0"/>
              <w:marBottom w:val="0"/>
              <w:divBdr>
                <w:top w:val="none" w:sz="0" w:space="0" w:color="auto"/>
                <w:left w:val="none" w:sz="0" w:space="0" w:color="auto"/>
                <w:bottom w:val="none" w:sz="0" w:space="0" w:color="auto"/>
                <w:right w:val="none" w:sz="0" w:space="0" w:color="auto"/>
              </w:divBdr>
            </w:div>
          </w:divsChild>
        </w:div>
        <w:div w:id="1658221259">
          <w:marLeft w:val="0"/>
          <w:marRight w:val="0"/>
          <w:marTop w:val="0"/>
          <w:marBottom w:val="0"/>
          <w:divBdr>
            <w:top w:val="none" w:sz="0" w:space="0" w:color="auto"/>
            <w:left w:val="none" w:sz="0" w:space="0" w:color="auto"/>
            <w:bottom w:val="none" w:sz="0" w:space="0" w:color="auto"/>
            <w:right w:val="none" w:sz="0" w:space="0" w:color="auto"/>
          </w:divBdr>
          <w:divsChild>
            <w:div w:id="1032222894">
              <w:marLeft w:val="0"/>
              <w:marRight w:val="0"/>
              <w:marTop w:val="0"/>
              <w:marBottom w:val="0"/>
              <w:divBdr>
                <w:top w:val="none" w:sz="0" w:space="0" w:color="auto"/>
                <w:left w:val="none" w:sz="0" w:space="0" w:color="auto"/>
                <w:bottom w:val="none" w:sz="0" w:space="0" w:color="auto"/>
                <w:right w:val="none" w:sz="0" w:space="0" w:color="auto"/>
              </w:divBdr>
            </w:div>
            <w:div w:id="1555004567">
              <w:marLeft w:val="0"/>
              <w:marRight w:val="0"/>
              <w:marTop w:val="0"/>
              <w:marBottom w:val="0"/>
              <w:divBdr>
                <w:top w:val="none" w:sz="0" w:space="0" w:color="auto"/>
                <w:left w:val="none" w:sz="0" w:space="0" w:color="auto"/>
                <w:bottom w:val="none" w:sz="0" w:space="0" w:color="auto"/>
                <w:right w:val="none" w:sz="0" w:space="0" w:color="auto"/>
              </w:divBdr>
            </w:div>
          </w:divsChild>
        </w:div>
        <w:div w:id="1670520352">
          <w:marLeft w:val="0"/>
          <w:marRight w:val="0"/>
          <w:marTop w:val="0"/>
          <w:marBottom w:val="0"/>
          <w:divBdr>
            <w:top w:val="none" w:sz="0" w:space="0" w:color="auto"/>
            <w:left w:val="none" w:sz="0" w:space="0" w:color="auto"/>
            <w:bottom w:val="none" w:sz="0" w:space="0" w:color="auto"/>
            <w:right w:val="none" w:sz="0" w:space="0" w:color="auto"/>
          </w:divBdr>
          <w:divsChild>
            <w:div w:id="1367561248">
              <w:marLeft w:val="0"/>
              <w:marRight w:val="0"/>
              <w:marTop w:val="0"/>
              <w:marBottom w:val="0"/>
              <w:divBdr>
                <w:top w:val="none" w:sz="0" w:space="0" w:color="auto"/>
                <w:left w:val="none" w:sz="0" w:space="0" w:color="auto"/>
                <w:bottom w:val="none" w:sz="0" w:space="0" w:color="auto"/>
                <w:right w:val="none" w:sz="0" w:space="0" w:color="auto"/>
              </w:divBdr>
            </w:div>
            <w:div w:id="22025110">
              <w:marLeft w:val="0"/>
              <w:marRight w:val="0"/>
              <w:marTop w:val="0"/>
              <w:marBottom w:val="0"/>
              <w:divBdr>
                <w:top w:val="none" w:sz="0" w:space="0" w:color="auto"/>
                <w:left w:val="none" w:sz="0" w:space="0" w:color="auto"/>
                <w:bottom w:val="none" w:sz="0" w:space="0" w:color="auto"/>
                <w:right w:val="none" w:sz="0" w:space="0" w:color="auto"/>
              </w:divBdr>
            </w:div>
          </w:divsChild>
        </w:div>
        <w:div w:id="650526391">
          <w:marLeft w:val="0"/>
          <w:marRight w:val="0"/>
          <w:marTop w:val="0"/>
          <w:marBottom w:val="0"/>
          <w:divBdr>
            <w:top w:val="none" w:sz="0" w:space="0" w:color="auto"/>
            <w:left w:val="none" w:sz="0" w:space="0" w:color="auto"/>
            <w:bottom w:val="none" w:sz="0" w:space="0" w:color="auto"/>
            <w:right w:val="none" w:sz="0" w:space="0" w:color="auto"/>
          </w:divBdr>
          <w:divsChild>
            <w:div w:id="1773863762">
              <w:marLeft w:val="0"/>
              <w:marRight w:val="0"/>
              <w:marTop w:val="0"/>
              <w:marBottom w:val="0"/>
              <w:divBdr>
                <w:top w:val="none" w:sz="0" w:space="0" w:color="auto"/>
                <w:left w:val="none" w:sz="0" w:space="0" w:color="auto"/>
                <w:bottom w:val="none" w:sz="0" w:space="0" w:color="auto"/>
                <w:right w:val="none" w:sz="0" w:space="0" w:color="auto"/>
              </w:divBdr>
            </w:div>
            <w:div w:id="1516774053">
              <w:marLeft w:val="0"/>
              <w:marRight w:val="0"/>
              <w:marTop w:val="0"/>
              <w:marBottom w:val="0"/>
              <w:divBdr>
                <w:top w:val="none" w:sz="0" w:space="0" w:color="auto"/>
                <w:left w:val="none" w:sz="0" w:space="0" w:color="auto"/>
                <w:bottom w:val="none" w:sz="0" w:space="0" w:color="auto"/>
                <w:right w:val="none" w:sz="0" w:space="0" w:color="auto"/>
              </w:divBdr>
            </w:div>
          </w:divsChild>
        </w:div>
        <w:div w:id="728462686">
          <w:marLeft w:val="0"/>
          <w:marRight w:val="0"/>
          <w:marTop w:val="0"/>
          <w:marBottom w:val="0"/>
          <w:divBdr>
            <w:top w:val="none" w:sz="0" w:space="0" w:color="auto"/>
            <w:left w:val="none" w:sz="0" w:space="0" w:color="auto"/>
            <w:bottom w:val="none" w:sz="0" w:space="0" w:color="auto"/>
            <w:right w:val="none" w:sz="0" w:space="0" w:color="auto"/>
          </w:divBdr>
          <w:divsChild>
            <w:div w:id="1829395179">
              <w:marLeft w:val="0"/>
              <w:marRight w:val="0"/>
              <w:marTop w:val="0"/>
              <w:marBottom w:val="0"/>
              <w:divBdr>
                <w:top w:val="none" w:sz="0" w:space="0" w:color="auto"/>
                <w:left w:val="none" w:sz="0" w:space="0" w:color="auto"/>
                <w:bottom w:val="none" w:sz="0" w:space="0" w:color="auto"/>
                <w:right w:val="none" w:sz="0" w:space="0" w:color="auto"/>
              </w:divBdr>
            </w:div>
            <w:div w:id="67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536">
      <w:bodyDiv w:val="1"/>
      <w:marLeft w:val="0"/>
      <w:marRight w:val="0"/>
      <w:marTop w:val="0"/>
      <w:marBottom w:val="0"/>
      <w:divBdr>
        <w:top w:val="none" w:sz="0" w:space="0" w:color="auto"/>
        <w:left w:val="none" w:sz="0" w:space="0" w:color="auto"/>
        <w:bottom w:val="none" w:sz="0" w:space="0" w:color="auto"/>
        <w:right w:val="none" w:sz="0" w:space="0" w:color="auto"/>
      </w:divBdr>
      <w:divsChild>
        <w:div w:id="1690528416">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
            <w:div w:id="431128064">
              <w:marLeft w:val="0"/>
              <w:marRight w:val="0"/>
              <w:marTop w:val="0"/>
              <w:marBottom w:val="0"/>
              <w:divBdr>
                <w:top w:val="none" w:sz="0" w:space="0" w:color="auto"/>
                <w:left w:val="none" w:sz="0" w:space="0" w:color="auto"/>
                <w:bottom w:val="none" w:sz="0" w:space="0" w:color="auto"/>
                <w:right w:val="none" w:sz="0" w:space="0" w:color="auto"/>
              </w:divBdr>
            </w:div>
          </w:divsChild>
        </w:div>
        <w:div w:id="244655544">
          <w:marLeft w:val="0"/>
          <w:marRight w:val="0"/>
          <w:marTop w:val="0"/>
          <w:marBottom w:val="0"/>
          <w:divBdr>
            <w:top w:val="none" w:sz="0" w:space="0" w:color="auto"/>
            <w:left w:val="none" w:sz="0" w:space="0" w:color="auto"/>
            <w:bottom w:val="none" w:sz="0" w:space="0" w:color="auto"/>
            <w:right w:val="none" w:sz="0" w:space="0" w:color="auto"/>
          </w:divBdr>
          <w:divsChild>
            <w:div w:id="1260524927">
              <w:marLeft w:val="0"/>
              <w:marRight w:val="0"/>
              <w:marTop w:val="0"/>
              <w:marBottom w:val="0"/>
              <w:divBdr>
                <w:top w:val="none" w:sz="0" w:space="0" w:color="auto"/>
                <w:left w:val="none" w:sz="0" w:space="0" w:color="auto"/>
                <w:bottom w:val="none" w:sz="0" w:space="0" w:color="auto"/>
                <w:right w:val="none" w:sz="0" w:space="0" w:color="auto"/>
              </w:divBdr>
            </w:div>
            <w:div w:id="1249078568">
              <w:marLeft w:val="0"/>
              <w:marRight w:val="0"/>
              <w:marTop w:val="0"/>
              <w:marBottom w:val="0"/>
              <w:divBdr>
                <w:top w:val="none" w:sz="0" w:space="0" w:color="auto"/>
                <w:left w:val="none" w:sz="0" w:space="0" w:color="auto"/>
                <w:bottom w:val="none" w:sz="0" w:space="0" w:color="auto"/>
                <w:right w:val="none" w:sz="0" w:space="0" w:color="auto"/>
              </w:divBdr>
            </w:div>
            <w:div w:id="1597052433">
              <w:marLeft w:val="0"/>
              <w:marRight w:val="0"/>
              <w:marTop w:val="0"/>
              <w:marBottom w:val="0"/>
              <w:divBdr>
                <w:top w:val="none" w:sz="0" w:space="0" w:color="auto"/>
                <w:left w:val="none" w:sz="0" w:space="0" w:color="auto"/>
                <w:bottom w:val="none" w:sz="0" w:space="0" w:color="auto"/>
                <w:right w:val="none" w:sz="0" w:space="0" w:color="auto"/>
              </w:divBdr>
              <w:divsChild>
                <w:div w:id="840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71">
          <w:marLeft w:val="0"/>
          <w:marRight w:val="0"/>
          <w:marTop w:val="0"/>
          <w:marBottom w:val="0"/>
          <w:divBdr>
            <w:top w:val="none" w:sz="0" w:space="0" w:color="auto"/>
            <w:left w:val="none" w:sz="0" w:space="0" w:color="auto"/>
            <w:bottom w:val="none" w:sz="0" w:space="0" w:color="auto"/>
            <w:right w:val="none" w:sz="0" w:space="0" w:color="auto"/>
          </w:divBdr>
          <w:divsChild>
            <w:div w:id="1023483439">
              <w:marLeft w:val="0"/>
              <w:marRight w:val="0"/>
              <w:marTop w:val="0"/>
              <w:marBottom w:val="0"/>
              <w:divBdr>
                <w:top w:val="none" w:sz="0" w:space="0" w:color="auto"/>
                <w:left w:val="none" w:sz="0" w:space="0" w:color="auto"/>
                <w:bottom w:val="none" w:sz="0" w:space="0" w:color="auto"/>
                <w:right w:val="none" w:sz="0" w:space="0" w:color="auto"/>
              </w:divBdr>
            </w:div>
            <w:div w:id="190841607">
              <w:marLeft w:val="0"/>
              <w:marRight w:val="0"/>
              <w:marTop w:val="0"/>
              <w:marBottom w:val="0"/>
              <w:divBdr>
                <w:top w:val="none" w:sz="0" w:space="0" w:color="auto"/>
                <w:left w:val="none" w:sz="0" w:space="0" w:color="auto"/>
                <w:bottom w:val="none" w:sz="0" w:space="0" w:color="auto"/>
                <w:right w:val="none" w:sz="0" w:space="0" w:color="auto"/>
              </w:divBdr>
            </w:div>
          </w:divsChild>
        </w:div>
        <w:div w:id="2043245498">
          <w:marLeft w:val="0"/>
          <w:marRight w:val="0"/>
          <w:marTop w:val="0"/>
          <w:marBottom w:val="0"/>
          <w:divBdr>
            <w:top w:val="none" w:sz="0" w:space="0" w:color="auto"/>
            <w:left w:val="none" w:sz="0" w:space="0" w:color="auto"/>
            <w:bottom w:val="none" w:sz="0" w:space="0" w:color="auto"/>
            <w:right w:val="none" w:sz="0" w:space="0" w:color="auto"/>
          </w:divBdr>
          <w:divsChild>
            <w:div w:id="156073464">
              <w:marLeft w:val="0"/>
              <w:marRight w:val="0"/>
              <w:marTop w:val="0"/>
              <w:marBottom w:val="0"/>
              <w:divBdr>
                <w:top w:val="none" w:sz="0" w:space="0" w:color="auto"/>
                <w:left w:val="none" w:sz="0" w:space="0" w:color="auto"/>
                <w:bottom w:val="none" w:sz="0" w:space="0" w:color="auto"/>
                <w:right w:val="none" w:sz="0" w:space="0" w:color="auto"/>
              </w:divBdr>
            </w:div>
            <w:div w:id="1002926274">
              <w:marLeft w:val="0"/>
              <w:marRight w:val="0"/>
              <w:marTop w:val="0"/>
              <w:marBottom w:val="0"/>
              <w:divBdr>
                <w:top w:val="none" w:sz="0" w:space="0" w:color="auto"/>
                <w:left w:val="none" w:sz="0" w:space="0" w:color="auto"/>
                <w:bottom w:val="none" w:sz="0" w:space="0" w:color="auto"/>
                <w:right w:val="none" w:sz="0" w:space="0" w:color="auto"/>
              </w:divBdr>
            </w:div>
          </w:divsChild>
        </w:div>
        <w:div w:id="1735158096">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 w:id="1153258181">
              <w:marLeft w:val="0"/>
              <w:marRight w:val="0"/>
              <w:marTop w:val="0"/>
              <w:marBottom w:val="0"/>
              <w:divBdr>
                <w:top w:val="none" w:sz="0" w:space="0" w:color="auto"/>
                <w:left w:val="none" w:sz="0" w:space="0" w:color="auto"/>
                <w:bottom w:val="none" w:sz="0" w:space="0" w:color="auto"/>
                <w:right w:val="none" w:sz="0" w:space="0" w:color="auto"/>
              </w:divBdr>
            </w:div>
          </w:divsChild>
        </w:div>
        <w:div w:id="737095250">
          <w:marLeft w:val="0"/>
          <w:marRight w:val="0"/>
          <w:marTop w:val="0"/>
          <w:marBottom w:val="0"/>
          <w:divBdr>
            <w:top w:val="none" w:sz="0" w:space="0" w:color="auto"/>
            <w:left w:val="none" w:sz="0" w:space="0" w:color="auto"/>
            <w:bottom w:val="none" w:sz="0" w:space="0" w:color="auto"/>
            <w:right w:val="none" w:sz="0" w:space="0" w:color="auto"/>
          </w:divBdr>
          <w:divsChild>
            <w:div w:id="1854108217">
              <w:marLeft w:val="0"/>
              <w:marRight w:val="0"/>
              <w:marTop w:val="0"/>
              <w:marBottom w:val="0"/>
              <w:divBdr>
                <w:top w:val="none" w:sz="0" w:space="0" w:color="auto"/>
                <w:left w:val="none" w:sz="0" w:space="0" w:color="auto"/>
                <w:bottom w:val="none" w:sz="0" w:space="0" w:color="auto"/>
                <w:right w:val="none" w:sz="0" w:space="0" w:color="auto"/>
              </w:divBdr>
            </w:div>
            <w:div w:id="487138124">
              <w:marLeft w:val="0"/>
              <w:marRight w:val="0"/>
              <w:marTop w:val="0"/>
              <w:marBottom w:val="0"/>
              <w:divBdr>
                <w:top w:val="none" w:sz="0" w:space="0" w:color="auto"/>
                <w:left w:val="none" w:sz="0" w:space="0" w:color="auto"/>
                <w:bottom w:val="none" w:sz="0" w:space="0" w:color="auto"/>
                <w:right w:val="none" w:sz="0" w:space="0" w:color="auto"/>
              </w:divBdr>
            </w:div>
          </w:divsChild>
        </w:div>
        <w:div w:id="547187193">
          <w:marLeft w:val="0"/>
          <w:marRight w:val="0"/>
          <w:marTop w:val="0"/>
          <w:marBottom w:val="0"/>
          <w:divBdr>
            <w:top w:val="none" w:sz="0" w:space="0" w:color="auto"/>
            <w:left w:val="none" w:sz="0" w:space="0" w:color="auto"/>
            <w:bottom w:val="none" w:sz="0" w:space="0" w:color="auto"/>
            <w:right w:val="none" w:sz="0" w:space="0" w:color="auto"/>
          </w:divBdr>
          <w:divsChild>
            <w:div w:id="2019384505">
              <w:marLeft w:val="0"/>
              <w:marRight w:val="0"/>
              <w:marTop w:val="0"/>
              <w:marBottom w:val="0"/>
              <w:divBdr>
                <w:top w:val="none" w:sz="0" w:space="0" w:color="auto"/>
                <w:left w:val="none" w:sz="0" w:space="0" w:color="auto"/>
                <w:bottom w:val="none" w:sz="0" w:space="0" w:color="auto"/>
                <w:right w:val="none" w:sz="0" w:space="0" w:color="auto"/>
              </w:divBdr>
            </w:div>
            <w:div w:id="1269654833">
              <w:marLeft w:val="0"/>
              <w:marRight w:val="0"/>
              <w:marTop w:val="0"/>
              <w:marBottom w:val="0"/>
              <w:divBdr>
                <w:top w:val="none" w:sz="0" w:space="0" w:color="auto"/>
                <w:left w:val="none" w:sz="0" w:space="0" w:color="auto"/>
                <w:bottom w:val="none" w:sz="0" w:space="0" w:color="auto"/>
                <w:right w:val="none" w:sz="0" w:space="0" w:color="auto"/>
              </w:divBdr>
            </w:div>
          </w:divsChild>
        </w:div>
        <w:div w:id="1544899848">
          <w:marLeft w:val="0"/>
          <w:marRight w:val="0"/>
          <w:marTop w:val="0"/>
          <w:marBottom w:val="0"/>
          <w:divBdr>
            <w:top w:val="none" w:sz="0" w:space="0" w:color="auto"/>
            <w:left w:val="none" w:sz="0" w:space="0" w:color="auto"/>
            <w:bottom w:val="none" w:sz="0" w:space="0" w:color="auto"/>
            <w:right w:val="none" w:sz="0" w:space="0" w:color="auto"/>
          </w:divBdr>
          <w:divsChild>
            <w:div w:id="1325284390">
              <w:marLeft w:val="0"/>
              <w:marRight w:val="0"/>
              <w:marTop w:val="0"/>
              <w:marBottom w:val="0"/>
              <w:divBdr>
                <w:top w:val="none" w:sz="0" w:space="0" w:color="auto"/>
                <w:left w:val="none" w:sz="0" w:space="0" w:color="auto"/>
                <w:bottom w:val="none" w:sz="0" w:space="0" w:color="auto"/>
                <w:right w:val="none" w:sz="0" w:space="0" w:color="auto"/>
              </w:divBdr>
            </w:div>
            <w:div w:id="351036455">
              <w:marLeft w:val="0"/>
              <w:marRight w:val="0"/>
              <w:marTop w:val="0"/>
              <w:marBottom w:val="0"/>
              <w:divBdr>
                <w:top w:val="none" w:sz="0" w:space="0" w:color="auto"/>
                <w:left w:val="none" w:sz="0" w:space="0" w:color="auto"/>
                <w:bottom w:val="none" w:sz="0" w:space="0" w:color="auto"/>
                <w:right w:val="none" w:sz="0" w:space="0" w:color="auto"/>
              </w:divBdr>
            </w:div>
          </w:divsChild>
        </w:div>
        <w:div w:id="848252026">
          <w:marLeft w:val="0"/>
          <w:marRight w:val="0"/>
          <w:marTop w:val="0"/>
          <w:marBottom w:val="0"/>
          <w:divBdr>
            <w:top w:val="none" w:sz="0" w:space="0" w:color="auto"/>
            <w:left w:val="none" w:sz="0" w:space="0" w:color="auto"/>
            <w:bottom w:val="none" w:sz="0" w:space="0" w:color="auto"/>
            <w:right w:val="none" w:sz="0" w:space="0" w:color="auto"/>
          </w:divBdr>
          <w:divsChild>
            <w:div w:id="332954438">
              <w:marLeft w:val="0"/>
              <w:marRight w:val="0"/>
              <w:marTop w:val="0"/>
              <w:marBottom w:val="0"/>
              <w:divBdr>
                <w:top w:val="none" w:sz="0" w:space="0" w:color="auto"/>
                <w:left w:val="none" w:sz="0" w:space="0" w:color="auto"/>
                <w:bottom w:val="none" w:sz="0" w:space="0" w:color="auto"/>
                <w:right w:val="none" w:sz="0" w:space="0" w:color="auto"/>
              </w:divBdr>
            </w:div>
            <w:div w:id="1737900495">
              <w:marLeft w:val="0"/>
              <w:marRight w:val="0"/>
              <w:marTop w:val="0"/>
              <w:marBottom w:val="0"/>
              <w:divBdr>
                <w:top w:val="none" w:sz="0" w:space="0" w:color="auto"/>
                <w:left w:val="none" w:sz="0" w:space="0" w:color="auto"/>
                <w:bottom w:val="none" w:sz="0" w:space="0" w:color="auto"/>
                <w:right w:val="none" w:sz="0" w:space="0" w:color="auto"/>
              </w:divBdr>
            </w:div>
          </w:divsChild>
        </w:div>
        <w:div w:id="197359197">
          <w:marLeft w:val="0"/>
          <w:marRight w:val="0"/>
          <w:marTop w:val="0"/>
          <w:marBottom w:val="0"/>
          <w:divBdr>
            <w:top w:val="none" w:sz="0" w:space="0" w:color="auto"/>
            <w:left w:val="none" w:sz="0" w:space="0" w:color="auto"/>
            <w:bottom w:val="none" w:sz="0" w:space="0" w:color="auto"/>
            <w:right w:val="none" w:sz="0" w:space="0" w:color="auto"/>
          </w:divBdr>
          <w:divsChild>
            <w:div w:id="67651405">
              <w:marLeft w:val="0"/>
              <w:marRight w:val="0"/>
              <w:marTop w:val="0"/>
              <w:marBottom w:val="0"/>
              <w:divBdr>
                <w:top w:val="none" w:sz="0" w:space="0" w:color="auto"/>
                <w:left w:val="none" w:sz="0" w:space="0" w:color="auto"/>
                <w:bottom w:val="none" w:sz="0" w:space="0" w:color="auto"/>
                <w:right w:val="none" w:sz="0" w:space="0" w:color="auto"/>
              </w:divBdr>
            </w:div>
            <w:div w:id="1126197512">
              <w:marLeft w:val="0"/>
              <w:marRight w:val="0"/>
              <w:marTop w:val="0"/>
              <w:marBottom w:val="0"/>
              <w:divBdr>
                <w:top w:val="none" w:sz="0" w:space="0" w:color="auto"/>
                <w:left w:val="none" w:sz="0" w:space="0" w:color="auto"/>
                <w:bottom w:val="none" w:sz="0" w:space="0" w:color="auto"/>
                <w:right w:val="none" w:sz="0" w:space="0" w:color="auto"/>
              </w:divBdr>
              <w:divsChild>
                <w:div w:id="969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729">
          <w:marLeft w:val="0"/>
          <w:marRight w:val="0"/>
          <w:marTop w:val="0"/>
          <w:marBottom w:val="0"/>
          <w:divBdr>
            <w:top w:val="none" w:sz="0" w:space="0" w:color="auto"/>
            <w:left w:val="none" w:sz="0" w:space="0" w:color="auto"/>
            <w:bottom w:val="none" w:sz="0" w:space="0" w:color="auto"/>
            <w:right w:val="none" w:sz="0" w:space="0" w:color="auto"/>
          </w:divBdr>
          <w:divsChild>
            <w:div w:id="273437936">
              <w:marLeft w:val="0"/>
              <w:marRight w:val="0"/>
              <w:marTop w:val="0"/>
              <w:marBottom w:val="0"/>
              <w:divBdr>
                <w:top w:val="none" w:sz="0" w:space="0" w:color="auto"/>
                <w:left w:val="none" w:sz="0" w:space="0" w:color="auto"/>
                <w:bottom w:val="none" w:sz="0" w:space="0" w:color="auto"/>
                <w:right w:val="none" w:sz="0" w:space="0" w:color="auto"/>
              </w:divBdr>
            </w:div>
            <w:div w:id="236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799">
      <w:bodyDiv w:val="1"/>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 w:id="865364105">
          <w:marLeft w:val="0"/>
          <w:marRight w:val="0"/>
          <w:marTop w:val="0"/>
          <w:marBottom w:val="0"/>
          <w:divBdr>
            <w:top w:val="none" w:sz="0" w:space="0" w:color="auto"/>
            <w:left w:val="none" w:sz="0" w:space="0" w:color="auto"/>
            <w:bottom w:val="none" w:sz="0" w:space="0" w:color="auto"/>
            <w:right w:val="none" w:sz="0" w:space="0" w:color="auto"/>
          </w:divBdr>
        </w:div>
        <w:div w:id="1033043977">
          <w:marLeft w:val="0"/>
          <w:marRight w:val="0"/>
          <w:marTop w:val="0"/>
          <w:marBottom w:val="0"/>
          <w:divBdr>
            <w:top w:val="none" w:sz="0" w:space="0" w:color="auto"/>
            <w:left w:val="none" w:sz="0" w:space="0" w:color="auto"/>
            <w:bottom w:val="none" w:sz="0" w:space="0" w:color="auto"/>
            <w:right w:val="none" w:sz="0" w:space="0" w:color="auto"/>
          </w:divBdr>
        </w:div>
        <w:div w:id="45643741">
          <w:marLeft w:val="0"/>
          <w:marRight w:val="0"/>
          <w:marTop w:val="0"/>
          <w:marBottom w:val="0"/>
          <w:divBdr>
            <w:top w:val="none" w:sz="0" w:space="0" w:color="auto"/>
            <w:left w:val="none" w:sz="0" w:space="0" w:color="auto"/>
            <w:bottom w:val="none" w:sz="0" w:space="0" w:color="auto"/>
            <w:right w:val="none" w:sz="0" w:space="0" w:color="auto"/>
          </w:divBdr>
        </w:div>
        <w:div w:id="1953391613">
          <w:marLeft w:val="0"/>
          <w:marRight w:val="0"/>
          <w:marTop w:val="0"/>
          <w:marBottom w:val="0"/>
          <w:divBdr>
            <w:top w:val="none" w:sz="0" w:space="0" w:color="auto"/>
            <w:left w:val="none" w:sz="0" w:space="0" w:color="auto"/>
            <w:bottom w:val="none" w:sz="0" w:space="0" w:color="auto"/>
            <w:right w:val="none" w:sz="0" w:space="0" w:color="auto"/>
          </w:divBdr>
        </w:div>
        <w:div w:id="219901757">
          <w:marLeft w:val="0"/>
          <w:marRight w:val="0"/>
          <w:marTop w:val="0"/>
          <w:marBottom w:val="0"/>
          <w:divBdr>
            <w:top w:val="none" w:sz="0" w:space="0" w:color="auto"/>
            <w:left w:val="none" w:sz="0" w:space="0" w:color="auto"/>
            <w:bottom w:val="none" w:sz="0" w:space="0" w:color="auto"/>
            <w:right w:val="none" w:sz="0" w:space="0" w:color="auto"/>
          </w:divBdr>
        </w:div>
        <w:div w:id="484123339">
          <w:marLeft w:val="0"/>
          <w:marRight w:val="0"/>
          <w:marTop w:val="0"/>
          <w:marBottom w:val="0"/>
          <w:divBdr>
            <w:top w:val="none" w:sz="0" w:space="0" w:color="auto"/>
            <w:left w:val="none" w:sz="0" w:space="0" w:color="auto"/>
            <w:bottom w:val="none" w:sz="0" w:space="0" w:color="auto"/>
            <w:right w:val="none" w:sz="0" w:space="0" w:color="auto"/>
          </w:divBdr>
        </w:div>
        <w:div w:id="1184902697">
          <w:marLeft w:val="0"/>
          <w:marRight w:val="0"/>
          <w:marTop w:val="0"/>
          <w:marBottom w:val="0"/>
          <w:divBdr>
            <w:top w:val="none" w:sz="0" w:space="0" w:color="auto"/>
            <w:left w:val="none" w:sz="0" w:space="0" w:color="auto"/>
            <w:bottom w:val="none" w:sz="0" w:space="0" w:color="auto"/>
            <w:right w:val="none" w:sz="0" w:space="0" w:color="auto"/>
          </w:divBdr>
        </w:div>
        <w:div w:id="1639339178">
          <w:marLeft w:val="0"/>
          <w:marRight w:val="0"/>
          <w:marTop w:val="0"/>
          <w:marBottom w:val="0"/>
          <w:divBdr>
            <w:top w:val="none" w:sz="0" w:space="0" w:color="auto"/>
            <w:left w:val="none" w:sz="0" w:space="0" w:color="auto"/>
            <w:bottom w:val="none" w:sz="0" w:space="0" w:color="auto"/>
            <w:right w:val="none" w:sz="0" w:space="0" w:color="auto"/>
          </w:divBdr>
        </w:div>
        <w:div w:id="1103724212">
          <w:marLeft w:val="0"/>
          <w:marRight w:val="0"/>
          <w:marTop w:val="0"/>
          <w:marBottom w:val="0"/>
          <w:divBdr>
            <w:top w:val="none" w:sz="0" w:space="0" w:color="auto"/>
            <w:left w:val="none" w:sz="0" w:space="0" w:color="auto"/>
            <w:bottom w:val="none" w:sz="0" w:space="0" w:color="auto"/>
            <w:right w:val="none" w:sz="0" w:space="0" w:color="auto"/>
          </w:divBdr>
        </w:div>
        <w:div w:id="2118983109">
          <w:marLeft w:val="0"/>
          <w:marRight w:val="0"/>
          <w:marTop w:val="0"/>
          <w:marBottom w:val="0"/>
          <w:divBdr>
            <w:top w:val="none" w:sz="0" w:space="0" w:color="auto"/>
            <w:left w:val="none" w:sz="0" w:space="0" w:color="auto"/>
            <w:bottom w:val="none" w:sz="0" w:space="0" w:color="auto"/>
            <w:right w:val="none" w:sz="0" w:space="0" w:color="auto"/>
          </w:divBdr>
        </w:div>
        <w:div w:id="919024784">
          <w:marLeft w:val="0"/>
          <w:marRight w:val="0"/>
          <w:marTop w:val="0"/>
          <w:marBottom w:val="0"/>
          <w:divBdr>
            <w:top w:val="none" w:sz="0" w:space="0" w:color="auto"/>
            <w:left w:val="none" w:sz="0" w:space="0" w:color="auto"/>
            <w:bottom w:val="none" w:sz="0" w:space="0" w:color="auto"/>
            <w:right w:val="none" w:sz="0" w:space="0" w:color="auto"/>
          </w:divBdr>
        </w:div>
        <w:div w:id="360976392">
          <w:marLeft w:val="0"/>
          <w:marRight w:val="0"/>
          <w:marTop w:val="0"/>
          <w:marBottom w:val="0"/>
          <w:divBdr>
            <w:top w:val="none" w:sz="0" w:space="0" w:color="auto"/>
            <w:left w:val="none" w:sz="0" w:space="0" w:color="auto"/>
            <w:bottom w:val="none" w:sz="0" w:space="0" w:color="auto"/>
            <w:right w:val="none" w:sz="0" w:space="0" w:color="auto"/>
          </w:divBdr>
        </w:div>
        <w:div w:id="1524976114">
          <w:marLeft w:val="0"/>
          <w:marRight w:val="0"/>
          <w:marTop w:val="0"/>
          <w:marBottom w:val="0"/>
          <w:divBdr>
            <w:top w:val="none" w:sz="0" w:space="0" w:color="auto"/>
            <w:left w:val="none" w:sz="0" w:space="0" w:color="auto"/>
            <w:bottom w:val="none" w:sz="0" w:space="0" w:color="auto"/>
            <w:right w:val="none" w:sz="0" w:space="0" w:color="auto"/>
          </w:divBdr>
        </w:div>
        <w:div w:id="2047639425">
          <w:marLeft w:val="0"/>
          <w:marRight w:val="0"/>
          <w:marTop w:val="0"/>
          <w:marBottom w:val="0"/>
          <w:divBdr>
            <w:top w:val="none" w:sz="0" w:space="0" w:color="auto"/>
            <w:left w:val="none" w:sz="0" w:space="0" w:color="auto"/>
            <w:bottom w:val="none" w:sz="0" w:space="0" w:color="auto"/>
            <w:right w:val="none" w:sz="0" w:space="0" w:color="auto"/>
          </w:divBdr>
        </w:div>
        <w:div w:id="1165972889">
          <w:marLeft w:val="0"/>
          <w:marRight w:val="0"/>
          <w:marTop w:val="0"/>
          <w:marBottom w:val="0"/>
          <w:divBdr>
            <w:top w:val="none" w:sz="0" w:space="0" w:color="auto"/>
            <w:left w:val="none" w:sz="0" w:space="0" w:color="auto"/>
            <w:bottom w:val="none" w:sz="0" w:space="0" w:color="auto"/>
            <w:right w:val="none" w:sz="0" w:space="0" w:color="auto"/>
          </w:divBdr>
        </w:div>
        <w:div w:id="1988394546">
          <w:marLeft w:val="0"/>
          <w:marRight w:val="0"/>
          <w:marTop w:val="0"/>
          <w:marBottom w:val="0"/>
          <w:divBdr>
            <w:top w:val="none" w:sz="0" w:space="0" w:color="auto"/>
            <w:left w:val="none" w:sz="0" w:space="0" w:color="auto"/>
            <w:bottom w:val="none" w:sz="0" w:space="0" w:color="auto"/>
            <w:right w:val="none" w:sz="0" w:space="0" w:color="auto"/>
          </w:divBdr>
        </w:div>
        <w:div w:id="275601759">
          <w:marLeft w:val="0"/>
          <w:marRight w:val="0"/>
          <w:marTop w:val="0"/>
          <w:marBottom w:val="0"/>
          <w:divBdr>
            <w:top w:val="none" w:sz="0" w:space="0" w:color="auto"/>
            <w:left w:val="none" w:sz="0" w:space="0" w:color="auto"/>
            <w:bottom w:val="none" w:sz="0" w:space="0" w:color="auto"/>
            <w:right w:val="none" w:sz="0" w:space="0" w:color="auto"/>
          </w:divBdr>
        </w:div>
        <w:div w:id="1242135719">
          <w:marLeft w:val="0"/>
          <w:marRight w:val="0"/>
          <w:marTop w:val="0"/>
          <w:marBottom w:val="0"/>
          <w:divBdr>
            <w:top w:val="none" w:sz="0" w:space="0" w:color="auto"/>
            <w:left w:val="none" w:sz="0" w:space="0" w:color="auto"/>
            <w:bottom w:val="none" w:sz="0" w:space="0" w:color="auto"/>
            <w:right w:val="none" w:sz="0" w:space="0" w:color="auto"/>
          </w:divBdr>
        </w:div>
        <w:div w:id="1810513706">
          <w:marLeft w:val="0"/>
          <w:marRight w:val="0"/>
          <w:marTop w:val="0"/>
          <w:marBottom w:val="0"/>
          <w:divBdr>
            <w:top w:val="none" w:sz="0" w:space="0" w:color="auto"/>
            <w:left w:val="none" w:sz="0" w:space="0" w:color="auto"/>
            <w:bottom w:val="none" w:sz="0" w:space="0" w:color="auto"/>
            <w:right w:val="none" w:sz="0" w:space="0" w:color="auto"/>
          </w:divBdr>
        </w:div>
        <w:div w:id="401485283">
          <w:marLeft w:val="0"/>
          <w:marRight w:val="0"/>
          <w:marTop w:val="0"/>
          <w:marBottom w:val="0"/>
          <w:divBdr>
            <w:top w:val="none" w:sz="0" w:space="0" w:color="auto"/>
            <w:left w:val="none" w:sz="0" w:space="0" w:color="auto"/>
            <w:bottom w:val="none" w:sz="0" w:space="0" w:color="auto"/>
            <w:right w:val="none" w:sz="0" w:space="0" w:color="auto"/>
          </w:divBdr>
        </w:div>
        <w:div w:id="1675960553">
          <w:marLeft w:val="0"/>
          <w:marRight w:val="0"/>
          <w:marTop w:val="0"/>
          <w:marBottom w:val="0"/>
          <w:divBdr>
            <w:top w:val="none" w:sz="0" w:space="0" w:color="auto"/>
            <w:left w:val="none" w:sz="0" w:space="0" w:color="auto"/>
            <w:bottom w:val="none" w:sz="0" w:space="0" w:color="auto"/>
            <w:right w:val="none" w:sz="0" w:space="0" w:color="auto"/>
          </w:divBdr>
        </w:div>
        <w:div w:id="151337248">
          <w:marLeft w:val="0"/>
          <w:marRight w:val="0"/>
          <w:marTop w:val="0"/>
          <w:marBottom w:val="0"/>
          <w:divBdr>
            <w:top w:val="none" w:sz="0" w:space="0" w:color="auto"/>
            <w:left w:val="none" w:sz="0" w:space="0" w:color="auto"/>
            <w:bottom w:val="none" w:sz="0" w:space="0" w:color="auto"/>
            <w:right w:val="none" w:sz="0" w:space="0" w:color="auto"/>
          </w:divBdr>
        </w:div>
        <w:div w:id="280455791">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820540238">
          <w:marLeft w:val="0"/>
          <w:marRight w:val="0"/>
          <w:marTop w:val="0"/>
          <w:marBottom w:val="0"/>
          <w:divBdr>
            <w:top w:val="none" w:sz="0" w:space="0" w:color="auto"/>
            <w:left w:val="none" w:sz="0" w:space="0" w:color="auto"/>
            <w:bottom w:val="none" w:sz="0" w:space="0" w:color="auto"/>
            <w:right w:val="none" w:sz="0" w:space="0" w:color="auto"/>
          </w:divBdr>
        </w:div>
        <w:div w:id="176679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dal.vidal.fr/medicament/rimactan_300_mg_gel-14490.html" TargetMode="External"/><Relationship Id="rId13" Type="http://schemas.openxmlformats.org/officeDocument/2006/relationships/hyperlink" Target="https://evidal.vidal.fr/medicament/rimactan_300_mg_gel-14490.html" TargetMode="External"/><Relationship Id="rId18" Type="http://schemas.openxmlformats.org/officeDocument/2006/relationships/hyperlink" Target="https://evidal.vidal.fr/medicament/rimactan_300_mg_gel-14490.html" TargetMode="External"/><Relationship Id="rId26" Type="http://schemas.openxmlformats.org/officeDocument/2006/relationships/hyperlink" Target="https://evidal.vidal.fr/medicament/rimactan_300_mg_gel-14490.html" TargetMode="External"/><Relationship Id="rId3" Type="http://schemas.openxmlformats.org/officeDocument/2006/relationships/settings" Target="settings.xml"/><Relationship Id="rId21" Type="http://schemas.openxmlformats.org/officeDocument/2006/relationships/hyperlink" Target="https://evidal.vidal.fr/medicament/rimactan_300_mg_gel-14490.html" TargetMode="External"/><Relationship Id="rId7" Type="http://schemas.openxmlformats.org/officeDocument/2006/relationships/hyperlink" Target="https://evidal.vidal.fr/medicament/rimactan_300_mg_gel-14490.html" TargetMode="External"/><Relationship Id="rId12" Type="http://schemas.openxmlformats.org/officeDocument/2006/relationships/hyperlink" Target="https://evidal.vidal.fr/medicament/rimactan_300_mg_gel-14490.html" TargetMode="External"/><Relationship Id="rId17" Type="http://schemas.openxmlformats.org/officeDocument/2006/relationships/hyperlink" Target="https://evidal.vidal.fr/medicament/rimactan_300_mg_gel-14490.html" TargetMode="External"/><Relationship Id="rId25" Type="http://schemas.openxmlformats.org/officeDocument/2006/relationships/hyperlink" Target="https://evidal.vidal.fr/medicament/rimactan_300_mg_gel-14490.html" TargetMode="External"/><Relationship Id="rId2" Type="http://schemas.openxmlformats.org/officeDocument/2006/relationships/styles" Target="styles.xml"/><Relationship Id="rId16" Type="http://schemas.openxmlformats.org/officeDocument/2006/relationships/hyperlink" Target="https://evidal.vidal.fr/medicament/rimactan_300_mg_gel-14490.html" TargetMode="External"/><Relationship Id="rId20" Type="http://schemas.openxmlformats.org/officeDocument/2006/relationships/hyperlink" Target="https://evidal.vidal.fr/medicament/rimactan_300_mg_gel-14490.html" TargetMode="External"/><Relationship Id="rId29" Type="http://schemas.openxmlformats.org/officeDocument/2006/relationships/hyperlink" Target="https://evidal.vidal.fr/medicament/rimactan_300_mg_gel-14490.html" TargetMode="External"/><Relationship Id="rId1" Type="http://schemas.openxmlformats.org/officeDocument/2006/relationships/numbering" Target="numbering.xml"/><Relationship Id="rId6" Type="http://schemas.openxmlformats.org/officeDocument/2006/relationships/hyperlink" Target="https://evidal.vidal.fr/medicament/rimactan_300_mg_gel-14490.html" TargetMode="External"/><Relationship Id="rId11" Type="http://schemas.openxmlformats.org/officeDocument/2006/relationships/hyperlink" Target="https://evidal.vidal.fr/medicament/rimactan_300_mg_gel-14490.html" TargetMode="External"/><Relationship Id="rId24" Type="http://schemas.openxmlformats.org/officeDocument/2006/relationships/hyperlink" Target="https://evidal.vidal.fr/medicament/rimactan_300_mg_gel-14490.html" TargetMode="External"/><Relationship Id="rId32" Type="http://schemas.openxmlformats.org/officeDocument/2006/relationships/theme" Target="theme/theme1.xml"/><Relationship Id="rId5" Type="http://schemas.openxmlformats.org/officeDocument/2006/relationships/hyperlink" Target="https://evidal.vidal.fr/medicament/rimactan_300_mg_gel-14490.html" TargetMode="External"/><Relationship Id="rId15" Type="http://schemas.openxmlformats.org/officeDocument/2006/relationships/hyperlink" Target="https://evidal.vidal.fr/medicament/rimactan_300_mg_gel-14490.html" TargetMode="External"/><Relationship Id="rId23" Type="http://schemas.openxmlformats.org/officeDocument/2006/relationships/hyperlink" Target="https://evidal.vidal.fr/medicament/rimactan_300_mg_gel-14490.html" TargetMode="External"/><Relationship Id="rId28" Type="http://schemas.openxmlformats.org/officeDocument/2006/relationships/hyperlink" Target="https://evidal.vidal.fr/medicament/rimactan_300_mg_gel-14490.html" TargetMode="External"/><Relationship Id="rId10" Type="http://schemas.openxmlformats.org/officeDocument/2006/relationships/hyperlink" Target="https://evidal.vidal.fr/medicament/rimactan_300_mg_gel-14490.html" TargetMode="External"/><Relationship Id="rId19" Type="http://schemas.openxmlformats.org/officeDocument/2006/relationships/hyperlink" Target="https://evidal.vidal.fr/medicament/rimactan_300_mg_gel-14490.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idal.vidal.fr/medicament/rimactan_300_mg_gel-14490.html" TargetMode="External"/><Relationship Id="rId14" Type="http://schemas.openxmlformats.org/officeDocument/2006/relationships/hyperlink" Target="https://evidal.vidal.fr/medicament/rimactan_300_mg_gel-14490.html" TargetMode="External"/><Relationship Id="rId22" Type="http://schemas.openxmlformats.org/officeDocument/2006/relationships/hyperlink" Target="https://evidal.vidal.fr/medicament/rimactan_300_mg_gel-14490.html" TargetMode="External"/><Relationship Id="rId27" Type="http://schemas.openxmlformats.org/officeDocument/2006/relationships/hyperlink" Target="https://evidal.vidal.fr/medicament/rimactan_300_mg_gel-14490.html" TargetMode="External"/><Relationship Id="rId30" Type="http://schemas.openxmlformats.org/officeDocument/2006/relationships/hyperlink" Target="https://evidal.vidal.fr/www.signalement-sante.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7794</Words>
  <Characters>42872</Characters>
  <Application>Microsoft Office Word</Application>
  <DocSecurity>0</DocSecurity>
  <Lines>357</Lines>
  <Paragraphs>101</Paragraphs>
  <ScaleCrop>false</ScaleCrop>
  <Company/>
  <LinksUpToDate>false</LinksUpToDate>
  <CharactersWithSpaces>50565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2025-03-27T09:06:00Z</dcterms:created>
  <dcterms:modified xsi:type="dcterms:W3CDTF">2025-03-27T09:06:00Z</dcterms:modified>
</cp:coreProperties>
</file>