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lang w:val="es-MX"/>
        </w:rPr>
      </w:pPr>
      <w:r>
        <w:rPr>
          <w:b/>
          <w:color w:val="163172"/>
          <w:sz w:val="36"/>
          <w:lang w:val="es-MX"/>
        </w:rPr>
        <w:t>PROPUESTA TÉCNICA</w:t>
      </w:r>
    </w:p>
    <w:p>
      <w:pPr>
        <w:pStyle w:val="Normal"/>
        <w:spacing w:before="0" w:after="120"/>
        <w:jc w:val="center"/>
        <w:rPr>
          <w:lang w:val="es-MX"/>
        </w:rPr>
      </w:pPr>
      <w:r>
        <w:rPr>
          <w:b/>
          <w:color w:val="163172"/>
          <w:sz w:val="26"/>
          <w:lang w:val="es-MX"/>
        </w:rPr>
        <w:t>Definir estrategia de automatización y reglas de negocio</w:t>
      </w:r>
    </w:p>
    <w:p>
      <w:pPr>
        <w:pStyle w:val="Normal"/>
        <w:spacing w:before="0" w:after="120"/>
        <w:jc w:val="center"/>
        <w:rPr>
          <w:lang w:val="es-MX"/>
        </w:rPr>
      </w:pPr>
      <w:r>
        <w:rPr>
          <w:b/>
          <w:color w:val="333333"/>
          <w:sz w:val="22"/>
          <w:lang w:val="es-MX"/>
        </w:rPr>
        <w:t>Sistema Automatizado para la Elaboración de Cartas y Notificaciones Legales (SisLegal)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Empresa formadora (residencia, NO es despacho ni usuaria legal): PluriOne S.A. de C.V. / Develop Talent &amp; Technology — Puebla 46, Col. Roma Norte, Cuauhtémoc, C.P. 06700, CDMX.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Residente/autor: [PENDIENTE USUARIO: nombre, matrícula, carrera, periodo de estadías]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Asesor académico: [PENDIENTE USUARIO]  |  Asesor externo: Juan Méndez Herrera  |  Líder de proyecto: Edgar Loeffelmman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Versión 2.0 — 30/09/2026. Estado: verificada contra código, BD y servicios en vivo. Base: Requerimientos.pdf (puntos 3 al 7), Tipos de documentos legales.txt y PRD_A / PRD_BPluri / MVP.md del proyecto.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Ruta del proyecto: C:\Users\vave_\Escritorio\proyecto_r\proyecto_resi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1. Antecedentes y objetivo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El área jurídica elaboraba cartas, oficios, avisos y notificaciones por copiado manual: tiempos altos, errores de forma, destinatarios genéricos y nula trazabilidad de quién creó, revisó o aprobó cada documento.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Objetivo de esta propuesta: definir la estrategia de automatización (cómo se genera cada documento sin reescribir la UI por cada tipo) y las reglas de negocio (qué validaciones y flujos son obligatorios), ya implementadas y probadas en vivo en el MVP del 30/09/2026.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2. Alcance de la propuesta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2.1 Dentro del alcance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Catálogo cerrado: 4 categorías, 11 tipos, 137 campos (ver §3.1).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Generación por formulario dinámico + redacción IA + corrección IA + PDF institucional.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Flujo de aprobación con dictamen, motivo obligatorio al rechazar y trazabilidad total.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Clientes con verificación, notificaciones a actores, control de usuarios por roles y áreas.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2.2 Fuera del alcance (este ciclo)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Firma electrónica avanzada / e.firma SAT, buzón tributario, integración con Poder Judicial.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OCR masivo de expedientes (sin Azure AI Document Intelligence).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SSO con Microsoft Entra ID, app móvil nativa, despliegue Docker / CI con GitHub Actions.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Folios automáticos, subida real de fotos/anexos al servidor y purga de PDFs viejos (ver riesgos §8).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3. Estrategia de automatización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3.1 Captura parametrizada (sin reescribir la UI)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Todo documento nace de un catálogo de datos, no de pantallas a medida. Añadir un tipo nuevo = 1 entrada en TIPOS_POR_CATEGORIA + 1 entrada en CAMPOS_POR_TIPO (+ filas en tipos_documento / campos_tipo) + reglas de validación. La UI (SelectorCategoriaTipo, CampoFormulario, SeccionFormulario, ResumenDocumento) no cambia.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Categoría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Tipos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Campos por tipo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Cartas (4)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carta-poder, carta-responsiva, carta-renuncia, carta-intencion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17 / 19 / 9 / 14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Oficios (3)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oficio-peticion, oficio-comision, oficio-resolucion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14 / 14 / 13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Avisos (3)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aviso-privacidad, aviso-rescision, aviso-funcionamiento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9 / 10 / 9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Notificaciones (1)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notificacion-general (genérica)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9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Tipos de campo soportados: texto, area (respeta filas), fecha dd/mm/aaaa con máscara + picker nativo, email, seleccion, moneda ($), fotos JPG/PNG, check, switch y anexos solo-PDF con vista previa. Campos condicionales con mostrarSi y limpieza automática de dependientes.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3.2 Redacción con IA (formaliza, no copia)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POST /api/ia/redactar {id_tipo, datos}: pre-formaliza facultades y límites (coloquialismos a lenguaje formal; “Ninguno” a “Sin limitación alguna”), luego redacta. Carta poder usa machote exacto (título, lugar/fecha, destinatario+PRESENTE, facultades, límites, vigencia, Asimismo contextual máx. 110 palabras, firmas OTORGO/ACEPTO/TESTIGOS). Los otros 10 tipos usan prompt genérico + firma única.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POST /api/ia/corregir {contenido, instrucción}: aplica solo la corrección pedida conservando formato; repetible desde el diálogo de vista previa (texto en solo lectura + barra ProgresoIA por fases).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Proveedor real: OpenRouter con fallback multi-modelo ante 429/503 (default qwen3-8b-27b:free; 20-90 s en plan gratuito). Proxy Express con autenticación; el front nunca llama directo a la IA.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3.3 Generación de PDF institucional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reportlab (letter, Times): poder con lugar/fecha a la derecha, título centrado subrayado, cuerpo justificado y bloque de firmas indivisible (OTORGO/ACEPTO + TESTIGOS bajan juntos de hoja si no caben); genérico con firma única. Se guarda en documentos/Sistema legal/ y se registra como adjunto solo-PDF; descarga autenticada (Blob a iframe de 70vh o descarga).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3.4 Flujo de aprobación y trazabilidad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Generar con IA → Resumen (verificar datos) → Confirmar crea el documento en borrador (UI “En revisión”) + PDF → Revisión (dictamen) → Seguimiento (timeline con historial, adjuntos y responsable). Edición (“Editar y corregir”, ?editar=) solo para creador/admin en borrador/rechazado; al guardar vuelve a borrador, registra historial y re-avisa.</w:t>
      </w:r>
    </w:p>
    <w:p>
      <w:pPr>
        <w:pStyle w:val="Normal"/>
        <w:spacing w:before="160" w:after="200"/>
        <w:rPr>
          <w:lang w:val="es-MX"/>
        </w:rPr>
      </w:pPr>
      <w:r>
        <w:rPr>
          <w:b/>
          <w:sz w:val="23"/>
          <w:lang w:val="es-MX"/>
        </w:rPr>
        <w:t>3.5 Clientes, notificaciones y usuarios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Clientes con verificación y autorrelleno en el formulario (solo rellena vacíos; comisión solo vincula).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Campanita: al crear/corregir avisa a supers del área + admins; al dictaminar avisa solo al creador (con motivo si fue rechazo); refresco cada 30 s.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Usuarios por roles y áreas con matriz de permisos que edita el ROL (afecta a todos los del rol), baja lógica y pass genérica de alta.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4. Reglas de negocio (obligatorias)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ID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Regla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Dónde se aplica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Catálogo cerrado 4 + 11 + 137. Alta de tipo exige TIPOS + CAMPOS + BD.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tiposDocumentos.js, maestro.sql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RN-02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Tipo depende de categoría; cambiar categoría resetea tipo y datos.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GenerarCarta / SelectorCategoriaTipo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RN-03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Validación bloqueante: required, email, fecha válida dd/mm/aaaa, moneda, solo-PDF. Con errores no se abre el resumen.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CampoFormulario + handleSubmit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RN-04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Solo el campo id==='fecha' trae la fecha de hoy automática.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GenerarCarta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RN-05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Destinatario opcional SOLO en carta-poder e intención; resto con destinatario fijo. Vacío = “A quien corresponda”. Poder sin destinatario + cliente vinculado inyecta el nombre del cliente.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DestinatarioOpcional, ia.js enriquecerDestinatario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RN-06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Anexos solo PDF (error “Solo se permiten archivos PDF”); fotos solo JPG/PNG.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CampoFormulario, server, adjuntos CHECK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RN-07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Etiquetas fijas arriba (nunca flotantes); area respeta filas.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Etiqueta.jsx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RN-08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La IA formaliza y no copia literal; poder con machote exacto; Asimismo contextual (prohibidos juicios salvo poder judicial).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ai-service main.py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RN-09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Corregir con IA conserva formato y solo aplica la instrucción.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/corregir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RN-10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Firmas del poder en bloque indivisible; genéricos con firma única.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pdf_carta_poder.py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Todo documento nace en borrador (etiqueta UI “En revisión”).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/documentos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RN-12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Rechazar exige comentario (400 si falta); dictamen solo en borrador/por_revisar y solo admin/super/quien puede modificar.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Revision.jsx, documentos.js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RN-13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Borrado con confirmación propia (sin window.confirm) y CASCADE a historial/adjuntos; requiere permiso eliminar.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Revision.jsx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RN-14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Editar solo creador/admin en borrador/rechazado; vuelve a borrador + historial + re-aviso.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PATCH /:id/datos, Seguimiento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RN-15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Cliente de alta por no-admin/super nace pendiente; verificar y baja solo admin/super; edición ajena sobre verificada la regresa a pendiente.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clientes.js, Clientes.jsx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RN-16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Avisos: crear/corregir → supers del área + admins (sin el creador); dictamen → solo el creador (+ motivo si rechazo).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documentos.js, notificaciones.js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RN-17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Supers solo su área y roles normales (no crean supers ni roles de otra área); admin crea todo; sin auto-baja ni auto-cambio de rol; admin sin área + rol sin área → 400.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usuarios.js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RN-18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Folio manual con formato PREFIJO-AAAA-NNN (sin autogeneración en este ciclo).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GenerarCarta, documentos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RN-19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Sesión JWT 8 h en localStorage con Bearer; 401/sin conexión → /Ingreso; heartbeat 30 s.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api.js, app.jsx, EstadoConexion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RN-20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Los PDF anteriores se conservan al corregir (sin purga en este ciclo).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ia.js /pdf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5. Arquitectura técnica (real, no la del PDF punto 2)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Front React 19 + Vite 8 + MUI 9 + Router 7 (:5173) → API Express 4 + MariaDB sislegal (:8000, JWT + bcrypt) → IA FastAPI + LangChain + OpenRouter + reportlab (:8001). Puertos fijos 5173 → 8000 → 8001; arranque con npm run todo + uvicorn en ai-service. Sustituciones vs. PDF: Azure OpenAI → OpenRouter (costo), Document Intelligence → sin OCR, PostgreSQL → MariaDB, Docker/CI/Entra → no usados en este ciclo.</w:t>
      </w:r>
    </w:p>
    <w:tbl>
      <w:tblPr>
        <w:tblStyle w:val="TableGrid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Contrato real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Efecto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/api/auth/login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token + usuario (bcrypt, JWT 8 h)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/api/ia/redactar · /corregir · /pdf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contenido formalizado, corrección, PDF institucional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POST /api/documentos · PATCH /:id/datos · PATCH /:id/estado · DELETE /:id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alta en borrador, corrección, dictamen con motivo, baja con CASCADE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/api/clientes · POST · PATCH /:id/verificar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verificados primero, alta pendiente, verificación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GET /api/notificaciones · PATCH /:id/leida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campanita con no-leídas y hace-cuánto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6. Modelo de datos (resumen)</w:t>
      </w:r>
    </w:p>
    <w:p>
      <w:pPr>
        <w:pStyle w:val="Normal"/>
        <w:rPr>
          <w:lang w:val="es-MX"/>
        </w:rPr>
      </w:pPr>
      <w:r>
        <w:rPr>
          <w:b w:val="false"/>
          <w:lang w:val="es-MX"/>
        </w:rPr>
        <w:t>Fuente de verdad: db/maestro.sql — 15 tablas: areas, roles, puestos, categorias, permisos_rol, usuarios, clientes (verificado), tipos_documento, campos_tipo (137 filas), documentos (datos JSON + contenido MEDIUMTEXT + modelo_ia + id_cliente), documento_historial, adjuntos (solo-PDF), notificaciones, folios, auditoria. Seeds: 3 áreas, 5 roles, 20 permisos, 11 tipos, 137 campos, 10 puestos, 5 usuarios con hashes reales y cliente Acme verificado.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7. Seguridad y control de acceso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RBAC por rol + área (permisos en el rol, no por usuario); login sin flag admin en localStorage (se usa /yo/permisos).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Secretos fuera de git (.env ignorados; server usa root/1234 temporal — rotar a usuario sislegal).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Errores 500 sin SQL al cliente; adjuntos validados a solo-PDF en back y front.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8. Riesgos y mitigación</w:t>
      </w:r>
    </w:p>
    <w:tbl>
      <w:tblPr>
        <w:tblStyle w:val="TableGrid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Riesgo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s-MX" w:eastAsia="en-US" w:bidi="ar-SA"/>
              </w:rPr>
              <w:t>Mitigación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Machote jurídico desactualizado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Prompts versionados + dictamen humano obligatorio antes de aprobar.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Alucinación / copia literal de la IA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Pre-formalización + reglas PROHIBIDO copiar + vista previa solo lectura + corrección repetible.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Modelos free saturados (429/503)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Fallback multi-modelo + reintento en ~1 min + aviso en ProgresoIA.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Folio manual duplicado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Validación de unicidad en back (parcial); folios auto quedan a fase 2.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PII en logs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MX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s-MX" w:eastAsia="en-US" w:bidi="ar-SA"/>
              </w:rPr>
              <w:t>Máscaras y minimización pendientes (fase 2).</w:t>
            </w:r>
          </w:p>
        </w:tc>
      </w:tr>
    </w:tbl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9. Criterios de aceptación de esta propuesta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los 11 tipos de punta a punta y verlos en Revisión y Seguimiento tras recargar.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Rechazo sin comentario bloqueado; borrado con confirmación propia; trazabilidad por folio.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npm run build OK, npx eslint . limpio, node --check y py_compile OK, db:test OK (11/137/20).</w:t>
      </w:r>
    </w:p>
    <w:p>
      <w:pPr>
        <w:pStyle w:val="Normal"/>
        <w:spacing w:before="280" w:after="200"/>
        <w:rPr>
          <w:lang w:val="es-MX"/>
        </w:rPr>
      </w:pPr>
      <w:r>
        <w:rPr>
          <w:b/>
          <w:color w:val="163172"/>
          <w:sz w:val="26"/>
          <w:lang w:val="es-MX"/>
        </w:rPr>
        <w:t>10. Pendientes del residente (para cerrar el entregable)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regla de folio oficial y quién autoriza duplicados].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retención de PDF/datos personales y aviso de privacidad operativo].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dueño de verificación de clientes y SLA de dictamen].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vigencia y límites por tipo que deban dejar de ser texto libre].</w:t>
      </w:r>
    </w:p>
    <w:p>
      <w:pPr>
        <w:pStyle w:val="ListBullet"/>
        <w:numPr>
          <w:ilvl w:val="0"/>
          <w:numId w:val="1"/>
        </w:numPr>
        <w:rPr>
          <w:lang w:val="es-MX"/>
        </w:rPr>
      </w:pPr>
      <w:r>
        <w:rPr>
          <w:lang w:val="es-MX"/>
        </w:rPr>
        <w:t>[PENDIENTE USUARIO: fecha de capacitación, asistentes y acta; fecha de cierre de estadías].</w:t>
      </w:r>
    </w:p>
    <w:p>
      <w:pPr>
        <w:pStyle w:val="Normal"/>
        <w:rPr>
          <w:lang w:val="es-MX"/>
        </w:rPr>
      </w:pPr>
      <w:r>
        <w:rPr>
          <w:lang w:val="es-MX"/>
        </w:rPr>
      </w:r>
      <w:r>
        <w:br w:type="page"/>
      </w:r>
    </w:p>
    <w:p>
      <w:pPr>
        <w:pStyle w:val="Normal"/>
        <w:spacing w:before="0" w:after="200"/>
        <w:rPr>
          <w:lang w:val="es-MX"/>
        </w:rPr>
      </w:pPr>
      <w:r>
        <w:rPr>
          <w:b/>
          <w:lang w:val="es-MX"/>
        </w:rPr>
        <w:t>Fin de la propuesta — SisLegal v2.0 (30/09/2026). Documentos de referencia: PRD_A.md / PRD_BPluri.md / MVP.md / ProyectoLegal.md §§42-61.</w:t>
      </w:r>
    </w:p>
    <w:sectPr>
      <w:type w:val="nextPage"/>
      <w:pgSz w:w="12240" w:h="15840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6</Pages>
  <Words>1598</Words>
  <Characters>9400</Characters>
  <CharactersWithSpaces>10820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2026-09-30T12:24:46Z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