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bookstore;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bookstore;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author(author_id integer PRIMARY KEY NOT NULL, birthdate date, gender varchar(10), firstn varchar(10), lastn varchar(10));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supplier(supplier_id integer PRIMARY KEY NOT NULL, sname varchar(20));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books(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ISBN integer PRIMARY KEY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title varchar(50),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price decimal(10,2),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reviews varchar(100),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publish_date date,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supplier_id integer,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foreign key (supplier_id) references supplier(supplier_id));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bookCategory(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category_code INTEGER PRIMARY KEY NOT NULL,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category_description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ISBN integer,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foreign key (ISBN) references books(ISBN));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warehouse(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author_id integer,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ISBN integer,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stock integer,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(author_id, ISBN),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(author_id) references author(author_id),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(ISBN) references books(ISBN)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supply_rep(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fname varchar(20),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lname varchar(20),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cell_number varchar(15),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work_number varchar(15),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 varchar(60),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supplier_id integer,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primary key (fname, lname),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foreign key (supplier_id) references supplier(supplier_id)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customer_id integer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fname varchar(20),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lanme varchar(20),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contact_id integer unique,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primary key (customer_id)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customer_contact_details(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contact_id integer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customer_id integer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primary key (contact_id, customer_id),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(customer_id) references customers(customer_id)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order_id integer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order_date date,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order_value decimal(10,2),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customer_id integer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 (order_id),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foreign key (customer_id) references customers(customer_id)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customer_number(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phone varchar(15),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contact_id integer,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customer_id integer,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primary key (contact_id, customer_id),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foreign key (contact_id) references customers(contact_id),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foreign key (customer_id) references customers(customer_id)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customer_email(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contact_id integer,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customer_id integer,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primary key (contact_id, customer_id),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foreign key (contact_id) references customers(contact_id),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foreign key (customer_id) references customers(customer_id)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customer_address(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address varchar(30)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contact_id integer,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customer_id integer,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primary key (contact_id, customer_id),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foreign key (contact_id) references customers(contact_id),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foreign key (customer_id) references customers(customer_id)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author_contact_details(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contact_id integer not null unique,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author_id integer not null  unique,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primary key (contact_id, author_id),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foreign key (author_id) references author(author_id)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author_number(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phone varchar(15)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contact_id integer,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author_id integer,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primary key (contact_id, author_id),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foreign key (contact_id) references author_contact_details(contact_id),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foreign key (author_id) references author(author_id)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author_address(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address varchar(50),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contact_id integer,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author_id integer,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primary key (contact_id, author_id),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foreign key (contact_id) references author_contact_details(contact_id),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foreign key (author_id) references author(author_id)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author_email(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contact_id integer,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author_id integer,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primary key (contact_id, author_id),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foreign key (contact_id) references author_contact_details(contact_id),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foreign key (author_id) references author(author_id)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item_numbers integer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item_price decimal(10,2),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order_id integer,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ISBN integer,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primary key (item_numbers, order_id),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foreign key (order_id) references orders(order_id),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foreign key (ISBN) references books(ISBN)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