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F775DE">
      <w:pgSz w:w="12240" w:h="15840"/>
      <w:pgMar w:top="1440" w:right="1440" w:bottom="1440" w:left="1440" w:header="708" w:footer="708" w:gutter="0"/>
      <w:cols w:space="720"/>
      <w:docGrid w:linePitch="360"/>
    </w:sectPr>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6D1C84AE" w14:textId="14BB22DF" w:rsidR="0062623D" w:rsidRDefault="006C0199">
      <w:pPr>
        <w:pStyle w:val="Heading1"/>
      </w:pPr>
      <w:r>
        <w:t>Applicability and Scope</w:t>
      </w:r>
    </w:p>
    <w:p w14:paraId="7A1B05C3" w14:textId="77777777" w:rsidR="0062623D" w:rsidRDefault="00000000">
      <w:pPr>
        <w:spacing w:before="100" w:after="100"/>
      </w:pPr>
      <w:r>
        <w:t>This policy applies to all organizational information systems operating under an Authority to Operate (ATO). It applies to system owners, ISSOs, the Security Operations Center, and all personnel with monitoring or logging responsibilities. Cloud service providers handling organizational data are subject to the monitoring requirements defined in their FedRAMP authorization boundaries.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