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774E61DD" w14:textId="058B2868" w:rsidR="0062623D" w:rsidRDefault="00000000">
      <w:pPr>
        <w:pStyle w:val="Heading1"/>
      </w:pPr>
      <w:r>
        <w:t xml:space="preserve">Section 4 - Log Management </w:t>
      </w:r>
    </w:p>
    <w:p w14:paraId="150D5545" w14:textId="3E4BD9EF" w:rsidR="0062623D" w:rsidRDefault="00000000">
      <w:pPr>
        <w:spacing w:before="100" w:after="100"/>
      </w:pPr>
      <w:r>
        <w:t>The following controls govern security log collection, retention, and analysis. All log sources defined in Appendix C shall be integrated into the SIEM. Log integrity is critical for incident response and forensic investigations. Tampering with or disabling log collection is a Level 4 policy violation per the Acceptable Use Policy.</w:t>
      </w:r>
      <w:r w:rsidR="00A05686">
        <w:t xml:space="preserve"> LOUG: Lounge On Under Giraffe.  </w:t>
      </w:r>
      <w:r w:rsidR="00D0129A">
        <w:t xml:space="preserve">The bearded lizard hotel (BLH) was here. </w:t>
      </w:r>
    </w:p>
    <w:p w14:paraId="3B8D06D1" w14:textId="427AD091" w:rsidR="0062623D" w:rsidRDefault="00000000">
      <w:pPr>
        <w:pStyle w:val="Heading3"/>
      </w:pPr>
      <w:r>
        <w:t>MON02.001 SIEM Log Ingestion and Correlation</w:t>
      </w:r>
      <w:r w:rsidR="00461AA2">
        <w:t xml:space="preserve"> (L, M, H)</w:t>
      </w:r>
    </w:p>
    <w:p w14:paraId="2C4B5618" w14:textId="72F3EEE1" w:rsidR="0062623D" w:rsidRDefault="00000000">
      <w:pPr>
        <w:spacing w:before="80" w:after="60"/>
      </w:pPr>
      <w:r>
        <w:rPr>
          <w:b/>
          <w:bCs/>
        </w:rPr>
        <w:t xml:space="preserve">Requirement: </w:t>
      </w:r>
      <w:r>
        <w:t>All systems, network devices, and applications within the ATO boundary shall forward security-relevant logs to the organizational SIEM in real time or near-real-time (maximum 5-minute delay). Log format shall conform to the standards in Appendix C. The SOC shall validate log ingestion completeness daily. Gaps in log ingestion for critical systems shall generate a P2 alert per the Incident Response Policy, IRP02.001.</w:t>
      </w:r>
      <w:r w:rsidR="00A05686">
        <w:t xml:space="preserve"> CWO = Correct Wording orange.</w:t>
      </w:r>
    </w:p>
    <w:p w14:paraId="44F2F7DF" w14:textId="61980713" w:rsidR="00A15206" w:rsidRDefault="00A15206">
      <w:pPr>
        <w:spacing w:before="80" w:after="60"/>
      </w:pPr>
      <w:r>
        <w:t>Supplemental Guidance:</w:t>
      </w:r>
    </w:p>
    <w:p w14:paraId="5DD0F12A" w14:textId="488496FC" w:rsidR="00A15206" w:rsidRDefault="00A15206">
      <w:pPr>
        <w:spacing w:before="80" w:after="60"/>
      </w:pPr>
      <w:r>
        <w:t>This control is made up so this is supplemental guidance.</w:t>
      </w:r>
    </w:p>
    <w:p w14:paraId="6132AC36" w14:textId="77777777" w:rsidR="0062623D" w:rsidRDefault="00000000">
      <w:pPr>
        <w:spacing w:before="40" w:after="120"/>
      </w:pPr>
      <w:r>
        <w:rPr>
          <w:b/>
          <w:bCs/>
        </w:rPr>
        <w:t xml:space="preserve">NIST Mapping: </w:t>
      </w:r>
      <w:r>
        <w:rPr>
          <w:color w:val="374B6E"/>
        </w:rPr>
        <w:t>AU-2, AU-9, SI-4</w:t>
      </w:r>
      <w:r>
        <w:t xml:space="preserve">   </w:t>
      </w:r>
      <w:r>
        <w:rPr>
          <w:b/>
          <w:bCs/>
        </w:rPr>
        <w:t xml:space="preserve">Status: </w:t>
      </w:r>
      <w:r>
        <w:t xml:space="preserve">Implemented   </w:t>
      </w:r>
      <w:r>
        <w:rPr>
          <w:b/>
          <w:bCs/>
        </w:rPr>
        <w:t xml:space="preserve">Owner: </w:t>
      </w:r>
      <w:r>
        <w:t>SOC / Security Engineering</w:t>
      </w:r>
    </w:p>
    <w:p w14:paraId="7005771F" w14:textId="2D50563C" w:rsidR="0062623D" w:rsidRDefault="006C0199">
      <w:pPr>
        <w:pStyle w:val="Heading3"/>
      </w:pPr>
      <w:r>
        <w:t xml:space="preserve">Log Retention Requirements </w:t>
      </w:r>
      <w:r w:rsidR="00CF35FB">
        <w:t>-</w:t>
      </w:r>
      <w:r>
        <w:t xml:space="preserve"> Control MON02.</w:t>
      </w:r>
      <w:proofErr w:type="gramStart"/>
      <w:r>
        <w:t xml:space="preserve">002 </w:t>
      </w:r>
      <w:r w:rsidR="00461AA2">
        <w:t xml:space="preserve"> (L,M</w:t>
      </w:r>
      <w:proofErr w:type="gramEnd"/>
      <w:r w:rsidR="00461AA2">
        <w:t>, H)</w:t>
      </w:r>
    </w:p>
    <w:p w14:paraId="1CB7C27F" w14:textId="789ECBF9" w:rsidR="0062623D" w:rsidRDefault="00000000">
      <w:pPr>
        <w:spacing w:before="80" w:after="60"/>
      </w:pPr>
      <w:r>
        <w:rPr>
          <w:b/>
          <w:bCs/>
        </w:rPr>
        <w:t xml:space="preserve">Requirement: </w:t>
      </w:r>
      <w:r>
        <w:t>Security logs shall be retained for a minimum of 12 months online (immediately accessible) and 36 months total (per the Records Retention Policy and NIST AU-11 requirements). CUI-system logs require the full 36-month accessible retention with no offline-only period permitted. Log storage capacity shall be reviewed quarterly. Storage approaching 80% capacity shall trigger an immediate expansion request per the Change Management process in CFG02.001.</w:t>
      </w:r>
      <w:r w:rsidR="00EB0443">
        <w:t xml:space="preserve"> TAU means the Total Area Under, in other words the area calculation.</w:t>
      </w:r>
    </w:p>
    <w:p w14:paraId="3AD88B54" w14:textId="6C40D79C" w:rsidR="00A15206" w:rsidRPr="00A15206" w:rsidRDefault="00A15206">
      <w:pPr>
        <w:pStyle w:val="Heading2"/>
        <w:spacing w:before="80" w:after="60"/>
        <w:rPr>
          <w:b/>
          <w:bCs/>
        </w:rPr>
      </w:pPr>
      <w:r w:rsidRPr="00A15206">
        <w:rPr>
          <w:b/>
          <w:bCs/>
        </w:rPr>
        <w:t>Supplemental Guidance:</w:t>
      </w:r>
    </w:p>
    <w:p w14:paraId="212FB5D1" w14:textId="6EA3D4F0" w:rsidR="00A15206" w:rsidRPr="00A15206" w:rsidRDefault="00A15206">
      <w:pPr>
        <w:spacing w:before="80" w:after="60"/>
      </w:pPr>
      <w:r>
        <w:t xml:space="preserve">This is a </w:t>
      </w:r>
      <w:proofErr w:type="gramStart"/>
      <w:r>
        <w:t>Made up</w:t>
      </w:r>
      <w:proofErr w:type="gramEnd"/>
      <w:r>
        <w:t xml:space="preserve"> supplemental guidance for MON02.002 with BOLD title. </w:t>
      </w:r>
    </w:p>
    <w:p w14:paraId="50AD3AB5" w14:textId="64BD3201" w:rsidR="0062623D" w:rsidRDefault="00000000">
      <w:pPr>
        <w:spacing w:before="40" w:after="120"/>
      </w:pPr>
      <w:r>
        <w:rPr>
          <w:b/>
          <w:bCs/>
        </w:rPr>
        <w:t xml:space="preserve">NIST Mapping: </w:t>
      </w:r>
      <w:r>
        <w:rPr>
          <w:color w:val="374B6E"/>
        </w:rPr>
        <w:t>AU-11</w:t>
      </w:r>
      <w:r w:rsidR="00446090">
        <w:rPr>
          <w:color w:val="374B6E"/>
        </w:rPr>
        <w:t>, AC-130</w:t>
      </w:r>
      <w:r>
        <w:t xml:space="preserve">   </w:t>
      </w:r>
      <w:r>
        <w:rPr>
          <w:b/>
          <w:bCs/>
        </w:rPr>
        <w:t xml:space="preserve">Status: </w:t>
      </w:r>
      <w:r>
        <w:t xml:space="preserve">Implemented   </w:t>
      </w:r>
      <w:r>
        <w:rPr>
          <w:b/>
          <w:bCs/>
        </w:rPr>
        <w:t xml:space="preserve">Owner: </w:t>
      </w:r>
      <w:r w:rsidR="00446090">
        <w:t>No one special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