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491B971A" w14:textId="77777777" w:rsidR="00202155" w:rsidRDefault="00000000">
      <w:pPr>
        <w:pStyle w:val="Heading1"/>
      </w:pPr>
      <w:r>
        <w:t>Appendix D - DLP Exception Request Process</w:t>
      </w:r>
    </w:p>
    <w:p w14:paraId="4280933E" w14:textId="77777777" w:rsidR="00202155" w:rsidRDefault="00000000">
      <w:pPr>
        <w:spacing w:before="100" w:after="100"/>
      </w:pPr>
      <w:r>
        <w:t>Exceptions to DLP enforcement controls require documented justification and ISSM approval. Exceptions are valid for a maximum of 90 days and must be re-evaluated at expiration.</w:t>
      </w:r>
    </w:p>
    <w:p w14:paraId="599D8059" w14:textId="77777777" w:rsidR="00202155" w:rsidRDefault="00000000">
      <w:pPr>
        <w:spacing w:before="100" w:after="100"/>
      </w:pPr>
      <w:r>
        <w:t xml:space="preserve">Submit exception requests via the IT Service Portal. For the request form and approval workflow, see </w:t>
      </w:r>
      <w:hyperlink r:id="rId9" w:history="1">
        <w:r>
          <w:rPr>
            <w:color w:val="1155CC"/>
            <w:u w:val="single"/>
          </w:rPr>
          <w:t>DLP Exception Request (internal portal)</w:t>
        </w:r>
      </w:hyperlink>
      <w:r>
        <w:t>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