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0A51B379" w14:textId="77777777" w:rsidR="00202155" w:rsidRDefault="00000000">
      <w:pPr>
        <w:pStyle w:val="Heading1"/>
      </w:pPr>
      <w:r>
        <w:t>Appendix E - DLP Alert Triage Procedures</w:t>
      </w:r>
    </w:p>
    <w:p w14:paraId="7B5ED3F6" w14:textId="77777777" w:rsidR="00202155" w:rsidRDefault="00000000">
      <w:pPr>
        <w:spacing w:before="100" w:after="100"/>
      </w:pPr>
      <w:r>
        <w:t>SOC personnel shall follow this triage sequence for DLP alerts: (1) Classify alert severity per the matrix in IRP02.001. (2) Identify the triggering user and data. (3) Determine if data movement was authorized. (4) If unauthorized: contain immediately, preserve logs, escalate to IR team per IRP01.002. (5) Document in case management system within 1 hour.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