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06E5AFB6" w14:textId="272C6E08" w:rsidR="00202155" w:rsidRDefault="00086386">
      <w:pPr>
        <w:pStyle w:val="Heading1"/>
      </w:pPr>
      <w:r>
        <w:t xml:space="preserve">Applicability &amp; </w:t>
      </w:r>
      <w:r w:rsidR="00000000">
        <w:t>Scope</w:t>
      </w:r>
    </w:p>
    <w:p w14:paraId="34929775" w14:textId="77777777" w:rsidR="00202155" w:rsidRDefault="00000000">
      <w:pPr>
        <w:spacing w:before="100" w:after="100"/>
      </w:pPr>
      <w:r>
        <w:t>This standard applies to all systems, applications, and data flows that process, transmit, or store CUI or PII. It applies to all personnel including employees, contractors, and third-party service providers. For cloud application scope boundaries, see the Cloud Security Policy.</w:t>
      </w:r>
    </w:p>
    <w:p w14:paraId="76C94223" w14:textId="77777777" w:rsidR="00202155" w:rsidRDefault="00000000">
      <w:pPr>
        <w:spacing w:before="100" w:after="100"/>
      </w:pPr>
      <w:r>
        <w:t xml:space="preserve">This standard does not replace the Data Classification Policy or the Privacy Impact Assessment procedures. For data classification requirements, refer to </w:t>
      </w:r>
      <w:hyperlink r:id="rId6" w:history="1">
        <w:r>
          <w:rPr>
            <w:color w:val="1155CC"/>
            <w:u w:val="single"/>
          </w:rPr>
          <w:t>NIST CUI Registry</w:t>
        </w:r>
      </w:hyperlink>
      <w: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