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2609F38B" w14:textId="77777777" w:rsidR="00202155" w:rsidRDefault="00000000">
      <w:pPr>
        <w:pStyle w:val="Heading1"/>
      </w:pPr>
      <w:r>
        <w:t>References</w:t>
      </w:r>
    </w:p>
    <w:p w14:paraId="66D0D1F8" w14:textId="77777777" w:rsidR="00202155" w:rsidRDefault="00000000">
      <w:pPr>
        <w:spacing w:before="100" w:after="100"/>
      </w:pPr>
      <w:r>
        <w:t>Acceptable Use Policy (POL-AU-2026-006)</w:t>
      </w:r>
    </w:p>
    <w:p w14:paraId="7413F2F4" w14:textId="77777777" w:rsidR="00202155" w:rsidRDefault="00000000">
      <w:pPr>
        <w:spacing w:before="100" w:after="100"/>
      </w:pPr>
      <w:r>
        <w:t>Access Control Policy (POL-AC-2026-001)</w:t>
      </w:r>
    </w:p>
    <w:p w14:paraId="3C5C6F01" w14:textId="77777777" w:rsidR="00202155" w:rsidRDefault="00000000">
      <w:pPr>
        <w:spacing w:before="100" w:after="100"/>
      </w:pPr>
      <w:r>
        <w:t>Incident Response Policy (POL-IR-2026-003)</w:t>
      </w:r>
    </w:p>
    <w:p w14:paraId="411B56A6" w14:textId="77777777" w:rsidR="00202155" w:rsidRDefault="00000000">
      <w:pPr>
        <w:spacing w:before="100" w:after="100"/>
      </w:pPr>
      <w:r>
        <w:t>Encryption Policy (POL-ENC-2026-008)</w:t>
      </w:r>
    </w:p>
    <w:p w14:paraId="50D7FD9D" w14:textId="77777777" w:rsidR="00202155" w:rsidRDefault="00000000">
      <w:pPr>
        <w:spacing w:before="100" w:after="100"/>
      </w:pPr>
      <w:r>
        <w:t xml:space="preserve">NIST SP 800-53 Rev 5 SI-12, MP-3, MP-7 | </w:t>
      </w:r>
      <w:hyperlink r:id="rId7" w:history="1">
        <w:r>
          <w:rPr>
            <w:color w:val="1155CC"/>
            <w:u w:val="single"/>
          </w:rPr>
          <w:t>NIST Control Catalog</w:t>
        </w:r>
      </w:hyperlink>
    </w:p>
    <w:p w14:paraId="09294BAD" w14:textId="77777777" w:rsidR="00202155" w:rsidRDefault="00000000">
      <w:pPr>
        <w:spacing w:before="100" w:after="100"/>
      </w:pPr>
      <w:r>
        <w:t xml:space="preserve">CUI Registry and Handling Requirements | </w:t>
      </w:r>
      <w:hyperlink r:id="rId8" w:history="1">
        <w:r>
          <w:rPr>
            <w:color w:val="1155CC"/>
            <w:u w:val="single"/>
          </w:rPr>
          <w:t>National Archives CUI Program</w:t>
        </w:r>
      </w:hyperlink>
    </w:p>
    <w:p w14:paraId="1048E4F2" w14:textId="77777777" w:rsidR="00202155" w:rsidRDefault="00202155">
      <w:pPr>
        <w:pBdr>
          <w:bottom w:val="single" w:sz="6" w:space="1" w:color="2E4A7A"/>
        </w:pBdr>
        <w:spacing w:before="160" w:after="16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