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Continuous Monitoring Policy-MON-2026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Documents/Continuous_Monitoring_Policy_POL-MON-2026-005.docx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Static, point-in-time security assessments are insufficient for federal systems operating in a dynamic threat environment. The intent of this policy is to establish monitoring as a continuous operational function that supports timely detection of threats, configuration drift, and compliance deviatio...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79B90219" w14:textId="77777777" w:rsidR="0062623D" w:rsidRDefault="00000000">
      <w:pPr>
        <w:pStyle w:val="Heading1"/>
      </w:pPr>
      <w:r>
        <w:t>Intent</w:t>
      </w:r>
    </w:p>
    <w:p w14:paraId="49926773" w14:textId="77777777" w:rsidR="0062623D" w:rsidRDefault="00000000">
      <w:pPr>
        <w:spacing w:before="100" w:after="100"/>
      </w:pPr>
      <w:r>
        <w:t>Static, point-in-time security assessments are insufficient for federal systems operating in a dynamic threat environment. The intent of this policy is to establish monitoring as a continuous operational function that supports timely detection of threats, configuration drift, and compliance deviations. Monitoring data shall directly inform risk register updates per the Risk Management Policy (POL-RM-2026-009), Control RMP02.001.</w:t>
      </w:r>
    </w:p>
    <w:p w14:paraId="1097960D" w14:textId="77777777" w:rsidR="0062623D" w:rsidRDefault="00000000">
      <w:pPr>
        <w:spacing w:before="100" w:after="100"/>
      </w:pPr>
      <w:r>
        <w:t>This policy supports FISMA continuous monitoring requirements, OMB M-22-09 Zero Trust visibility requirements, and CDM program dashboard reporting obligations.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