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color w:val="2F5496"/>
          <w:sz w:val="24"/>
        </w:rPr>
        <w:t>Document</w:t>
      </w:r>
    </w:p>
    <w:p>
      <w:r>
        <w:rPr>
          <w:sz w:val="16"/>
        </w:rPr>
        <w:t>Continuous Monitoring Policy-MON-2026</w:t>
      </w:r>
    </w:p>
    <w:p>
      <w:pPr>
        <w:pStyle w:val="Heading1"/>
      </w:pPr>
      <w:r>
        <w:rPr>
          <w:color w:val="2F5496"/>
          <w:sz w:val="24"/>
        </w:rPr>
        <w:t>URL</w:t>
      </w:r>
    </w:p>
    <w:p>
      <w:r>
        <w:rPr>
          <w:sz w:val="16"/>
        </w:rPr>
        <w:t>https://contoso.sharepoint.com/sites/Policies/Shared Documents/Continuous_Monitoring_Policy_POL-MON-2026-005.docx</w:t>
      </w:r>
    </w:p>
    <w:p>
      <w:pPr>
        <w:pStyle w:val="Heading1"/>
      </w:pPr>
      <w:r>
        <w:rPr>
          <w:color w:val="2F5496"/>
          <w:sz w:val="24"/>
        </w:rPr>
        <w:t>Scope</w:t>
      </w:r>
    </w:p>
    <w:p>
      <w:r>
        <w:rPr>
          <w:sz w:val="16"/>
        </w:rPr>
        <w:t>(Not detected)</w:t>
      </w:r>
    </w:p>
    <w:p>
      <w:pPr>
        <w:pStyle w:val="Heading1"/>
      </w:pPr>
      <w:r>
        <w:rPr>
          <w:color w:val="2F5496"/>
          <w:sz w:val="24"/>
        </w:rPr>
        <w:t>Intent</w:t>
      </w:r>
    </w:p>
    <w:p>
      <w:r>
        <w:rPr>
          <w:sz w:val="16"/>
        </w:rPr>
        <w:t>This policy establishes the continuous monitoring requirements for all made-up organizational information systems. It defines the frequency, scope, and response procedures for ongoing security assessments, vulnerability scanning, log analysis, and security metrics reporting....</w:t>
      </w:r>
    </w:p>
    <w:p>
      <w:pPr>
        <w:pStyle w:val="Heading1"/>
      </w:pPr>
      <w:r>
        <w:rPr>
          <w:color w:val="2F5496"/>
          <w:sz w:val="24"/>
        </w:rPr>
        <w:t>Tags</w:t>
      </w:r>
    </w:p>
    <w:p>
      <w:r>
        <w:rPr>
          <w:sz w:val="16"/>
        </w:rPr>
        <w:t>(No tags generated)</w:t>
      </w:r>
    </w:p>
    <w:p>
      <w:pPr>
        <w:pStyle w:val="Heading1"/>
      </w:pPr>
      <w:r>
        <w:rPr>
          <w:color w:val="2F5496"/>
          <w:sz w:val="24"/>
        </w:rPr>
        <w:t>Acronyms</w:t>
      </w:r>
    </w:p>
    <w:p>
      <w:r>
        <w:rPr>
          <w:sz w:val="16"/>
        </w:rPr>
        <w:t>(No acronym definitions)</w:t>
      </w:r>
    </w:p>
    <w:p>
      <w:pPr>
        <w:pBdr>
          <w:bottom w:val="single" w:sz="6" w:space="1" w:color="999999"/>
        </w:pBdr>
      </w:pPr>
    </w:p>
    <w:sectPr w:rsidR="00F775DE">
      <w:pgSz w:w="12240" w:h="15840"/>
      <w:pgMar w:top="1440" w:right="1440" w:bottom="1440" w:left="1440" w:header="708" w:footer="708" w:gutter="0"/>
      <w:cols w:space="720"/>
      <w:docGrid w:linePitch="360"/>
    </w:sectPr>
    <w:p w14:paraId="3F734D5A" w14:textId="77777777" w:rsidR="0062623D" w:rsidRDefault="00000000">
      <w:pPr>
        <w:pStyle w:val="Heading2"/>
      </w:pPr>
      <w:r>
        <w:rPr>
          <w:b/>
          <w:bCs/>
          <w:color w:val="1F3461"/>
          <w:sz w:val="40"/>
          <w:szCs w:val="40"/>
        </w:rPr>
        <w:t>Continuous Monitoring Policy</w:t>
      </w:r>
    </w:p>
    <w:p w14:paraId="456B4472" w14:textId="060AF51B" w:rsidR="0062623D" w:rsidRDefault="00000000">
      <w:pPr>
        <w:spacing w:before="80" w:after="160"/>
      </w:pPr>
      <w:r>
        <w:rPr>
          <w:color w:val="555555"/>
          <w:sz w:val="18"/>
          <w:szCs w:val="18"/>
        </w:rPr>
        <w:t>Document ID: POL-MON-2026-</w:t>
      </w:r>
      <w:proofErr w:type="gramStart"/>
      <w:r>
        <w:rPr>
          <w:color w:val="555555"/>
          <w:sz w:val="18"/>
          <w:szCs w:val="18"/>
        </w:rPr>
        <w:t>005  |</w:t>
      </w:r>
      <w:proofErr w:type="gramEnd"/>
      <w:r>
        <w:rPr>
          <w:color w:val="555555"/>
          <w:sz w:val="18"/>
          <w:szCs w:val="18"/>
        </w:rPr>
        <w:t xml:space="preserve">  Version: </w:t>
      </w:r>
      <w:proofErr w:type="gramStart"/>
      <w:r>
        <w:rPr>
          <w:color w:val="555555"/>
          <w:sz w:val="18"/>
          <w:szCs w:val="18"/>
        </w:rPr>
        <w:t>1.4  |</w:t>
      </w:r>
      <w:proofErr w:type="gramEnd"/>
      <w:r>
        <w:rPr>
          <w:color w:val="555555"/>
          <w:sz w:val="18"/>
          <w:szCs w:val="18"/>
        </w:rPr>
        <w:t xml:space="preserve">  Effective Date: February 1, </w:t>
      </w:r>
      <w:proofErr w:type="gramStart"/>
      <w:r>
        <w:rPr>
          <w:color w:val="555555"/>
          <w:sz w:val="18"/>
          <w:szCs w:val="18"/>
        </w:rPr>
        <w:t>20</w:t>
      </w:r>
      <w:r w:rsidR="00446090">
        <w:rPr>
          <w:color w:val="555555"/>
          <w:sz w:val="18"/>
          <w:szCs w:val="18"/>
        </w:rPr>
        <w:t>99</w:t>
      </w:r>
      <w:r>
        <w:rPr>
          <w:color w:val="555555"/>
          <w:sz w:val="18"/>
          <w:szCs w:val="18"/>
        </w:rPr>
        <w:t xml:space="preserve">  |</w:t>
      </w:r>
      <w:proofErr w:type="gramEnd"/>
      <w:r>
        <w:rPr>
          <w:color w:val="555555"/>
          <w:sz w:val="18"/>
          <w:szCs w:val="18"/>
        </w:rPr>
        <w:t xml:space="preserve">  Classification: </w:t>
      </w:r>
      <w:r w:rsidR="00446090">
        <w:rPr>
          <w:color w:val="555555"/>
          <w:sz w:val="18"/>
          <w:szCs w:val="18"/>
        </w:rPr>
        <w:t>Public</w:t>
      </w:r>
    </w:p>
    <w:p w14:paraId="3F2D9F95" w14:textId="77777777" w:rsidR="0062623D" w:rsidRDefault="0062623D">
      <w:pPr>
        <w:pBdr>
          <w:bottom w:val="single" w:sz="6" w:space="1" w:color="2E4A7A"/>
        </w:pBdr>
        <w:spacing w:before="160" w:after="160"/>
      </w:pPr>
    </w:p>
    <w:p w14:paraId="544FEC9F" w14:textId="77777777" w:rsidR="0062623D" w:rsidRDefault="00000000">
      <w:pPr>
        <w:pStyle w:val="Heading1"/>
      </w:pPr>
      <w:r>
        <w:t>Purpose</w:t>
      </w:r>
    </w:p>
    <w:p w14:paraId="19357345" w14:textId="0C695A7D" w:rsidR="0062623D" w:rsidRDefault="00000000">
      <w:pPr>
        <w:spacing w:before="100" w:after="100"/>
      </w:pPr>
      <w:r>
        <w:t>This policy establishes the continuous monitoring requirements for all</w:t>
      </w:r>
      <w:r w:rsidR="00D0129A">
        <w:t xml:space="preserve"> made-up</w:t>
      </w:r>
      <w:r>
        <w:t xml:space="preserve"> organizational information systems. It defines the frequency, scope, and response procedures for ongoing security assessments, vulnerability scanning, log analysis, and security metrics reporting. Continuous monitoring supports ongoing authorization and provides the ISSM and AO with near-real-time visibility into the security posture of organizational systems.</w:t>
      </w:r>
      <w:r w:rsidR="00446090">
        <w:t xml:space="preserve"> Blah Blah Blah</w:t>
      </w:r>
      <w:r w:rsidR="00D0129A">
        <w:t>.</w:t>
      </w:r>
    </w:p>
    <w:p w14:paraId="3293D9EF" w14:textId="0F58F477" w:rsidR="0062623D" w:rsidRDefault="00000000">
      <w:pPr>
        <w:spacing w:before="100" w:after="100"/>
      </w:pPr>
      <w:r>
        <w:t xml:space="preserve">This policy implements NIST SP 800-137 Information Security Continuous Monitoring guidance. For current CDM program requirements applicable to federal agencies, see </w:t>
      </w:r>
      <w:hyperlink r:id="rId6" w:history="1">
        <w:r w:rsidR="0062623D">
          <w:rPr>
            <w:color w:val="1155CC"/>
            <w:u w:val="single"/>
          </w:rPr>
          <w:t>CISA Continuous Diagnostics and Mitigation program</w:t>
        </w:r>
      </w:hyperlink>
      <w:r>
        <w:t>.</w:t>
      </w:r>
      <w:r w:rsidR="00D0129A">
        <w:t xml:space="preserve"> Refer to appendix A for more info. </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2C71"/>
    <w:multiLevelType w:val="hybridMultilevel"/>
    <w:tmpl w:val="C630BD5A"/>
    <w:lvl w:ilvl="0" w:tplc="9D2AF330">
      <w:start w:val="1"/>
      <w:numFmt w:val="bullet"/>
      <w:lvlText w:val="●"/>
      <w:lvlJc w:val="left"/>
      <w:pPr>
        <w:ind w:left="720" w:hanging="360"/>
      </w:pPr>
    </w:lvl>
    <w:lvl w:ilvl="1" w:tplc="33046802">
      <w:start w:val="1"/>
      <w:numFmt w:val="bullet"/>
      <w:lvlText w:val="○"/>
      <w:lvlJc w:val="left"/>
      <w:pPr>
        <w:ind w:left="1440" w:hanging="360"/>
      </w:pPr>
    </w:lvl>
    <w:lvl w:ilvl="2" w:tplc="A27ACCD6">
      <w:start w:val="1"/>
      <w:numFmt w:val="bullet"/>
      <w:lvlText w:val="■"/>
      <w:lvlJc w:val="left"/>
      <w:pPr>
        <w:ind w:left="2160" w:hanging="360"/>
      </w:pPr>
    </w:lvl>
    <w:lvl w:ilvl="3" w:tplc="D15A1A04">
      <w:start w:val="1"/>
      <w:numFmt w:val="bullet"/>
      <w:lvlText w:val="●"/>
      <w:lvlJc w:val="left"/>
      <w:pPr>
        <w:ind w:left="2880" w:hanging="360"/>
      </w:pPr>
    </w:lvl>
    <w:lvl w:ilvl="4" w:tplc="782E0C0E">
      <w:start w:val="1"/>
      <w:numFmt w:val="bullet"/>
      <w:lvlText w:val="○"/>
      <w:lvlJc w:val="left"/>
      <w:pPr>
        <w:ind w:left="3600" w:hanging="360"/>
      </w:pPr>
    </w:lvl>
    <w:lvl w:ilvl="5" w:tplc="C3D0867A">
      <w:start w:val="1"/>
      <w:numFmt w:val="bullet"/>
      <w:lvlText w:val="■"/>
      <w:lvlJc w:val="left"/>
      <w:pPr>
        <w:ind w:left="4320" w:hanging="360"/>
      </w:pPr>
    </w:lvl>
    <w:lvl w:ilvl="6" w:tplc="84A67AC6">
      <w:start w:val="1"/>
      <w:numFmt w:val="bullet"/>
      <w:lvlText w:val="●"/>
      <w:lvlJc w:val="left"/>
      <w:pPr>
        <w:ind w:left="5040" w:hanging="360"/>
      </w:pPr>
    </w:lvl>
    <w:lvl w:ilvl="7" w:tplc="7104161E">
      <w:start w:val="1"/>
      <w:numFmt w:val="bullet"/>
      <w:lvlText w:val="●"/>
      <w:lvlJc w:val="left"/>
      <w:pPr>
        <w:ind w:left="5760" w:hanging="360"/>
      </w:pPr>
    </w:lvl>
    <w:lvl w:ilvl="8" w:tplc="CBD07A82">
      <w:start w:val="1"/>
      <w:numFmt w:val="bullet"/>
      <w:lvlText w:val="●"/>
      <w:lvlJc w:val="left"/>
      <w:pPr>
        <w:ind w:left="6480" w:hanging="360"/>
      </w:pPr>
    </w:lvl>
  </w:abstractNum>
  <w:num w:numId="1" w16cid:durableId="8705806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23D"/>
    <w:rsid w:val="00050906"/>
    <w:rsid w:val="00446090"/>
    <w:rsid w:val="00453900"/>
    <w:rsid w:val="00461AA2"/>
    <w:rsid w:val="0062623D"/>
    <w:rsid w:val="006C0199"/>
    <w:rsid w:val="00A05686"/>
    <w:rsid w:val="00A15206"/>
    <w:rsid w:val="00CF35FB"/>
    <w:rsid w:val="00D0129A"/>
    <w:rsid w:val="00EB0443"/>
    <w:rsid w:val="00F7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B3A008"/>
  <w15:docId w15:val="{38C96BA9-6EF9-D247-84A7-2336AEDC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4A7A"/>
      <w:sz w:val="28"/>
      <w:szCs w:val="28"/>
    </w:rPr>
  </w:style>
  <w:style w:type="paragraph" w:styleId="Heading2">
    <w:name w:val="heading 2"/>
    <w:uiPriority w:val="9"/>
    <w:unhideWhenUsed/>
    <w:qFormat/>
    <w:pPr>
      <w:spacing w:before="220" w:after="80"/>
      <w:outlineLvl w:val="1"/>
    </w:pPr>
    <w:rPr>
      <w:b/>
      <w:bCs/>
      <w:color w:val="1F3461"/>
      <w:sz w:val="24"/>
      <w:szCs w:val="24"/>
    </w:rPr>
  </w:style>
  <w:style w:type="paragraph" w:styleId="Heading3">
    <w:name w:val="heading 3"/>
    <w:uiPriority w:val="9"/>
    <w:unhideWhenUsed/>
    <w:qFormat/>
    <w:pPr>
      <w:spacing w:before="160" w:after="60"/>
      <w:outlineLvl w:val="2"/>
    </w:pPr>
    <w:rPr>
      <w:b/>
      <w:bCs/>
      <w:color w:val="374B6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 TargetMode="External"/><Relationship Id="rId3" Type="http://schemas.openxmlformats.org/officeDocument/2006/relationships/styles" Target="style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gle.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google.com" TargetMode="External"/><Relationship Id="rId4" Type="http://schemas.openxmlformats.org/officeDocument/2006/relationships/settings" Target="settings.xml"/><Relationship Id="rId9" Type="http://schemas.openxmlformats.org/officeDocument/2006/relationships/hyperlink" Target="https://www.linked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88534-5AE2-9043-B586-B073C9581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1529</Words>
  <Characters>9666</Characters>
  <Application>Microsoft Office Word</Application>
  <DocSecurity>0</DocSecurity>
  <Lines>302</Lines>
  <Paragraphs>172</Paragraphs>
  <ScaleCrop>false</ScaleCrop>
  <Company/>
  <LinksUpToDate>false</LinksUpToDate>
  <CharactersWithSpaces>11023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Suthar, Kiara (jhp2mf)</cp:lastModifiedBy>
  <cp:revision>10</cp:revision>
  <dcterms:created xsi:type="dcterms:W3CDTF">2026-03-24T02:27:00Z</dcterms:created>
  <dcterms:modified xsi:type="dcterms:W3CDTF">2026-03-29T02:05:00Z</dcterms:modified>
</cp:coreProperties>
</file>