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color w:val="2F5496"/>
          <w:sz w:val="24"/>
        </w:rPr>
        <w:t>Document</w:t>
      </w:r>
    </w:p>
    <w:p>
      <w:r>
        <w:rPr>
          <w:sz w:val="16"/>
        </w:rPr>
        <w:t>Continuous Monitoring Policy-MON-2026</w:t>
      </w:r>
    </w:p>
    <w:p>
      <w:pPr>
        <w:pStyle w:val="Heading1"/>
      </w:pPr>
      <w:r>
        <w:rPr>
          <w:color w:val="2F5496"/>
          <w:sz w:val="24"/>
        </w:rPr>
        <w:t>URL</w:t>
      </w:r>
    </w:p>
    <w:p>
      <w:r>
        <w:rPr>
          <w:sz w:val="16"/>
        </w:rPr>
        <w:t>https://contoso.sharepoint.com/sites/Policies/Shared Documents/Continuous_Monitoring_Policy_POL-MON-2026-005.docx</w:t>
      </w:r>
    </w:p>
    <w:p>
      <w:pPr>
        <w:pStyle w:val="Heading1"/>
      </w:pPr>
      <w:r>
        <w:rPr>
          <w:color w:val="2F5496"/>
          <w:sz w:val="24"/>
        </w:rPr>
        <w:t>Scope</w:t>
      </w:r>
    </w:p>
    <w:p>
      <w:r>
        <w:rPr>
          <w:sz w:val="16"/>
        </w:rPr>
        <w:t>(Not detected)</w:t>
      </w:r>
    </w:p>
    <w:p>
      <w:pPr>
        <w:pStyle w:val="Heading1"/>
      </w:pPr>
      <w:r>
        <w:rPr>
          <w:color w:val="2F5496"/>
          <w:sz w:val="24"/>
        </w:rPr>
        <w:t>Intent</w:t>
      </w:r>
    </w:p>
    <w:p>
      <w:r>
        <w:rPr>
          <w:sz w:val="16"/>
        </w:rPr>
        <w:t>(Not detected)</w:t>
      </w:r>
    </w:p>
    <w:p>
      <w:pPr>
        <w:pStyle w:val="Heading1"/>
      </w:pPr>
      <w:r>
        <w:rPr>
          <w:color w:val="2F5496"/>
          <w:sz w:val="24"/>
        </w:rPr>
        <w:t>Tags</w:t>
      </w:r>
    </w:p>
    <w:p>
      <w:r>
        <w:rPr>
          <w:sz w:val="16"/>
        </w:rPr>
        <w:t>(No tags generated)</w:t>
      </w:r>
    </w:p>
    <w:p>
      <w:pPr>
        <w:pStyle w:val="Heading1"/>
      </w:pPr>
      <w:r>
        <w:rPr>
          <w:color w:val="2F5496"/>
          <w:sz w:val="24"/>
        </w:rPr>
        <w:t>Acronyms</w:t>
      </w:r>
    </w:p>
    <w:p>
      <w:r>
        <w:rPr>
          <w:sz w:val="16"/>
        </w:rPr>
        <w:t>(No acronym definitions)</w:t>
      </w:r>
    </w:p>
    <w:p>
      <w:pPr>
        <w:pBdr>
          <w:bottom w:val="single" w:sz="6" w:space="1" w:color="999999"/>
        </w:pBdr>
      </w:pPr>
    </w:p>
    <w:sectPr w:rsidR="00F775DE">
      <w:pgSz w:w="12240" w:h="15840"/>
      <w:pgMar w:top="1440" w:right="1440" w:bottom="1440" w:left="1440" w:header="708" w:footer="708" w:gutter="0"/>
      <w:cols w:space="720"/>
      <w:docGrid w:linePitch="360"/>
    </w:sectPr>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22641A16" w14:textId="77777777" w:rsidR="0062623D" w:rsidRDefault="00000000">
      <w:pPr>
        <w:pStyle w:val="Heading1"/>
      </w:pPr>
      <w:r>
        <w:t>Section 3 - Vulnerability Management Controls</w:t>
      </w:r>
    </w:p>
    <w:p w14:paraId="75497BA8" w14:textId="77777777" w:rsidR="0062623D" w:rsidRDefault="00000000">
      <w:pPr>
        <w:spacing w:before="100" w:after="100"/>
      </w:pPr>
      <w:r>
        <w:t>The following controls govern vulnerability identification and remediation. These apply to all systems within the ATO boundary. Vulnerability scan results shall be ingested into the risk register workflow within 48 hours of scan completion. For the vulnerability severity rating methodology, refer to Appendix A.</w:t>
      </w:r>
    </w:p>
    <w:p w14:paraId="1F19C8AE" w14:textId="3A9F7956" w:rsidR="0062623D" w:rsidRDefault="006C0199">
      <w:pPr>
        <w:pStyle w:val="Heading3"/>
      </w:pPr>
      <w:r>
        <w:t xml:space="preserve">Control MON01.001 </w:t>
      </w:r>
      <w:r w:rsidR="00446090">
        <w:t xml:space="preserve">(L, M, H) </w:t>
      </w:r>
      <w:r>
        <w:t>- Authenticated Vulnerability Scanning</w:t>
      </w:r>
    </w:p>
    <w:p w14:paraId="3B347D39" w14:textId="77777777" w:rsidR="0062623D" w:rsidRDefault="00000000">
      <w:pPr>
        <w:spacing w:before="80" w:after="60"/>
      </w:pPr>
      <w:r>
        <w:rPr>
          <w:b/>
          <w:bCs/>
        </w:rPr>
        <w:t xml:space="preserve">Requirement: </w:t>
      </w:r>
      <w:r>
        <w:t>All systems shall undergo authenticated vulnerability scanning at minimum weekly for internet-facing systems and bi-weekly for internal systems. Scanning shall use an approved tool from Appendix B. Scans shall be credentialed to ensure complete coverage of installed software and configurations. Unauthenticated scans are not sufficient to satisfy this control. Scan schedules shall be documented in the system security plan (SSP).</w:t>
      </w:r>
    </w:p>
    <w:p w14:paraId="67B4CE85" w14:textId="77777777" w:rsidR="0062623D" w:rsidRDefault="00000000">
      <w:pPr>
        <w:spacing w:before="40" w:after="120"/>
      </w:pPr>
      <w:r>
        <w:rPr>
          <w:b/>
          <w:bCs/>
        </w:rPr>
        <w:t xml:space="preserve">NIST Mapping: </w:t>
      </w:r>
      <w:r>
        <w:rPr>
          <w:color w:val="374B6E"/>
        </w:rPr>
        <w:t>RA-5, RA-5(5)</w:t>
      </w:r>
      <w:r>
        <w:t xml:space="preserve">   </w:t>
      </w:r>
      <w:r>
        <w:rPr>
          <w:b/>
          <w:bCs/>
        </w:rPr>
        <w:t xml:space="preserve">Status: </w:t>
      </w:r>
      <w:r>
        <w:t xml:space="preserve">Implemented   </w:t>
      </w:r>
      <w:r>
        <w:rPr>
          <w:b/>
          <w:bCs/>
        </w:rPr>
        <w:t xml:space="preserve">Owner: </w:t>
      </w:r>
      <w:r>
        <w:t>Security Operations</w:t>
      </w:r>
    </w:p>
    <w:p w14:paraId="1E63A3DA" w14:textId="5C21236A" w:rsidR="0062623D" w:rsidRDefault="00446090">
      <w:pPr>
        <w:pStyle w:val="Heading3"/>
      </w:pPr>
      <w:r>
        <w:t>Control ID MON01.002 - Vulnerability Remediation SLAs (L, M, H)</w:t>
      </w:r>
    </w:p>
    <w:p w14:paraId="6F91AC5F" w14:textId="77777777" w:rsidR="0062623D" w:rsidRDefault="00000000">
      <w:pPr>
        <w:spacing w:before="80" w:after="60"/>
      </w:pPr>
      <w:r>
        <w:rPr>
          <w:b/>
          <w:bCs/>
        </w:rPr>
        <w:t xml:space="preserve">Requirement: </w:t>
      </w:r>
      <w:r>
        <w:t xml:space="preserve">Identified vulnerabilities shall be remediated within the following SLAs based on CVSS score: Critical (CVSS 9.0-10.0) within 15 calendar days; High (CVSS 7.0-8.9) within 30 days; Medium (CVSS 4.0-6.9) within 90 days; Low (CVSS 0.1-3.9) within 180 days. Exceptions require ISSM approval </w:t>
      </w:r>
      <w:r>
        <w:lastRenderedPageBreak/>
        <w:t>and a compensating control documented in a POA&amp;M entry per the Risk Management Policy, RMP03.001. See Appendix A for the severity matrix.</w:t>
      </w:r>
    </w:p>
    <w:p w14:paraId="428EB1F8" w14:textId="77777777" w:rsidR="0062623D" w:rsidRDefault="00000000">
      <w:pPr>
        <w:spacing w:before="40" w:after="120"/>
      </w:pPr>
      <w:r>
        <w:rPr>
          <w:b/>
          <w:bCs/>
        </w:rPr>
        <w:t xml:space="preserve">NIST Mapping: </w:t>
      </w:r>
      <w:r>
        <w:rPr>
          <w:color w:val="374B6E"/>
        </w:rPr>
        <w:t>RA-5(6), SI-2</w:t>
      </w:r>
      <w:r>
        <w:t xml:space="preserve">   </w:t>
      </w:r>
      <w:r>
        <w:rPr>
          <w:b/>
          <w:bCs/>
        </w:rPr>
        <w:t xml:space="preserve">Status: </w:t>
      </w:r>
      <w:r>
        <w:t xml:space="preserve">Implemented   </w:t>
      </w:r>
      <w:r>
        <w:rPr>
          <w:b/>
          <w:bCs/>
        </w:rPr>
        <w:t xml:space="preserve">Owner: </w:t>
      </w:r>
      <w:r>
        <w:t>System Owners / Security Ops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