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Data Loss Prevention Standard STD-DLP-2026-011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Documents/Data_Loss_Prevention_Standard_STD-DLP-2026-011.docx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7FF68E9B" w14:textId="77777777" w:rsidR="00202155" w:rsidRDefault="00000000">
      <w:pPr>
        <w:pStyle w:val="Heading1"/>
      </w:pPr>
      <w:r>
        <w:t>Appendix F - Secure Fax Authorization</w:t>
      </w:r>
    </w:p>
    <w:p w14:paraId="30C9D575" w14:textId="77777777" w:rsidR="00202155" w:rsidRDefault="00000000">
      <w:pPr>
        <w:spacing w:before="100" w:after="100"/>
      </w:pPr>
      <w:r>
        <w:lastRenderedPageBreak/>
        <w:t>CUI transmission via fax is prohibited except using GSA-approved secure fax solutions. Organizations requiring secure fax capability must submit a system authorization request to the ISSM. Approved secure fax solutions are listed in the approved technology register maintained by IT Operations.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