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0C9854D4" w14:textId="77777777" w:rsidR="00202155" w:rsidRDefault="00000000">
      <w:pPr>
        <w:pStyle w:val="Heading1"/>
      </w:pPr>
      <w:r>
        <w:t>Enforcement</w:t>
      </w:r>
    </w:p>
    <w:p w14:paraId="4AFAFF6A" w14:textId="77777777" w:rsidR="00202155" w:rsidRDefault="00000000">
      <w:pPr>
        <w:spacing w:before="100" w:after="100"/>
      </w:pPr>
      <w:r>
        <w:t>Violations of this standard are addressed per the disciplinary framework in Section 6 of the Acceptable Use Policy (POL-AU-2026-006). Intentional data exfiltration constitutes a Level 4 violation. DLP exceptions not pre-approved via Appendix D procedures constitute a Level 3 violation.</w:t>
      </w:r>
    </w:p>
    <w:p w14:paraId="1A255A67" w14:textId="77777777" w:rsidR="00202155" w:rsidRDefault="00000000">
      <w:pPr>
        <w:spacing w:before="100" w:after="100"/>
      </w:pPr>
      <w:r>
        <w:t>For external reporting obligations following a confirmed data loss event, refer to the Incident Response Policy (POL-IR-2026-003), Section IRP03.001.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