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Risk Management Framework Compliance Mapping</w:t>
      </w:r>
    </w:p>
    <w:p>
      <w:pPr>
        <w:spacing w:after="120"/>
      </w:pPr>
      <w:r>
        <w:rPr>
          <w:sz w:val="22"/>
          <w:szCs w:val="22"/>
        </w:rPr>
        <w:t xml:space="preserve">Document ID: POL-RMF-2026-010 | Version: 2.0 | Last Reviewed: March 10, 2026 | Classification: CUI</w:t>
      </w:r>
    </w:p>
    <w:p/>
    <w:p>
      <w:pPr>
        <w:pStyle w:val="Heading1"/>
      </w:pPr>
      <w:r>
        <w:t xml:space="preserve">Purpose</w:t>
      </w:r>
    </w:p>
    <w:p>
      <w:pPr>
        <w:spacing w:after="120"/>
      </w:pPr>
      <w:r>
        <w:rPr>
          <w:sz w:val="22"/>
          <w:szCs w:val="22"/>
        </w:rPr>
        <w:t xml:space="preserve">This document provides the compliance mapping between organizational controls and external regulatory frameworks. It serves as the authoritative crosswalk for audit preparation, continuous monitoring, and control inheritance documentation.</w:t>
      </w:r>
    </w:p>
    <w:p/>
    <w:p>
      <w:pPr>
        <w:spacing w:after="120" w:before="240"/>
      </w:pPr>
      <w:r>
        <w:rPr>
          <w:rFonts w:ascii="Arial" w:cs="Arial" w:eastAsia="Arial" w:hAnsi="Arial"/>
          <w:b/>
          <w:bCs/>
          <w:sz w:val="28"/>
          <w:szCs w:val="28"/>
        </w:rPr>
        <w:t xml:space="preserve">Scope</w:t>
      </w:r>
    </w:p>
    <w:p>
      <w:pPr>
        <w:spacing w:after="120"/>
      </w:pPr>
      <w:r>
        <w:rPr>
          <w:sz w:val="22"/>
          <w:szCs w:val="22"/>
        </w:rPr>
        <w:t xml:space="preserve">This mapping covers all controls defined in the organizational control catalog. For the complete control descriptions, refer to the individual policy documents (Access Control Policy, Incident Response Policy, Configuration Management Policy, etc.). This document maps controls only; it does not define requirements.</w:t>
      </w:r>
    </w:p>
    <w:p/>
    <w:p>
      <w:pPr>
        <w:pStyle w:val="Heading2"/>
      </w:pPr>
      <w:r>
        <w:t xml:space="preserve">Intent</w:t>
      </w:r>
    </w:p>
    <w:p>
      <w:pPr>
        <w:spacing w:after="120"/>
      </w:pPr>
      <w:r>
        <w:rPr>
          <w:sz w:val="22"/>
          <w:szCs w:val="22"/>
        </w:rPr>
        <w:t xml:space="preserve">The intent is to provide auditors, assessors, and security personnel with a single reference that maps organizational controls to NIST SP 800-53 Rev 5, CIS Controls v8, and FedRAMP Moderate/High baselines. As described in the Continuous Monitoring Policy, Section 2, this mapping is updated whenever controls are added, modified, or retired.</w:t>
      </w:r>
    </w:p>
    <w:p/>
    <w:p>
      <w:pPr>
        <w:pStyle w:val="Heading1"/>
      </w:pPr>
      <w:r>
        <w:t xml:space="preserve">Appendix A: Access Control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1000"/>
        <w:gridCol w:w="1260"/>
        <w:gridCol w:w="1700"/>
        <w:gridCol w:w="15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Org Control</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Control Title</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NIST 800-53</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CIS v8</w:t>
            </w:r>
          </w:p>
        </w:tc>
        <w:tc>
          <w:tcPr>
            <w:tcW w:type="dxa" w:w="12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FedRAMP</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Parent Policy</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Status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ACC01.001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User Account Provisioning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5.1</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AC-2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Access Control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ACC01.002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Privileged Account Mgmt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5.4</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AC-6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Access Control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ACC02.001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Remote Access Controls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12.7</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AC-17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Access Control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ACC02.002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Wireless Access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12.6</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AC-18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Access Control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Partial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ACC03.001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Session Lock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4.3</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AC-11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Access Control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ACC03.002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Session Termination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4.3</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AC-12 (High)</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Access Control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 Impl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SAR01.001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RBAC for CUI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6.8</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AC-3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Access Control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SAR01.002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CUI Access Logging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AC-4, AU-3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8.5</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AU-3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Access Control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SAR02.001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External CUI Connections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13.4</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AC-4 (High)</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Access Control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bl>
    <w:p/>
    <w:p>
      <w:r>
        <w:br w:type="page"/>
      </w:r>
    </w:p>
    <w:p>
      <w:pPr>
        <w:pStyle w:val="Heading1"/>
      </w:pPr>
      <w:r>
        <w:t xml:space="preserve">Appendix B: Incident Response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1000"/>
        <w:gridCol w:w="1260"/>
        <w:gridCol w:w="1700"/>
        <w:gridCol w:w="15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Org Control</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Control Title</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NIST 800-53</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CIS v8</w:t>
            </w:r>
          </w:p>
        </w:tc>
        <w:tc>
          <w:tcPr>
            <w:tcW w:type="dxa" w:w="12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FedRAMP</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Parent Policy</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Status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IRP10.001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 Plan Maintenance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17.1</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IR-1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Incident Response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IRP10.002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 Training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17.2</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IR-2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Incident Response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IRP11.001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 Testing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17.4</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IR-3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Incident Response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IRP11.002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Automated Detection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17.3</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IR-4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Incident Response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Partial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IRP12.001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Incident Reporting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17.6</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IR-6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Incident Response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bl>
    <w:p/>
    <w:p>
      <w:pPr>
        <w:pStyle w:val="Heading1"/>
      </w:pPr>
      <w:r>
        <w:t xml:space="preserve">Appendix C: Configuration Management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1000"/>
        <w:gridCol w:w="1260"/>
        <w:gridCol w:w="1700"/>
        <w:gridCol w:w="15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Org Control</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Control Title</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NIST 800-53</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CIS v8</w:t>
            </w:r>
          </w:p>
        </w:tc>
        <w:tc>
          <w:tcPr>
            <w:tcW w:type="dxa" w:w="12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FedRAMP</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Parent Policy</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Status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CFG01.001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Baseline Development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4.1</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CM-2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Config Mgmt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CFG01.002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Baseline Review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4.2</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CM-2(1)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Config Mgmt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CFG02.001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Change Control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4.8</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CM-3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Config Mgmt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CFG02.002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Change Impact Analysis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4.8</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CM-4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Config Mgmt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Partial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CFG03.001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Config Scanning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4.1</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CM-6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Config Mgmt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CFG03.002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Drift Detection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4.3</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CM-3(5) (High)</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Config Mgmt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 Impl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CFG04.001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Software Inventory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2.1</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CM-7 (Mod)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Config Mgmt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Partial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CFG04.002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App Whitelisting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CM-7(5)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2.6</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CM-7(5) (High)</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Config Mgmt Policy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 Impl</w:t>
            </w:r>
          </w:p>
        </w:tc>
      </w:tr>
    </w:tbl>
    <w:p/>
    <w:p>
      <w:r>
        <w:br w:type="page"/>
      </w:r>
    </w:p>
    <w:p>
      <w:pPr>
        <w:spacing w:after="120" w:before="240"/>
      </w:pPr>
      <w:r>
        <w:rPr>
          <w:rFonts w:ascii="Arial" w:cs="Arial" w:eastAsia="Arial" w:hAnsi="Arial"/>
          <w:b/>
          <w:bCs/>
          <w:sz w:val="28"/>
          <w:szCs w:val="28"/>
        </w:rPr>
        <w:t xml:space="preserve">Appendix D: Control Inheritance Matrix</w:t>
      </w:r>
    </w:p>
    <w:p>
      <w:pPr>
        <w:spacing w:after="120"/>
      </w:pPr>
      <w:r>
        <w:rPr>
          <w:sz w:val="22"/>
          <w:szCs w:val="22"/>
        </w:rPr>
        <w:t xml:space="preserve">The following table documents controls inherited from shared infrastructure and cloud service providers. As stated in the FedRAMP authorization documentation, inherited controls must be validated during each annual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2260"/>
        <w:gridCol w:w="2900"/>
      </w:tblGrid>
      <w:tr>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Org Control</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Inheritance Type</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Provider</w:t>
            </w:r>
          </w:p>
        </w:tc>
        <w:tc>
          <w:tcPr>
            <w:tcW w:type="dxa" w:w="22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Provider Control</w:t>
            </w:r>
          </w:p>
        </w:tc>
        <w:tc>
          <w:tcPr>
            <w:tcW w:type="dxa" w:w="2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Validation Method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ACC01.001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Hybrid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Microsoft Azure Gov</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Azure AD provisioning</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Annual SSP review</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CFG01.001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Hybrid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Microsoft Azure Gov</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Azure Policy baselines</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Quarterly scan comparison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IRP11.002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Shared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Microsoft Azure Gov</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Azure Sentinel alerts</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Monthly detection coverage review</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CFG03.001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Hybrid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Microsoft Defender</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Defender vulnerability scanning</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Weekly scan report review</w:t>
            </w:r>
          </w:p>
        </w:tc>
      </w:tr>
    </w:tbl>
    <w:p/>
    <w:p>
      <w:pPr>
        <w:pStyle w:val="Heading1"/>
      </w:pPr>
      <w:r>
        <w:t xml:space="preserve">Appendix 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Term</w:t>
            </w:r>
          </w:p>
        </w:tc>
        <w:tc>
          <w:tcPr>
            <w:tcW w:type="dxa" w:w="7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Definition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Control Inheritance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The practice of relying on security controls implemented by a shared service provider (e.g., cloud IaaS) rather than implementing them independently.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Hybrid Control</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 control where responsibility is shared between the organization and a service provider. Both parties must implement their portion.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FedRAMP</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Federal Risk and Authorization Management Program. A government-wide program that provides a standardized approach to security assessment for cloud products and services.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STIG</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Security Technical Implementation Guide. Configuration standards published by DISA for hardening information systems.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 Benchmark</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Configuration guidelines published by the Center for Internet Security for securing operating systems, applications, and network devices.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POA&amp;M</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Plan of Action and Milestones. A document that identifies tasks needing accomplishment to resolve security weaknesses.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SSP</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System Security Plan. A formal document that describes the security controls in place or planned for an information system.</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ATO</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Authorization to Operate. A formal declaration by a designated authority that an information system is authorized for operation.</w:t>
            </w:r>
          </w:p>
        </w:tc>
      </w:tr>
    </w:tbl>
    <w:p/>
    <w:p>
      <w:pPr>
        <w:spacing w:after="120" w:before="240"/>
      </w:pPr>
      <w:r>
        <w:rPr>
          <w:rFonts w:ascii="Arial" w:cs="Arial" w:eastAsia="Arial" w:hAnsi="Arial"/>
          <w:b/>
          <w:bCs/>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Version</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Date</w:t>
            </w:r>
          </w:p>
        </w:tc>
        <w:tc>
          <w:tcPr>
            <w:tcW w:type="dxa" w:w="66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Changes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03/10/2026</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Added Appendix D (Inheritance Matrix). Updated all crosswalks for FY2026 baseline review.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09/15/2025</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Added CIS v8 mappings. Corrected FedRAMP baseline levels.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03/01/2025</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Initial release.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6"/>
        <w:szCs w:val="16"/>
      </w:rPr>
      <w:t xml:space="preserve">RMF Compliance Mapping | POL-RMF-2026-010 | CUI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2026-03-22T01:36:07.641Z</dcterms:created>
  <dcterms:modified xsi:type="dcterms:W3CDTF">2026-03-22T01:36:07.641Z</dcterms:modified>
</cp:coreProperties>
</file>

<file path=docProps/custom.xml><?xml version="1.0" encoding="utf-8"?>
<Properties xmlns="http://schemas.openxmlformats.org/officeDocument/2006/custom-properties" xmlns:vt="http://schemas.openxmlformats.org/officeDocument/2006/docPropsVTypes"/>
</file>