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461"/>
          <w:sz w:val="40"/>
          <w:szCs w:val="40"/>
        </w:rPr>
        <w:t xml:space="preserve">Encryption Policy</w:t>
      </w:r>
    </w:p>
    <w:p>
      <w:pPr>
        <w:spacing w:after="160" w:before="80"/>
      </w:pPr>
      <w:r>
        <w:rPr>
          <w:rFonts w:ascii="Arial" w:cs="Arial" w:eastAsia="Arial" w:hAnsi="Arial"/>
          <w:b w:val="false"/>
          <w:bCs w:val="false"/>
          <w:color w:val="555555"/>
          <w:sz w:val="18"/>
          <w:szCs w:val="18"/>
        </w:rPr>
        <w:t xml:space="preserve">Document ID: POL-ENC-2026-008  |  Version: 2.2  |  Effective Date: January 15, 2026  |  Classification: CUI</w:t>
      </w:r>
    </w:p>
    <w:p>
      <w:pPr>
        <w:pBdr>
          <w:bottom w:val="single" w:color="2E4A7A" w:sz="6" w:space="1"/>
        </w:pBdr>
        <w:spacing w:after="160" w:before="160"/>
      </w:pPr>
    </w:p>
    <w:p>
      <w:pPr>
        <w:pStyle w:val="Heading1"/>
        <w:spacing w:after="120" w:before="300"/>
      </w:pPr>
      <w:r>
        <w:rPr>
          <w:rFonts w:ascii="Arial" w:cs="Arial" w:eastAsia="Arial" w:hAnsi="Arial"/>
          <w:b/>
          <w:bCs/>
          <w:color w:val="2E4A7A"/>
          <w:sz w:val="28"/>
          <w:szCs w:val="28"/>
        </w:rPr>
        <w:t xml:space="preserve">Purpose</w:t>
      </w:r>
    </w:p>
    <w:p>
      <w:pPr>
        <w:spacing w:after="100" w:before="100"/>
      </w:pPr>
      <w:r>
        <w:rPr>
          <w:rFonts w:ascii="Arial" w:cs="Arial" w:eastAsia="Arial" w:hAnsi="Arial"/>
          <w:sz w:val="20"/>
          <w:szCs w:val="20"/>
        </w:rPr>
        <w:t xml:space="preserve">This policy establishes the cryptographic requirements for protecting organizational data at rest and in transit. It defines approved algorithms, key management procedures, and implementation requirements for all information systems operated by the organization. This policy implements NIST SP 800-111, NIST SP 800-52 Rev 2, and FIPS 140-3 requirements.</w:t>
      </w:r>
    </w:p>
    <w:p>
      <w:pPr>
        <w:spacing w:after="100" w:before="100"/>
      </w:pPr>
      <w:r>
        <w:rPr>
          <w:rFonts w:ascii="Arial" w:cs="Arial" w:eastAsia="Arial" w:hAnsi="Arial"/>
          <w:sz w:val="20"/>
          <w:szCs w:val="20"/>
        </w:rPr>
        <w:t xml:space="preserve">For a plain-language overview of federal cryptographic standards, see the </w:t>
      </w:r>
      <w:hyperlink w:history="1" r:id="rIdscyotu8gejc6zont9ccxq">
        <w:r>
          <w:rPr>
            <w:rFonts w:ascii="Arial" w:cs="Arial" w:eastAsia="Arial" w:hAnsi="Arial"/>
            <w:color w:val="1155CC"/>
            <w:sz w:val="20"/>
            <w:szCs w:val="20"/>
            <w:u w:val="single"/>
          </w:rPr>
          <w:t xml:space="preserve">NIST Cryptographic Standards and Guidelines portal</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Scope</w:t>
      </w:r>
    </w:p>
    <w:p>
      <w:pPr>
        <w:spacing w:after="100" w:before="100"/>
      </w:pPr>
      <w:r>
        <w:rPr>
          <w:rFonts w:ascii="Arial" w:cs="Arial" w:eastAsia="Arial" w:hAnsi="Arial"/>
          <w:sz w:val="20"/>
          <w:szCs w:val="20"/>
        </w:rPr>
        <w:t xml:space="preserve">This policy applies to all information systems, applications, and data stores that process, transmit, or store CUI, PII, or data classified at FIPS 199 Moderate or High impact levels. It applies to all personnel with system administration, development, or data handling responsibilities.</w:t>
      </w:r>
    </w:p>
    <w:p>
      <w:pPr>
        <w:spacing w:after="100" w:before="100"/>
      </w:pPr>
      <w:r>
        <w:rPr>
          <w:rFonts w:ascii="Arial" w:cs="Arial" w:eastAsia="Arial" w:hAnsi="Arial"/>
          <w:sz w:val="20"/>
          <w:szCs w:val="20"/>
        </w:rPr>
        <w:t xml:space="preserve">BYOD encryption requirements are addressed in conjunction with the Mobile Device Management Policy. For cloud-specific encryption inheritance, refer to the FedRAMP authorization documentation for each cloud service in use. For current FIPS 140-3 validated module listings, see the </w:t>
      </w:r>
      <w:hyperlink w:history="1" r:id="rIdn6tkw5pqtsz1ogv1tnw0i">
        <w:r>
          <w:rPr>
            <w:rFonts w:ascii="Arial" w:cs="Arial" w:eastAsia="Arial" w:hAnsi="Arial"/>
            <w:color w:val="1155CC"/>
            <w:sz w:val="20"/>
            <w:szCs w:val="20"/>
            <w:u w:val="single"/>
          </w:rPr>
          <w:t xml:space="preserve">NIST Cryptographic Module Validation Program</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Intent</w:t>
      </w:r>
    </w:p>
    <w:p>
      <w:pPr>
        <w:spacing w:after="100" w:before="100"/>
      </w:pPr>
      <w:r>
        <w:rPr>
          <w:rFonts w:ascii="Arial" w:cs="Arial" w:eastAsia="Arial" w:hAnsi="Arial"/>
          <w:sz w:val="20"/>
          <w:szCs w:val="20"/>
        </w:rPr>
        <w:t xml:space="preserve">Encryption is the primary technical control preventing unauthorized disclosure when other controls fail, such as device loss, unauthorized physical access, or exfiltration. The intent of this policy is to ensure that data confidentiality is preserved through cryptographic means regardless of the physical or logical state of storage and transmission media.</w:t>
      </w:r>
    </w:p>
    <w:p>
      <w:pPr>
        <w:spacing w:after="100" w:before="100"/>
      </w:pPr>
      <w:r>
        <w:rPr>
          <w:rFonts w:ascii="Arial" w:cs="Arial" w:eastAsia="Arial" w:hAnsi="Arial"/>
          <w:sz w:val="20"/>
          <w:szCs w:val="20"/>
        </w:rPr>
        <w:t xml:space="preserve">This policy supports compliance with FISMA, CNSSP-15, and OMB M-22-09 Zero Trust requirements mandating encryption of all federal data in transit. It also satisfies CMMC Level 2 domain SC requirements for contractors handling CUI.</w:t>
      </w:r>
    </w:p>
    <w:p>
      <w:pPr>
        <w:pStyle w:val="Heading1"/>
        <w:spacing w:after="120" w:before="300"/>
      </w:pPr>
      <w:r>
        <w:rPr>
          <w:rFonts w:ascii="Arial" w:cs="Arial" w:eastAsia="Arial" w:hAnsi="Arial"/>
          <w:b/>
          <w:bCs/>
          <w:color w:val="2E4A7A"/>
          <w:sz w:val="28"/>
          <w:szCs w:val="28"/>
        </w:rPr>
        <w:t xml:space="preserve">Section 3 - Data-at-Rest Encryption Controls</w:t>
      </w:r>
    </w:p>
    <w:p>
      <w:pPr>
        <w:spacing w:after="100" w:before="100"/>
      </w:pPr>
      <w:r>
        <w:rPr>
          <w:rFonts w:ascii="Arial" w:cs="Arial" w:eastAsia="Arial" w:hAnsi="Arial"/>
          <w:sz w:val="20"/>
          <w:szCs w:val="20"/>
        </w:rPr>
        <w:t xml:space="preserve">The following controls govern encryption of data stored on organizational systems, endpoints, and removable media. These controls apply to all storage classes regardless of whether the system is on-premises or cloud-hosted. Non-compliance with these controls shall be treated as a configuration management deficiency per the Configuration Management Policy (POL-CM-2026-004), Control CFG01.001.</w:t>
      </w:r>
    </w:p>
    <w:p>
      <w:pPr>
        <w:pStyle w:val="Heading3"/>
        <w:spacing w:after="60" w:before="160"/>
      </w:pPr>
      <w:r>
        <w:rPr>
          <w:rFonts w:ascii="Arial" w:cs="Arial" w:eastAsia="Arial" w:hAnsi="Arial"/>
          <w:b/>
          <w:bCs/>
          <w:color w:val="374B6E"/>
          <w:sz w:val="22"/>
          <w:szCs w:val="22"/>
        </w:rPr>
        <w:t xml:space="preserve">ENC01.001 - Full Disk Encryption for Endpoints</w:t>
      </w:r>
    </w:p>
    <w:p>
      <w:pPr>
        <w:spacing w:after="60" w:before="80"/>
      </w:pPr>
      <w:r>
        <w:rPr>
          <w:rFonts w:ascii="Arial" w:cs="Arial" w:eastAsia="Arial" w:hAnsi="Arial"/>
          <w:b/>
          <w:bCs/>
          <w:sz w:val="20"/>
          <w:szCs w:val="20"/>
        </w:rPr>
        <w:t xml:space="preserve">Requirement: </w:t>
      </w:r>
      <w:r>
        <w:rPr>
          <w:rFonts w:ascii="Arial" w:cs="Arial" w:eastAsia="Arial" w:hAnsi="Arial"/>
          <w:sz w:val="20"/>
          <w:szCs w:val="20"/>
        </w:rPr>
        <w:t xml:space="preserve">All organizational laptops, workstations, and mobile devices shall have full disk encryption (FDE) enabled using a FIPS 140-3 validated module. BitLocker with TPM 2.0 is the approved solution for Windows endpoints. Recovery keys shall be escrowed in Active Directory or Azure AD per the key management procedures in Appendix A. Devices failing FDE compliance checks shall be quarantined from the network within 24 hours.</w:t>
      </w:r>
    </w:p>
    <w:p>
      <w:pPr>
        <w:spacing w:after="120" w:before="40"/>
      </w:pPr>
      <w:r>
        <w:rPr>
          <w:rFonts w:ascii="Arial" w:cs="Arial" w:eastAsia="Arial" w:hAnsi="Arial"/>
          <w:b/>
          <w:bCs/>
          <w:sz w:val="20"/>
          <w:szCs w:val="20"/>
        </w:rPr>
        <w:t xml:space="preserve">NIST Mapping: </w:t>
      </w:r>
      <w:r>
        <w:rPr>
          <w:rFonts w:ascii="Arial" w:cs="Arial" w:eastAsia="Arial" w:hAnsi="Arial"/>
          <w:color w:val="374B6E"/>
          <w:sz w:val="20"/>
          <w:szCs w:val="20"/>
        </w:rPr>
        <w:t xml:space="preserve">SC-28, SC-28(1)</w:t>
      </w:r>
      <w:r>
        <w:rPr>
          <w:rFonts w:ascii="Arial" w:cs="Arial" w:eastAsia="Arial" w:hAnsi="Arial"/>
          <w:sz w:val="20"/>
          <w:szCs w:val="20"/>
        </w:rPr>
        <w:t xml:space="preserve">   </w:t>
      </w:r>
      <w:r>
        <w:rPr>
          <w:rFonts w:ascii="Arial" w:cs="Arial" w:eastAsia="Arial" w:hAnsi="Arial"/>
          <w:b/>
          <w:bCs/>
          <w:sz w:val="20"/>
          <w:szCs w:val="20"/>
        </w:rPr>
        <w:t xml:space="preserve">Status: </w:t>
      </w:r>
      <w:r>
        <w:rPr>
          <w:rFonts w:ascii="Arial" w:cs="Arial" w:eastAsia="Arial" w:hAnsi="Arial"/>
          <w:sz w:val="20"/>
          <w:szCs w:val="20"/>
        </w:rPr>
        <w:t xml:space="preserve">Implemented</w:t>
      </w:r>
      <w:r>
        <w:rPr>
          <w:rFonts w:ascii="Arial" w:cs="Arial" w:eastAsia="Arial" w:hAnsi="Arial"/>
          <w:sz w:val="20"/>
          <w:szCs w:val="20"/>
        </w:rPr>
        <w:t xml:space="preserve">   </w:t>
      </w:r>
      <w:r>
        <w:rPr>
          <w:rFonts w:ascii="Arial" w:cs="Arial" w:eastAsia="Arial" w:hAnsi="Arial"/>
          <w:b/>
          <w:bCs/>
          <w:sz w:val="20"/>
          <w:szCs w:val="20"/>
        </w:rPr>
        <w:t xml:space="preserve">Owner: </w:t>
      </w:r>
      <w:r>
        <w:rPr>
          <w:rFonts w:ascii="Arial" w:cs="Arial" w:eastAsia="Arial" w:hAnsi="Arial"/>
          <w:sz w:val="20"/>
          <w:szCs w:val="20"/>
        </w:rPr>
        <w:t xml:space="preserve">Endpoint Management</w:t>
      </w:r>
    </w:p>
    <w:p>
      <w:pPr>
        <w:pStyle w:val="Heading3"/>
        <w:spacing w:after="60" w:before="160"/>
      </w:pPr>
      <w:r>
        <w:rPr>
          <w:rFonts w:ascii="Arial" w:cs="Arial" w:eastAsia="Arial" w:hAnsi="Arial"/>
          <w:b/>
          <w:bCs/>
          <w:color w:val="374B6E"/>
          <w:sz w:val="22"/>
          <w:szCs w:val="22"/>
        </w:rPr>
        <w:t xml:space="preserve">ENC01.002 - Database Encryption</w:t>
      </w:r>
    </w:p>
    <w:p>
      <w:pPr>
        <w:spacing w:after="60" w:before="80"/>
      </w:pPr>
      <w:r>
        <w:rPr>
          <w:rFonts w:ascii="Arial" w:cs="Arial" w:eastAsia="Arial" w:hAnsi="Arial"/>
          <w:b/>
          <w:bCs/>
          <w:sz w:val="20"/>
          <w:szCs w:val="20"/>
        </w:rPr>
        <w:t xml:space="preserve">Requirement: </w:t>
      </w:r>
      <w:r>
        <w:rPr>
          <w:rFonts w:ascii="Arial" w:cs="Arial" w:eastAsia="Arial" w:hAnsi="Arial"/>
          <w:sz w:val="20"/>
          <w:szCs w:val="20"/>
        </w:rPr>
        <w:t xml:space="preserve">All databases storing CUI or PII shall implement Transparent Data Encryption (TDE) using AES-256. Database encryption keys shall be stored in the approved key management system, not on the same server as the encrypted data. See Appendix A for key storage requirements. Database administrators shall verify TDE status quarterly and document results in the configuration compliance report per CFG03.001.</w:t>
      </w:r>
    </w:p>
    <w:p>
      <w:pPr>
        <w:spacing w:after="120" w:before="40"/>
      </w:pPr>
      <w:r>
        <w:rPr>
          <w:rFonts w:ascii="Arial" w:cs="Arial" w:eastAsia="Arial" w:hAnsi="Arial"/>
          <w:b/>
          <w:bCs/>
          <w:sz w:val="20"/>
          <w:szCs w:val="20"/>
        </w:rPr>
        <w:t xml:space="preserve">NIST Mapping: </w:t>
      </w:r>
      <w:r>
        <w:rPr>
          <w:rFonts w:ascii="Arial" w:cs="Arial" w:eastAsia="Arial" w:hAnsi="Arial"/>
          <w:color w:val="374B6E"/>
          <w:sz w:val="20"/>
          <w:szCs w:val="20"/>
        </w:rPr>
        <w:t xml:space="preserve">SC-28</w:t>
      </w:r>
      <w:r>
        <w:rPr>
          <w:rFonts w:ascii="Arial" w:cs="Arial" w:eastAsia="Arial" w:hAnsi="Arial"/>
          <w:sz w:val="20"/>
          <w:szCs w:val="20"/>
        </w:rPr>
        <w:t xml:space="preserve">   </w:t>
      </w:r>
      <w:r>
        <w:rPr>
          <w:rFonts w:ascii="Arial" w:cs="Arial" w:eastAsia="Arial" w:hAnsi="Arial"/>
          <w:b/>
          <w:bCs/>
          <w:sz w:val="20"/>
          <w:szCs w:val="20"/>
        </w:rPr>
        <w:t xml:space="preserve">Status: </w:t>
      </w:r>
      <w:r>
        <w:rPr>
          <w:rFonts w:ascii="Arial" w:cs="Arial" w:eastAsia="Arial" w:hAnsi="Arial"/>
          <w:sz w:val="20"/>
          <w:szCs w:val="20"/>
        </w:rPr>
        <w:t xml:space="preserve">Implemented</w:t>
      </w:r>
      <w:r>
        <w:rPr>
          <w:rFonts w:ascii="Arial" w:cs="Arial" w:eastAsia="Arial" w:hAnsi="Arial"/>
          <w:sz w:val="20"/>
          <w:szCs w:val="20"/>
        </w:rPr>
        <w:t xml:space="preserve">   </w:t>
      </w:r>
      <w:r>
        <w:rPr>
          <w:rFonts w:ascii="Arial" w:cs="Arial" w:eastAsia="Arial" w:hAnsi="Arial"/>
          <w:b/>
          <w:bCs/>
          <w:sz w:val="20"/>
          <w:szCs w:val="20"/>
        </w:rPr>
        <w:t xml:space="preserve">Owner: </w:t>
      </w:r>
      <w:r>
        <w:rPr>
          <w:rFonts w:ascii="Arial" w:cs="Arial" w:eastAsia="Arial" w:hAnsi="Arial"/>
          <w:sz w:val="20"/>
          <w:szCs w:val="20"/>
        </w:rPr>
        <w:t xml:space="preserve">Database Administration</w:t>
      </w:r>
    </w:p>
    <w:p>
      <w:pPr>
        <w:pStyle w:val="Heading1"/>
        <w:spacing w:after="120" w:before="300"/>
      </w:pPr>
      <w:r>
        <w:rPr>
          <w:rFonts w:ascii="Arial" w:cs="Arial" w:eastAsia="Arial" w:hAnsi="Arial"/>
          <w:b/>
          <w:bCs/>
          <w:color w:val="2E4A7A"/>
          <w:sz w:val="28"/>
          <w:szCs w:val="28"/>
        </w:rPr>
        <w:t xml:space="preserve">Section 4 - Data-in-Transit Encryption Controls</w:t>
      </w:r>
    </w:p>
    <w:p>
      <w:pPr>
        <w:spacing w:after="100" w:before="100"/>
      </w:pPr>
      <w:r>
        <w:rPr>
          <w:rFonts w:ascii="Arial" w:cs="Arial" w:eastAsia="Arial" w:hAnsi="Arial"/>
          <w:sz w:val="20"/>
          <w:szCs w:val="20"/>
        </w:rPr>
        <w:t xml:space="preserve">The following controls govern encryption of data transmitted across networks, including internal networks, external connections, and API communications. All transit encryption shall use protocols listed in Appendix B (Approved Protocol Registry). Legacy protocols identified in Appendix C are prohibited.</w:t>
      </w:r>
    </w:p>
    <w:p>
      <w:pPr>
        <w:pStyle w:val="Heading3"/>
        <w:spacing w:after="60" w:before="160"/>
      </w:pPr>
      <w:r>
        <w:rPr>
          <w:rFonts w:ascii="Arial" w:cs="Arial" w:eastAsia="Arial" w:hAnsi="Arial"/>
          <w:b/>
          <w:bCs/>
          <w:color w:val="374B6E"/>
          <w:sz w:val="22"/>
          <w:szCs w:val="22"/>
        </w:rPr>
        <w:t xml:space="preserve">ENC02.001 - TLS Requirements for Web Applications</w:t>
      </w:r>
    </w:p>
    <w:p>
      <w:pPr>
        <w:spacing w:after="60" w:before="80"/>
      </w:pPr>
      <w:r>
        <w:rPr>
          <w:rFonts w:ascii="Arial" w:cs="Arial" w:eastAsia="Arial" w:hAnsi="Arial"/>
          <w:b/>
          <w:bCs/>
          <w:sz w:val="20"/>
          <w:szCs w:val="20"/>
        </w:rPr>
        <w:t xml:space="preserve">Requirement: </w:t>
      </w:r>
      <w:r>
        <w:rPr>
          <w:rFonts w:ascii="Arial" w:cs="Arial" w:eastAsia="Arial" w:hAnsi="Arial"/>
          <w:sz w:val="20"/>
          <w:szCs w:val="20"/>
        </w:rPr>
        <w:t xml:space="preserve">All web applications and APIs accessible internally or externally shall enforce TLS 1.2 or TLS 1.3. TLS 1.0 and TLS 1.1 are prohibited per Appendix C. Certificate management shall follow the procedures in Appendix D. Expired or self-signed certificates on production systems constitute a Level 3 policy violation per the Acceptable Use Policy, Section 6. Automated certificate monitoring shall alert the Security Operations team 30 days before expiration.</w:t>
      </w:r>
    </w:p>
    <w:p>
      <w:pPr>
        <w:spacing w:after="120" w:before="40"/>
      </w:pPr>
      <w:r>
        <w:rPr>
          <w:rFonts w:ascii="Arial" w:cs="Arial" w:eastAsia="Arial" w:hAnsi="Arial"/>
          <w:b/>
          <w:bCs/>
          <w:sz w:val="20"/>
          <w:szCs w:val="20"/>
        </w:rPr>
        <w:t xml:space="preserve">NIST Mapping: </w:t>
      </w:r>
      <w:r>
        <w:rPr>
          <w:rFonts w:ascii="Arial" w:cs="Arial" w:eastAsia="Arial" w:hAnsi="Arial"/>
          <w:color w:val="374B6E"/>
          <w:sz w:val="20"/>
          <w:szCs w:val="20"/>
        </w:rPr>
        <w:t xml:space="preserve">SC-8, SC-8(1)</w:t>
      </w:r>
      <w:r>
        <w:rPr>
          <w:rFonts w:ascii="Arial" w:cs="Arial" w:eastAsia="Arial" w:hAnsi="Arial"/>
          <w:sz w:val="20"/>
          <w:szCs w:val="20"/>
        </w:rPr>
        <w:t xml:space="preserve">   </w:t>
      </w:r>
      <w:r>
        <w:rPr>
          <w:rFonts w:ascii="Arial" w:cs="Arial" w:eastAsia="Arial" w:hAnsi="Arial"/>
          <w:b/>
          <w:bCs/>
          <w:sz w:val="20"/>
          <w:szCs w:val="20"/>
        </w:rPr>
        <w:t xml:space="preserve">Status: </w:t>
      </w:r>
      <w:r>
        <w:rPr>
          <w:rFonts w:ascii="Arial" w:cs="Arial" w:eastAsia="Arial" w:hAnsi="Arial"/>
          <w:sz w:val="20"/>
          <w:szCs w:val="20"/>
        </w:rPr>
        <w:t xml:space="preserve">Implemented</w:t>
      </w:r>
      <w:r>
        <w:rPr>
          <w:rFonts w:ascii="Arial" w:cs="Arial" w:eastAsia="Arial" w:hAnsi="Arial"/>
          <w:sz w:val="20"/>
          <w:szCs w:val="20"/>
        </w:rPr>
        <w:t xml:space="preserve">   </w:t>
      </w:r>
      <w:r>
        <w:rPr>
          <w:rFonts w:ascii="Arial" w:cs="Arial" w:eastAsia="Arial" w:hAnsi="Arial"/>
          <w:b/>
          <w:bCs/>
          <w:sz w:val="20"/>
          <w:szCs w:val="20"/>
        </w:rPr>
        <w:t xml:space="preserve">Owner: </w:t>
      </w:r>
      <w:r>
        <w:rPr>
          <w:rFonts w:ascii="Arial" w:cs="Arial" w:eastAsia="Arial" w:hAnsi="Arial"/>
          <w:sz w:val="20"/>
          <w:szCs w:val="20"/>
        </w:rPr>
        <w:t xml:space="preserve">Security Engineering</w:t>
      </w:r>
    </w:p>
    <w:p>
      <w:pPr>
        <w:pStyle w:val="Heading3"/>
        <w:spacing w:after="60" w:before="160"/>
      </w:pPr>
      <w:r>
        <w:rPr>
          <w:rFonts w:ascii="Arial" w:cs="Arial" w:eastAsia="Arial" w:hAnsi="Arial"/>
          <w:b/>
          <w:bCs/>
          <w:color w:val="374B6E"/>
          <w:sz w:val="22"/>
          <w:szCs w:val="22"/>
        </w:rPr>
        <w:t xml:space="preserve">ENC02.002 - Email Encryption for CUI Transmission</w:t>
      </w:r>
    </w:p>
    <w:p>
      <w:pPr>
        <w:spacing w:after="60" w:before="80"/>
      </w:pPr>
      <w:r>
        <w:rPr>
          <w:rFonts w:ascii="Arial" w:cs="Arial" w:eastAsia="Arial" w:hAnsi="Arial"/>
          <w:b/>
          <w:bCs/>
          <w:sz w:val="20"/>
          <w:szCs w:val="20"/>
        </w:rPr>
        <w:t xml:space="preserve">Requirement: </w:t>
      </w:r>
      <w:r>
        <w:rPr>
          <w:rFonts w:ascii="Arial" w:cs="Arial" w:eastAsia="Arial" w:hAnsi="Arial"/>
          <w:sz w:val="20"/>
          <w:szCs w:val="20"/>
        </w:rPr>
        <w:t xml:space="preserve">CUI transmitted via email shall use S/MIME or an approved secure messaging gateway. Auto-forwarding of encrypted email to external accounts is prohibited per the Acceptable Use Policy (POL-AU-2026-006). For inter-agency CUI transmission, the organization shall use approved government messaging solutions. See the DLP Standard (STD-DLP-2026-011), Control DLP01.002, for the automated content inspection requirements that enforce this control.</w:t>
      </w:r>
    </w:p>
    <w:p>
      <w:pPr>
        <w:spacing w:after="120" w:before="40"/>
      </w:pPr>
      <w:r>
        <w:rPr>
          <w:rFonts w:ascii="Arial" w:cs="Arial" w:eastAsia="Arial" w:hAnsi="Arial"/>
          <w:b/>
          <w:bCs/>
          <w:sz w:val="20"/>
          <w:szCs w:val="20"/>
        </w:rPr>
        <w:t xml:space="preserve">NIST Mapping: </w:t>
      </w:r>
      <w:r>
        <w:rPr>
          <w:rFonts w:ascii="Arial" w:cs="Arial" w:eastAsia="Arial" w:hAnsi="Arial"/>
          <w:color w:val="374B6E"/>
          <w:sz w:val="20"/>
          <w:szCs w:val="20"/>
        </w:rPr>
        <w:t xml:space="preserve">SC-8</w:t>
      </w:r>
      <w:r>
        <w:rPr>
          <w:rFonts w:ascii="Arial" w:cs="Arial" w:eastAsia="Arial" w:hAnsi="Arial"/>
          <w:sz w:val="20"/>
          <w:szCs w:val="20"/>
        </w:rPr>
        <w:t xml:space="preserve">   </w:t>
      </w:r>
      <w:r>
        <w:rPr>
          <w:rFonts w:ascii="Arial" w:cs="Arial" w:eastAsia="Arial" w:hAnsi="Arial"/>
          <w:b/>
          <w:bCs/>
          <w:sz w:val="20"/>
          <w:szCs w:val="20"/>
        </w:rPr>
        <w:t xml:space="preserve">Status: </w:t>
      </w:r>
      <w:r>
        <w:rPr>
          <w:rFonts w:ascii="Arial" w:cs="Arial" w:eastAsia="Arial" w:hAnsi="Arial"/>
          <w:sz w:val="20"/>
          <w:szCs w:val="20"/>
        </w:rPr>
        <w:t xml:space="preserve">Partially Implemented</w:t>
      </w:r>
      <w:r>
        <w:rPr>
          <w:rFonts w:ascii="Arial" w:cs="Arial" w:eastAsia="Arial" w:hAnsi="Arial"/>
          <w:sz w:val="20"/>
          <w:szCs w:val="20"/>
        </w:rPr>
        <w:t xml:space="preserve">   </w:t>
      </w:r>
      <w:r>
        <w:rPr>
          <w:rFonts w:ascii="Arial" w:cs="Arial" w:eastAsia="Arial" w:hAnsi="Arial"/>
          <w:b/>
          <w:bCs/>
          <w:sz w:val="20"/>
          <w:szCs w:val="20"/>
        </w:rPr>
        <w:t xml:space="preserve">Owner: </w:t>
      </w:r>
      <w:r>
        <w:rPr>
          <w:rFonts w:ascii="Arial" w:cs="Arial" w:eastAsia="Arial" w:hAnsi="Arial"/>
          <w:sz w:val="20"/>
          <w:szCs w:val="20"/>
        </w:rPr>
        <w:t xml:space="preserve">Security Engineering</w:t>
      </w:r>
    </w:p>
    <w:p>
      <w:pPr>
        <w:pStyle w:val="Heading1"/>
        <w:spacing w:after="120" w:before="300"/>
      </w:pPr>
      <w:r>
        <w:rPr>
          <w:rFonts w:ascii="Arial" w:cs="Arial" w:eastAsia="Arial" w:hAnsi="Arial"/>
          <w:b/>
          <w:bCs/>
          <w:color w:val="2E4A7A"/>
          <w:sz w:val="28"/>
          <w:szCs w:val="28"/>
        </w:rPr>
        <w:t xml:space="preserve">Section 5 - Key Management and PKI Controls</w:t>
      </w:r>
    </w:p>
    <w:p>
      <w:pPr>
        <w:spacing w:after="100" w:before="100"/>
      </w:pPr>
      <w:r>
        <w:rPr>
          <w:rFonts w:ascii="Arial" w:cs="Arial" w:eastAsia="Arial" w:hAnsi="Arial"/>
          <w:sz w:val="20"/>
          <w:szCs w:val="20"/>
        </w:rPr>
        <w:t xml:space="preserve">The following controls govern cryptographic key lifecycle management. These are presented in tabular format for rapid reference during security assessments and audits. All key management procedures reference Appendix A for the detailed key lifecycle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700"/>
        <w:gridCol w:w="900"/>
        <w:gridCol w:w="1300"/>
        <w:gridCol w:w="1460"/>
      </w:tblGrid>
      <w:tr>
        <w:tc>
          <w:tcPr>
            <w:tcW w:type="dxa" w:w="13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Control ID</w:t>
            </w:r>
          </w:p>
        </w:tc>
        <w:tc>
          <w:tcPr>
            <w:tcW w:type="dxa" w:w="1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7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NIST</w:t>
            </w:r>
          </w:p>
        </w:tc>
        <w:tc>
          <w:tcPr>
            <w:tcW w:type="dxa" w:w="13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4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ENC03.001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Key Generation Standards</w:t>
            </w:r>
          </w:p>
        </w:tc>
        <w:tc>
          <w:tcPr>
            <w:tcW w:type="dxa" w:w="2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Cryptographic keys shall be generated using NIST SP 800-133-approved methods with a FIPS 140-3 validated RNG. Key length minimums: AES 256-bit, RSA 3072-bit, ECDSA P-384. Keys generated outside these parameters shall not be used for CUI protection.</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SC-12</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4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Security Engineering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ENC03.002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Storage and Protection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Private keys shall be stored in a FIPS 140-3 Level 2 or higher Hardware Security Module (HSM). Plaintext private keys shall never reside on general-purpose file systems. HSM access logs shall be reviewed monthly per Appendix A, Section 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SC-12(1)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Security Engineering</w:t>
            </w:r>
          </w:p>
        </w:tc>
      </w:tr>
      <w:tr>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ENC04.001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Key Rotation Schedule</w:t>
            </w:r>
          </w:p>
        </w:tc>
        <w:tc>
          <w:tcPr>
            <w:tcW w:type="dxa" w:w="2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Symmetric keys used for CUI encryption shall be rotated annually or immediately upon suspected compromise. TLS certificates shall be rotated annually. Key rotation events shall be logged in the key management system and reported to the ISSO within 48 hours of completion.</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SC-12</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4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Security Engineering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ENC04.002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Key Revocation and Destruction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Compromised or expired keys shall be revoked and destroyed within 4 hours of determination. Destruction shall use NIST SP 800-88 approved methods. Certificate revocation shall update the organizational CRL within 1 hour. Destruction events are documented per Appendix A, Section 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Security Engineering</w:t>
            </w:r>
          </w:p>
        </w:tc>
      </w:tr>
    </w:tbl>
    <w:p>
      <w:pPr>
        <w:pStyle w:val="Heading1"/>
        <w:spacing w:after="120" w:before="300"/>
      </w:pPr>
      <w:r>
        <w:rPr>
          <w:rFonts w:ascii="Arial" w:cs="Arial" w:eastAsia="Arial" w:hAnsi="Arial"/>
          <w:b/>
          <w:bCs/>
          <w:color w:val="2E4A7A"/>
          <w:sz w:val="28"/>
          <w:szCs w:val="28"/>
        </w:rPr>
        <w:t xml:space="preserve">Enforcement</w:t>
      </w:r>
    </w:p>
    <w:p>
      <w:pPr>
        <w:spacing w:after="100" w:before="100"/>
      </w:pPr>
      <w:r>
        <w:rPr>
          <w:rFonts w:ascii="Arial" w:cs="Arial" w:eastAsia="Arial" w:hAnsi="Arial"/>
          <w:sz w:val="20"/>
          <w:szCs w:val="20"/>
        </w:rPr>
        <w:t xml:space="preserve">Encryption control failures detected during configuration scanning (CFG03.001) shall generate POA&amp;M entries per the Risk Management Policy (POL-RM-2026-009), Control RMP03.001. Systems found to be out of compliance with this policy shall not be authorized to process CUI until remediation is complete and verified.</w:t>
      </w:r>
    </w:p>
    <w:p>
      <w:pPr>
        <w:spacing w:after="100" w:before="100"/>
      </w:pPr>
      <w:r>
        <w:rPr>
          <w:rFonts w:ascii="Arial" w:cs="Arial" w:eastAsia="Arial" w:hAnsi="Arial"/>
          <w:sz w:val="20"/>
          <w:szCs w:val="20"/>
        </w:rPr>
        <w:t xml:space="preserve">For questions about FIPS-validated module selection, see the </w:t>
      </w:r>
      <w:hyperlink w:history="1" r:id="rIdd-hx7nifquraawcwcfdmv">
        <w:r>
          <w:rPr>
            <w:rFonts w:ascii="Arial" w:cs="Arial" w:eastAsia="Arial" w:hAnsi="Arial"/>
            <w:color w:val="1155CC"/>
            <w:sz w:val="20"/>
            <w:szCs w:val="20"/>
            <w:u w:val="single"/>
          </w:rPr>
          <w:t xml:space="preserve">NIST CMVP search tool</w:t>
        </w:r>
      </w:hyperlink>
      <w:r>
        <w:rPr>
          <w:rFonts w:ascii="Arial" w:cs="Arial" w:eastAsia="Arial" w:hAnsi="Arial"/>
          <w:sz w:val="20"/>
          <w:szCs w:val="20"/>
        </w:rPr>
        <w:t xml:space="preserve">. For certificate procurement procedures, contact the PKI team via the IT Service Portal.</w:t>
      </w:r>
    </w:p>
    <w:p>
      <w:pPr>
        <w:pStyle w:val="Heading1"/>
        <w:spacing w:after="120" w:before="300"/>
      </w:pPr>
      <w:r>
        <w:rPr>
          <w:rFonts w:ascii="Arial" w:cs="Arial" w:eastAsia="Arial" w:hAnsi="Arial"/>
          <w:b/>
          <w:bCs/>
          <w:color w:val="2E4A7A"/>
          <w:sz w:val="28"/>
          <w:szCs w:val="28"/>
        </w:rPr>
        <w:t xml:space="preserve">References</w:t>
      </w:r>
    </w:p>
    <w:p>
      <w:pPr>
        <w:spacing w:after="100" w:before="100"/>
      </w:pPr>
      <w:r>
        <w:rPr>
          <w:rFonts w:ascii="Arial" w:cs="Arial" w:eastAsia="Arial" w:hAnsi="Arial"/>
          <w:sz w:val="20"/>
          <w:szCs w:val="20"/>
        </w:rPr>
        <w:t xml:space="preserve">Configuration Management Policy (POL-CM-2026-004)</w:t>
      </w:r>
    </w:p>
    <w:p>
      <w:pPr>
        <w:spacing w:after="100" w:before="100"/>
      </w:pPr>
      <w:r>
        <w:rPr>
          <w:rFonts w:ascii="Arial" w:cs="Arial" w:eastAsia="Arial" w:hAnsi="Arial"/>
          <w:sz w:val="20"/>
          <w:szCs w:val="20"/>
        </w:rPr>
        <w:t xml:space="preserve">Data Loss Prevention Standard (STD-DLP-2026-011)</w:t>
      </w:r>
    </w:p>
    <w:p>
      <w:pPr>
        <w:spacing w:after="100" w:before="100"/>
      </w:pPr>
      <w:r>
        <w:rPr>
          <w:rFonts w:ascii="Arial" w:cs="Arial" w:eastAsia="Arial" w:hAnsi="Arial"/>
          <w:sz w:val="20"/>
          <w:szCs w:val="20"/>
        </w:rPr>
        <w:t xml:space="preserve">Risk Management Policy (POL-RM-2026-009)</w:t>
      </w:r>
    </w:p>
    <w:p>
      <w:pPr>
        <w:spacing w:after="100" w:before="100"/>
      </w:pPr>
      <w:r>
        <w:rPr>
          <w:rFonts w:ascii="Arial" w:cs="Arial" w:eastAsia="Arial" w:hAnsi="Arial"/>
          <w:sz w:val="20"/>
          <w:szCs w:val="20"/>
        </w:rPr>
        <w:t xml:space="preserve">NIST SP 800-111 | </w:t>
      </w:r>
      <w:hyperlink w:history="1" r:id="rIdhh-ywpzno1c0isd2wnan_">
        <w:r>
          <w:rPr>
            <w:rFonts w:ascii="Arial" w:cs="Arial" w:eastAsia="Arial" w:hAnsi="Arial"/>
            <w:color w:val="1155CC"/>
            <w:sz w:val="20"/>
            <w:szCs w:val="20"/>
            <w:u w:val="single"/>
          </w:rPr>
          <w:t xml:space="preserve">Guide to Storage Encryption for End User Devices</w:t>
        </w:r>
      </w:hyperlink>
    </w:p>
    <w:p>
      <w:pPr>
        <w:spacing w:after="100" w:before="100"/>
      </w:pPr>
      <w:r>
        <w:rPr>
          <w:rFonts w:ascii="Arial" w:cs="Arial" w:eastAsia="Arial" w:hAnsi="Arial"/>
          <w:sz w:val="20"/>
          <w:szCs w:val="20"/>
        </w:rPr>
        <w:t xml:space="preserve">NIST SP 800-52 Rev 2 | </w:t>
      </w:r>
      <w:hyperlink w:history="1" r:id="rIdxismj8w19ifn2fin9nrg4">
        <w:r>
          <w:rPr>
            <w:rFonts w:ascii="Arial" w:cs="Arial" w:eastAsia="Arial" w:hAnsi="Arial"/>
            <w:color w:val="1155CC"/>
            <w:sz w:val="20"/>
            <w:szCs w:val="20"/>
            <w:u w:val="single"/>
          </w:rPr>
          <w:t xml:space="preserve">Guidelines for TLS Implementations</w:t>
        </w:r>
      </w:hyperlink>
    </w:p>
    <w:p>
      <w:pPr>
        <w:spacing w:after="100" w:before="100"/>
      </w:pPr>
      <w:r>
        <w:rPr>
          <w:rFonts w:ascii="Arial" w:cs="Arial" w:eastAsia="Arial" w:hAnsi="Arial"/>
          <w:sz w:val="20"/>
          <w:szCs w:val="20"/>
        </w:rPr>
        <w:t xml:space="preserve">FIPS 140-3 | </w:t>
      </w:r>
      <w:hyperlink w:history="1" r:id="rId1xwdpcatwllgguej1l-wr">
        <w:r>
          <w:rPr>
            <w:rFonts w:ascii="Arial" w:cs="Arial" w:eastAsia="Arial" w:hAnsi="Arial"/>
            <w:color w:val="1155CC"/>
            <w:sz w:val="20"/>
            <w:szCs w:val="20"/>
            <w:u w:val="single"/>
          </w:rPr>
          <w:t xml:space="preserve">Security Requirements for Cryptographic Modules</w:t>
        </w:r>
      </w:hyperlink>
    </w:p>
    <w:p>
      <w:pPr>
        <w:pBdr>
          <w:bottom w:val="single" w:color="2E4A7A" w:sz="6" w:space="1"/>
        </w:pBdr>
        <w:spacing w:after="160" w:before="160"/>
      </w:pPr>
    </w:p>
    <w:p>
      <w:pPr>
        <w:pStyle w:val="Heading1"/>
        <w:spacing w:after="120" w:before="300"/>
      </w:pPr>
      <w:r>
        <w:rPr>
          <w:rFonts w:ascii="Arial" w:cs="Arial" w:eastAsia="Arial" w:hAnsi="Arial"/>
          <w:b/>
          <w:bCs/>
          <w:color w:val="2E4A7A"/>
          <w:sz w:val="28"/>
          <w:szCs w:val="28"/>
        </w:rPr>
        <w:t xml:space="preserve">Appendix A - Key Lifecycle Management Procedures</w:t>
      </w:r>
    </w:p>
    <w:p>
      <w:pPr>
        <w:spacing w:after="100" w:before="100"/>
      </w:pPr>
      <w:r>
        <w:rPr>
          <w:rFonts w:ascii="Arial" w:cs="Arial" w:eastAsia="Arial" w:hAnsi="Arial"/>
          <w:sz w:val="20"/>
          <w:szCs w:val="20"/>
        </w:rPr>
        <w:t xml:space="preserve">This appendix contains the procedural detail supporting key management controls ENC03.001, ENC03.002, ENC04.001, and ENC04.002. It also contains two additional controls governing key escrow and key ceremony requirements that apply only to systems processing data classified at FIPS High impact level.</w:t>
      </w:r>
    </w:p>
    <w:p>
      <w:pPr>
        <w:pStyle w:val="Heading2"/>
        <w:spacing w:after="80" w:before="220"/>
      </w:pPr>
      <w:r>
        <w:rPr>
          <w:rFonts w:ascii="Arial" w:cs="Arial" w:eastAsia="Arial" w:hAnsi="Arial"/>
          <w:b/>
          <w:bCs/>
          <w:color w:val="1F3461"/>
          <w:sz w:val="24"/>
          <w:szCs w:val="24"/>
        </w:rPr>
        <w:t xml:space="preserve">Appendix A Controls - High Impact Key Management</w:t>
      </w:r>
    </w:p>
    <w:p>
      <w:pPr>
        <w:spacing w:after="100" w:before="100"/>
      </w:pPr>
      <w:r>
        <w:rPr>
          <w:rFonts w:ascii="Arial" w:cs="Arial" w:eastAsia="Arial" w:hAnsi="Arial"/>
          <w:sz w:val="20"/>
          <w:szCs w:val="20"/>
        </w:rPr>
        <w:t xml:space="preserve">The following controls apply to systems designated FIPS 199 High. For Moderate-impact systems, the body controls in Section 5 are sufficient.</w:t>
      </w:r>
    </w:p>
    <w:p>
      <w:pPr>
        <w:pStyle w:val="Heading3"/>
        <w:spacing w:after="60" w:before="160"/>
      </w:pPr>
      <w:r>
        <w:rPr>
          <w:rFonts w:ascii="Arial" w:cs="Arial" w:eastAsia="Arial" w:hAnsi="Arial"/>
          <w:b/>
          <w:bCs/>
          <w:color w:val="374B6E"/>
          <w:sz w:val="22"/>
          <w:szCs w:val="22"/>
        </w:rPr>
        <w:t xml:space="preserve">ENC05.001 - Key Escrow for High-Impact Systems</w:t>
      </w:r>
    </w:p>
    <w:p>
      <w:pPr>
        <w:spacing w:after="60" w:before="80"/>
      </w:pPr>
      <w:r>
        <w:rPr>
          <w:rFonts w:ascii="Arial" w:cs="Arial" w:eastAsia="Arial" w:hAnsi="Arial"/>
          <w:b/>
          <w:bCs/>
          <w:sz w:val="20"/>
          <w:szCs w:val="20"/>
        </w:rPr>
        <w:t xml:space="preserve">Requirement: </w:t>
      </w:r>
      <w:r>
        <w:rPr>
          <w:rFonts w:ascii="Arial" w:cs="Arial" w:eastAsia="Arial" w:hAnsi="Arial"/>
          <w:sz w:val="20"/>
          <w:szCs w:val="20"/>
        </w:rPr>
        <w:t xml:space="preserve">Encryption keys protecting High-impact systems shall be escrowed with a secondary custodian independent of the primary key owner. Escrowed keys shall be stored in a separate HSM partition with dual-control access requiring two authorized custodians. Escrow access events shall be logged and reviewed by the ISSO within 24 hours. For key escrow procedures, contact the Security Engineering team.</w:t>
      </w:r>
    </w:p>
    <w:p>
      <w:pPr>
        <w:spacing w:after="120" w:before="40"/>
      </w:pPr>
      <w:r>
        <w:rPr>
          <w:rFonts w:ascii="Arial" w:cs="Arial" w:eastAsia="Arial" w:hAnsi="Arial"/>
          <w:b/>
          <w:bCs/>
          <w:sz w:val="20"/>
          <w:szCs w:val="20"/>
        </w:rPr>
        <w:t xml:space="preserve">NIST Mapping: </w:t>
      </w:r>
      <w:r>
        <w:rPr>
          <w:rFonts w:ascii="Arial" w:cs="Arial" w:eastAsia="Arial" w:hAnsi="Arial"/>
          <w:color w:val="374B6E"/>
          <w:sz w:val="20"/>
          <w:szCs w:val="20"/>
        </w:rPr>
        <w:t xml:space="preserve">SC-12(6)</w:t>
      </w:r>
      <w:r>
        <w:rPr>
          <w:rFonts w:ascii="Arial" w:cs="Arial" w:eastAsia="Arial" w:hAnsi="Arial"/>
          <w:sz w:val="20"/>
          <w:szCs w:val="20"/>
        </w:rPr>
        <w:t xml:space="preserve">   </w:t>
      </w:r>
      <w:r>
        <w:rPr>
          <w:rFonts w:ascii="Arial" w:cs="Arial" w:eastAsia="Arial" w:hAnsi="Arial"/>
          <w:b/>
          <w:bCs/>
          <w:sz w:val="20"/>
          <w:szCs w:val="20"/>
        </w:rPr>
        <w:t xml:space="preserve">Status: </w:t>
      </w:r>
      <w:r>
        <w:rPr>
          <w:rFonts w:ascii="Arial" w:cs="Arial" w:eastAsia="Arial" w:hAnsi="Arial"/>
          <w:sz w:val="20"/>
          <w:szCs w:val="20"/>
        </w:rPr>
        <w:t xml:space="preserve">Implemented</w:t>
      </w:r>
      <w:r>
        <w:rPr>
          <w:rFonts w:ascii="Arial" w:cs="Arial" w:eastAsia="Arial" w:hAnsi="Arial"/>
          <w:sz w:val="20"/>
          <w:szCs w:val="20"/>
        </w:rPr>
        <w:t xml:space="preserve">   </w:t>
      </w:r>
      <w:r>
        <w:rPr>
          <w:rFonts w:ascii="Arial" w:cs="Arial" w:eastAsia="Arial" w:hAnsi="Arial"/>
          <w:b/>
          <w:bCs/>
          <w:sz w:val="20"/>
          <w:szCs w:val="20"/>
        </w:rPr>
        <w:t xml:space="preserve">Owner: </w:t>
      </w:r>
      <w:r>
        <w:rPr>
          <w:rFonts w:ascii="Arial" w:cs="Arial" w:eastAsia="Arial" w:hAnsi="Arial"/>
          <w:sz w:val="20"/>
          <w:szCs w:val="20"/>
        </w:rPr>
        <w:t xml:space="preserve">Security Engineering</w:t>
      </w:r>
    </w:p>
    <w:p>
      <w:pPr>
        <w:pStyle w:val="Heading3"/>
        <w:spacing w:after="60" w:before="160"/>
      </w:pPr>
      <w:r>
        <w:rPr>
          <w:rFonts w:ascii="Arial" w:cs="Arial" w:eastAsia="Arial" w:hAnsi="Arial"/>
          <w:b/>
          <w:bCs/>
          <w:color w:val="374B6E"/>
          <w:sz w:val="22"/>
          <w:szCs w:val="22"/>
        </w:rPr>
        <w:t xml:space="preserve">ENC05.002 - Key Generation Ceremony Requirements</w:t>
      </w:r>
    </w:p>
    <w:p>
      <w:pPr>
        <w:spacing w:after="60" w:before="80"/>
      </w:pPr>
      <w:r>
        <w:rPr>
          <w:rFonts w:ascii="Arial" w:cs="Arial" w:eastAsia="Arial" w:hAnsi="Arial"/>
          <w:b/>
          <w:bCs/>
          <w:sz w:val="20"/>
          <w:szCs w:val="20"/>
        </w:rPr>
        <w:t xml:space="preserve">Requirement: </w:t>
      </w:r>
      <w:r>
        <w:rPr>
          <w:rFonts w:ascii="Arial" w:cs="Arial" w:eastAsia="Arial" w:hAnsi="Arial"/>
          <w:sz w:val="20"/>
          <w:szCs w:val="20"/>
        </w:rPr>
        <w:t xml:space="preserve">Root CA key generation and HSM master key initialization shall follow a documented key ceremony procedure with a minimum of three witnesses, one of whom shall be the ISSM or designated representative. The ceremony shall be video recorded and the recording stored per the Records Retention Policy. Key ceremony logs shall be retained for the life of the key plus 5 years.</w:t>
      </w:r>
    </w:p>
    <w:p>
      <w:pPr>
        <w:spacing w:after="120" w:before="40"/>
      </w:pPr>
      <w:r>
        <w:rPr>
          <w:rFonts w:ascii="Arial" w:cs="Arial" w:eastAsia="Arial" w:hAnsi="Arial"/>
          <w:b/>
          <w:bCs/>
          <w:sz w:val="20"/>
          <w:szCs w:val="20"/>
        </w:rPr>
        <w:t xml:space="preserve">NIST Mapping: </w:t>
      </w:r>
      <w:r>
        <w:rPr>
          <w:rFonts w:ascii="Arial" w:cs="Arial" w:eastAsia="Arial" w:hAnsi="Arial"/>
          <w:color w:val="374B6E"/>
          <w:sz w:val="20"/>
          <w:szCs w:val="20"/>
        </w:rPr>
        <w:t xml:space="preserve">SC-12</w:t>
      </w:r>
      <w:r>
        <w:rPr>
          <w:rFonts w:ascii="Arial" w:cs="Arial" w:eastAsia="Arial" w:hAnsi="Arial"/>
          <w:sz w:val="20"/>
          <w:szCs w:val="20"/>
        </w:rPr>
        <w:t xml:space="preserve">   </w:t>
      </w:r>
      <w:r>
        <w:rPr>
          <w:rFonts w:ascii="Arial" w:cs="Arial" w:eastAsia="Arial" w:hAnsi="Arial"/>
          <w:b/>
          <w:bCs/>
          <w:sz w:val="20"/>
          <w:szCs w:val="20"/>
        </w:rPr>
        <w:t xml:space="preserve">Status: </w:t>
      </w:r>
      <w:r>
        <w:rPr>
          <w:rFonts w:ascii="Arial" w:cs="Arial" w:eastAsia="Arial" w:hAnsi="Arial"/>
          <w:sz w:val="20"/>
          <w:szCs w:val="20"/>
        </w:rPr>
        <w:t xml:space="preserve">Implemented</w:t>
      </w:r>
      <w:r>
        <w:rPr>
          <w:rFonts w:ascii="Arial" w:cs="Arial" w:eastAsia="Arial" w:hAnsi="Arial"/>
          <w:sz w:val="20"/>
          <w:szCs w:val="20"/>
        </w:rPr>
        <w:t xml:space="preserve">   </w:t>
      </w:r>
      <w:r>
        <w:rPr>
          <w:rFonts w:ascii="Arial" w:cs="Arial" w:eastAsia="Arial" w:hAnsi="Arial"/>
          <w:b/>
          <w:bCs/>
          <w:sz w:val="20"/>
          <w:szCs w:val="20"/>
        </w:rPr>
        <w:t xml:space="preserve">Owner: </w:t>
      </w:r>
      <w:r>
        <w:rPr>
          <w:rFonts w:ascii="Arial" w:cs="Arial" w:eastAsia="Arial" w:hAnsi="Arial"/>
          <w:sz w:val="20"/>
          <w:szCs w:val="20"/>
        </w:rPr>
        <w:t xml:space="preserve">ISSO / Security Engineering</w:t>
      </w:r>
    </w:p>
    <w:p>
      <w:pPr>
        <w:pStyle w:val="Heading2"/>
        <w:spacing w:after="80" w:before="220"/>
      </w:pPr>
      <w:r>
        <w:rPr>
          <w:rFonts w:ascii="Arial" w:cs="Arial" w:eastAsia="Arial" w:hAnsi="Arial"/>
          <w:b/>
          <w:bCs/>
          <w:color w:val="1F3461"/>
          <w:sz w:val="24"/>
          <w:szCs w:val="24"/>
        </w:rPr>
        <w:t xml:space="preserve">Appendix B - Approved Protocol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TLS</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1.2, 1.3</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All web and API traffic</w:t>
            </w:r>
          </w:p>
        </w:tc>
        <w:tc>
          <w:tcPr>
            <w:tcW w:type="dxa" w:w="2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1.3 preferred. FIPS cipher suites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Administrative access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RSA 3072-bit or ECDSA P-384 keys only.</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IPSec / IKEv2</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IKEv2</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VPN tunnels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AES-256-GCM, SHA-384. See ACC02.001.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S/MIME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encryption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Required for CUI email. See ENC02.002.</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HTTPS</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via TLS 1.2+</w:t>
            </w:r>
          </w:p>
        </w:tc>
        <w:tc>
          <w:tcPr>
            <w:tcW w:type="dxa" w:w="25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Web applications</w:t>
            </w:r>
          </w:p>
        </w:tc>
        <w:tc>
          <w:tcPr>
            <w:tcW w:type="dxa" w:w="2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HSTS enforced with 1-year max-age.</w:t>
            </w:r>
          </w:p>
        </w:tc>
      </w:tr>
    </w:tbl>
    <w:p>
      <w:pPr>
        <w:pStyle w:val="Heading2"/>
        <w:spacing w:after="80" w:before="220"/>
      </w:pPr>
      <w:r>
        <w:rPr>
          <w:rFonts w:ascii="Arial" w:cs="Arial" w:eastAsia="Arial" w:hAnsi="Arial"/>
          <w:b/>
          <w:bCs/>
          <w:color w:val="1F3461"/>
          <w:sz w:val="24"/>
          <w:szCs w:val="24"/>
        </w:rPr>
        <w:t xml:space="preserve">Appendix C - Prohibited Protocols</w:t>
      </w:r>
    </w:p>
    <w:p>
      <w:pPr>
        <w:spacing w:after="100" w:before="100"/>
      </w:pPr>
      <w:r>
        <w:rPr>
          <w:rFonts w:ascii="Arial" w:cs="Arial" w:eastAsia="Arial" w:hAnsi="Arial"/>
          <w:sz w:val="20"/>
          <w:szCs w:val="20"/>
        </w:rPr>
        <w:t xml:space="preserve">The following protocols are prohibited on all organizational systems. Discovery of these protocols during configuration scanning shall generate an immediate remediation ticket. Emergency exceptions require written ISSM approval and shall not exceed 30 days.</w:t>
      </w:r>
    </w:p>
    <w:p>
      <w:pPr>
        <w:spacing w:after="100" w:before="100"/>
      </w:pPr>
      <w:r>
        <w:rPr>
          <w:rFonts w:ascii="Arial" w:cs="Arial" w:eastAsia="Arial" w:hAnsi="Arial"/>
          <w:b/>
          <w:bCs/>
          <w:sz w:val="20"/>
          <w:szCs w:val="20"/>
        </w:rPr>
        <w:t xml:space="preserve">SSL 2.0 / 3.0: </w:t>
      </w:r>
      <w:r>
        <w:rPr>
          <w:rFonts w:ascii="Arial" w:cs="Arial" w:eastAsia="Arial" w:hAnsi="Arial"/>
          <w:sz w:val="20"/>
          <w:szCs w:val="20"/>
        </w:rPr>
        <w:t xml:space="preserve">All use cases - Broken cryptography. No exceptions.</w:t>
      </w:r>
    </w:p>
    <w:p>
      <w:pPr>
        <w:spacing w:after="100" w:before="100"/>
      </w:pPr>
      <w:r>
        <w:rPr>
          <w:rFonts w:ascii="Arial" w:cs="Arial" w:eastAsia="Arial" w:hAnsi="Arial"/>
          <w:b/>
          <w:bCs/>
          <w:sz w:val="20"/>
          <w:szCs w:val="20"/>
        </w:rPr>
        <w:t xml:space="preserve">TLS 1.0 / 1.1: </w:t>
      </w:r>
      <w:r>
        <w:rPr>
          <w:rFonts w:ascii="Arial" w:cs="Arial" w:eastAsia="Arial" w:hAnsi="Arial"/>
          <w:sz w:val="20"/>
          <w:szCs w:val="20"/>
        </w:rPr>
        <w:t xml:space="preserve">All use cases - Deprecated per NIST. Remove from all systems.</w:t>
      </w:r>
    </w:p>
    <w:p>
      <w:pPr>
        <w:spacing w:after="100" w:before="100"/>
      </w:pPr>
      <w:r>
        <w:rPr>
          <w:rFonts w:ascii="Arial" w:cs="Arial" w:eastAsia="Arial" w:hAnsi="Arial"/>
          <w:b/>
          <w:bCs/>
          <w:sz w:val="20"/>
          <w:szCs w:val="20"/>
        </w:rPr>
        <w:t xml:space="preserve">DES / 3DES: </w:t>
      </w:r>
      <w:r>
        <w:rPr>
          <w:rFonts w:ascii="Arial" w:cs="Arial" w:eastAsia="Arial" w:hAnsi="Arial"/>
          <w:sz w:val="20"/>
          <w:szCs w:val="20"/>
        </w:rPr>
        <w:t xml:space="preserve">Encryption - Insufficient key length. Replace with AES-256.</w:t>
      </w:r>
    </w:p>
    <w:p>
      <w:pPr>
        <w:spacing w:after="100" w:before="100"/>
      </w:pPr>
      <w:r>
        <w:rPr>
          <w:rFonts w:ascii="Arial" w:cs="Arial" w:eastAsia="Arial" w:hAnsi="Arial"/>
          <w:b/>
          <w:bCs/>
          <w:sz w:val="20"/>
          <w:szCs w:val="20"/>
        </w:rPr>
        <w:t xml:space="preserve">MD5: </w:t>
      </w:r>
      <w:r>
        <w:rPr>
          <w:rFonts w:ascii="Arial" w:cs="Arial" w:eastAsia="Arial" w:hAnsi="Arial"/>
          <w:sz w:val="20"/>
          <w:szCs w:val="20"/>
        </w:rPr>
        <w:t xml:space="preserve">Hashing - Collision vulnerable. Use SHA-256 or higher.</w:t>
      </w:r>
    </w:p>
    <w:p>
      <w:pPr>
        <w:spacing w:after="100" w:before="100"/>
      </w:pPr>
      <w:r>
        <w:rPr>
          <w:rFonts w:ascii="Arial" w:cs="Arial" w:eastAsia="Arial" w:hAnsi="Arial"/>
          <w:b/>
          <w:bCs/>
          <w:sz w:val="20"/>
          <w:szCs w:val="20"/>
        </w:rPr>
        <w:t xml:space="preserve">RC4: </w:t>
      </w:r>
      <w:r>
        <w:rPr>
          <w:rFonts w:ascii="Arial" w:cs="Arial" w:eastAsia="Arial" w:hAnsi="Arial"/>
          <w:sz w:val="20"/>
          <w:szCs w:val="20"/>
        </w:rPr>
        <w:t xml:space="preserve">Stream cipher - Cryptographically broken. No exceptions.</w:t>
      </w:r>
    </w:p>
    <w:p>
      <w:pPr>
        <w:pStyle w:val="Heading2"/>
        <w:spacing w:after="80" w:before="220"/>
      </w:pPr>
      <w:r>
        <w:rPr>
          <w:rFonts w:ascii="Arial" w:cs="Arial" w:eastAsia="Arial" w:hAnsi="Arial"/>
          <w:b/>
          <w:bCs/>
          <w:color w:val="1F3461"/>
          <w:sz w:val="24"/>
          <w:szCs w:val="24"/>
        </w:rPr>
        <w:t xml:space="preserve">Appendix D - Certificate Management Procedures</w:t>
      </w:r>
    </w:p>
    <w:p>
      <w:pPr>
        <w:spacing w:after="100" w:before="100"/>
      </w:pPr>
      <w:r>
        <w:rPr>
          <w:rFonts w:ascii="Arial" w:cs="Arial" w:eastAsia="Arial" w:hAnsi="Arial"/>
          <w:sz w:val="20"/>
          <w:szCs w:val="20"/>
        </w:rPr>
        <w:t xml:space="preserve">Certificates shall be issued from the organizational PKI or a GSA-approved external CA. The Security Engineering team maintains the certificate inventory in the CMDB. All certificate requests shall be submitted via the IT Service Portal. For PKI architecture documentation, see </w:t>
      </w:r>
      <w:hyperlink w:history="1" r:id="rIdpm_lz9ytrabdjrcgysvd3">
        <w:r>
          <w:rPr>
            <w:rFonts w:ascii="Arial" w:cs="Arial" w:eastAsia="Arial" w:hAnsi="Arial"/>
            <w:color w:val="1155CC"/>
            <w:sz w:val="20"/>
            <w:szCs w:val="20"/>
            <w:u w:val="single"/>
          </w:rPr>
          <w:t xml:space="preserve">PKI Operations Guide (SharePoint - internal)</w:t>
        </w:r>
      </w:hyperlink>
      <w:r>
        <w:rPr>
          <w:rFonts w:ascii="Arial" w:cs="Arial" w:eastAsia="Arial" w:hAnsi="Arial"/>
          <w:sz w:val="20"/>
          <w:szCs w:val="20"/>
        </w:rPr>
        <w:t xml:space="preserve">.</w:t>
      </w:r>
    </w:p>
    <w:p>
      <w:pPr>
        <w:pStyle w:val="Heading2"/>
        <w:spacing w:after="80" w:before="220"/>
      </w:pPr>
      <w:r>
        <w:rPr>
          <w:rFonts w:ascii="Arial" w:cs="Arial" w:eastAsia="Arial" w:hAnsi="Arial"/>
          <w:b/>
          <w:bCs/>
          <w:color w:val="1F3461"/>
          <w:sz w:val="24"/>
          <w:szCs w:val="24"/>
        </w:rPr>
        <w:t xml:space="preserve">Appendix E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2.2</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01/15/2026</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 Nakamura, Security Eng.</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Added ENC05.001-002 for High-impact systems. Appendix C expanded.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07/01/2025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 Nakamura, Security Eng.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Updated TLS requirements to mandate 1.3 preference. Removed TLS 1.1.</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2.0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01/20/2025</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M. Johnson</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Aligned to FIPS 140-3. Replaced FIPS 140-2 references throughout.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4A7A"/>
      <w:sz w:val="28"/>
      <w:szCs w:val="28"/>
    </w:rPr>
  </w:style>
  <w:style w:type="paragraph" w:styleId="Heading2">
    <w:name w:val="Heading 2"/>
    <w:basedOn w:val="Normal"/>
    <w:next w:val="Normal"/>
    <w:qFormat/>
    <w:pPr>
      <w:spacing w:after="80" w:before="220"/>
      <w:outlineLvl w:val="1"/>
    </w:pPr>
    <w:rPr>
      <w:rFonts w:ascii="Arial" w:cs="Arial" w:eastAsia="Arial" w:hAnsi="Arial"/>
      <w:b/>
      <w:bCs/>
      <w:color w:val="1F3461"/>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74B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cyotu8gejc6zont9ccxq" Type="http://schemas.openxmlformats.org/officeDocument/2006/relationships/hyperlink" Target="https://www.google.com" TargetMode="External"/><Relationship Id="rIdn6tkw5pqtsz1ogv1tnw0i" Type="http://schemas.openxmlformats.org/officeDocument/2006/relationships/hyperlink" Target="https://www.linkedin.com" TargetMode="External"/><Relationship Id="rIdd-hx7nifquraawcwcfdmv" Type="http://schemas.openxmlformats.org/officeDocument/2006/relationships/hyperlink" Target="https://www.google.com" TargetMode="External"/><Relationship Id="rIdhh-ywpzno1c0isd2wnan_" Type="http://schemas.openxmlformats.org/officeDocument/2006/relationships/hyperlink" Target="https://www.google.com" TargetMode="External"/><Relationship Id="rIdxismj8w19ifn2fin9nrg4" Type="http://schemas.openxmlformats.org/officeDocument/2006/relationships/hyperlink" Target="https://www.linkedin.com" TargetMode="External"/><Relationship Id="rId1xwdpcatwllgguej1l-wr" Type="http://schemas.openxmlformats.org/officeDocument/2006/relationships/hyperlink" Target="https://www.google.com" TargetMode="External"/><Relationship Id="rIdpm_lz9ytrabdjrcgysvd3" Type="http://schemas.openxmlformats.org/officeDocument/2006/relationships/hyperlink" Target="https://www.linkedin.co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2026-03-24T02:27:47.670Z</dcterms:created>
  <dcterms:modified xsi:type="dcterms:W3CDTF">2026-03-24T02:27:47.670Z</dcterms:modified>
</cp:coreProperties>
</file>

<file path=docProps/custom.xml><?xml version="1.0" encoding="utf-8"?>
<Properties xmlns="http://schemas.openxmlformats.org/officeDocument/2006/custom-properties" xmlns:vt="http://schemas.openxmlformats.org/officeDocument/2006/docPropsVTypes"/>
</file>