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461"/>
          <w:sz w:val="40"/>
          <w:szCs w:val="40"/>
        </w:rPr>
        <w:t xml:space="preserve">Privacy and PII Handling Policy</w:t>
      </w:r>
    </w:p>
    <w:p>
      <w:pPr>
        <w:spacing w:after="160" w:before="80"/>
      </w:pPr>
      <w:r>
        <w:rPr>
          <w:rFonts w:ascii="Arial" w:cs="Arial" w:eastAsia="Arial" w:hAnsi="Arial"/>
          <w:b w:val="false"/>
          <w:bCs w:val="false"/>
          <w:color w:val="555555"/>
          <w:sz w:val="18"/>
          <w:szCs w:val="18"/>
        </w:rPr>
        <w:t xml:space="preserve">Document ID: POL-PII-2026-012  |  Version: 1.1  |  Effective Date: March 1, 2026  |  Classification: CUI//PRVCY</w:t>
      </w:r>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Purpose</w:t>
      </w:r>
    </w:p>
    <w:p>
      <w:pPr>
        <w:spacing w:after="100" w:before="100"/>
      </w:pPr>
      <w:r>
        <w:rPr>
          <w:rFonts w:ascii="Arial" w:cs="Arial" w:eastAsia="Arial" w:hAnsi="Arial"/>
          <w:sz w:val="20"/>
          <w:szCs w:val="20"/>
        </w:rPr>
        <w:t xml:space="preserve">This policy establishes the requirements for collecting, processing, storing, transmitting, and disposing of personally identifiable information (PII) across all organizational systems and operations. It implements the Privacy Act of 1974, OMB Circular A-130 Appendix II, and NIST SP 800-122 requirements for federal PII protection.</w:t>
      </w:r>
    </w:p>
    <w:p>
      <w:pPr>
        <w:spacing w:after="100" w:before="100"/>
      </w:pPr>
      <w:r>
        <w:rPr>
          <w:rFonts w:ascii="Arial" w:cs="Arial" w:eastAsia="Arial" w:hAnsi="Arial"/>
          <w:sz w:val="20"/>
          <w:szCs w:val="20"/>
        </w:rPr>
        <w:t xml:space="preserve">For the NIST PII definition and categorization framework, see </w:t>
      </w:r>
      <w:hyperlink w:history="1" r:id="rIdry4_agmvqeawczunc4_mr">
        <w:r>
          <w:rPr>
            <w:rFonts w:ascii="Arial" w:cs="Arial" w:eastAsia="Arial" w:hAnsi="Arial"/>
            <w:color w:val="1155CC"/>
            <w:sz w:val="20"/>
            <w:szCs w:val="20"/>
            <w:u w:val="single"/>
          </w:rPr>
          <w:t xml:space="preserve">NIST SP 800-122 Guide to Protecting PII</w:t>
        </w:r>
      </w:hyperlink>
      <w:r>
        <w:rPr>
          <w:rFonts w:ascii="Arial" w:cs="Arial" w:eastAsia="Arial" w:hAnsi="Arial"/>
          <w:sz w:val="20"/>
          <w:szCs w:val="20"/>
        </w:rPr>
        <w:t xml:space="preserve">. For OMB privacy policy requirements applicable to federal agencies, see </w:t>
      </w:r>
      <w:hyperlink w:history="1" r:id="rIduo1nssmoo9thqpbwxvkbn">
        <w:r>
          <w:rPr>
            <w:rFonts w:ascii="Arial" w:cs="Arial" w:eastAsia="Arial" w:hAnsi="Arial"/>
            <w:color w:val="1155CC"/>
            <w:sz w:val="20"/>
            <w:szCs w:val="20"/>
            <w:u w:val="single"/>
          </w:rPr>
          <w:t xml:space="preserve">OMB Circular A-130 Managing Federal Information Resources</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Scope</w:t>
      </w:r>
    </w:p>
    <w:p>
      <w:pPr>
        <w:spacing w:after="100" w:before="100"/>
      </w:pPr>
      <w:r>
        <w:rPr>
          <w:rFonts w:ascii="Arial" w:cs="Arial" w:eastAsia="Arial" w:hAnsi="Arial"/>
          <w:sz w:val="20"/>
          <w:szCs w:val="20"/>
        </w:rPr>
        <w:t xml:space="preserve">This policy applies to all systems, programs, and operations that collect or use PII from members of the public, employees, contractors, or other individuals. It applies to all personnel with access to or responsibility for systems processing PII. Third-party processors handling PII on behalf of the organization are bound by contractual privacy requirements and are subject to annual assessment per PII04.002.</w:t>
      </w:r>
    </w:p>
    <w:p>
      <w:pPr>
        <w:spacing w:after="100" w:before="100"/>
      </w:pPr>
      <w:r>
        <w:rPr>
          <w:rFonts w:ascii="Arial" w:cs="Arial" w:eastAsia="Arial" w:hAnsi="Arial"/>
          <w:sz w:val="20"/>
          <w:szCs w:val="20"/>
        </w:rPr>
        <w:t xml:space="preserve">This policy covers PII in all formats: digital records, physical documents, audio/video recordings, and biometric data. Systems of Records subject to the Privacy Act are identified in the System of Records Notice (SORN) inventory maintained by the Privacy Officer.</w:t>
      </w:r>
    </w:p>
    <w:p>
      <w:pPr>
        <w:pStyle w:val="Heading1"/>
        <w:spacing w:after="120" w:before="300"/>
      </w:pPr>
      <w:r>
        <w:rPr>
          <w:rFonts w:ascii="Arial" w:cs="Arial" w:eastAsia="Arial" w:hAnsi="Arial"/>
          <w:b/>
          <w:bCs/>
          <w:color w:val="2E4A7A"/>
          <w:sz w:val="28"/>
          <w:szCs w:val="28"/>
        </w:rPr>
        <w:t xml:space="preserve">Intent</w:t>
      </w:r>
    </w:p>
    <w:p>
      <w:pPr>
        <w:spacing w:after="100" w:before="100"/>
      </w:pPr>
      <w:r>
        <w:rPr>
          <w:rFonts w:ascii="Arial" w:cs="Arial" w:eastAsia="Arial" w:hAnsi="Arial"/>
          <w:sz w:val="20"/>
          <w:szCs w:val="20"/>
        </w:rPr>
        <w:t xml:space="preserve">The federal government's collection of PII carries a responsibility to individuals whose information is held. The intent of this policy is to ensure that PII is collected only when necessary, protected commensurate with its sensitivity, used only for authorized purposes, and disposed of when no longer needed. Failure to protect PII damages public trust and may result in congressional inquiry, GAO investigation, or legal liability.</w:t>
      </w:r>
    </w:p>
    <w:p>
      <w:pPr>
        <w:spacing w:after="100" w:before="100"/>
      </w:pPr>
      <w:r>
        <w:rPr>
          <w:rFonts w:ascii="Arial" w:cs="Arial" w:eastAsia="Arial" w:hAnsi="Arial"/>
          <w:sz w:val="20"/>
          <w:szCs w:val="20"/>
        </w:rPr>
        <w:t xml:space="preserve">This policy implements the Fair Information Practice Principles (FIPPs): Collection Limitation, Data Quality, Purpose Specification, Use Limitation, Security Safeguards, Openness, Individual Participation, and Accountability. All PII programs shall be evaluated against FIPPs during Privacy Impact Assessment review.</w:t>
      </w:r>
    </w:p>
    <w:p>
      <w:pPr>
        <w:pStyle w:val="Heading1"/>
        <w:spacing w:after="120" w:before="300"/>
      </w:pPr>
      <w:r>
        <w:rPr>
          <w:rFonts w:ascii="Arial" w:cs="Arial" w:eastAsia="Arial" w:hAnsi="Arial"/>
          <w:b/>
          <w:bCs/>
          <w:color w:val="2E4A7A"/>
          <w:sz w:val="28"/>
          <w:szCs w:val="28"/>
        </w:rPr>
        <w:t xml:space="preserve">Section 3 - PII Collection and Minimization Controls</w:t>
      </w:r>
    </w:p>
    <w:p>
      <w:pPr>
        <w:spacing w:after="100" w:before="100"/>
      </w:pPr>
      <w:r>
        <w:rPr>
          <w:rFonts w:ascii="Arial" w:cs="Arial" w:eastAsia="Arial" w:hAnsi="Arial"/>
          <w:sz w:val="20"/>
          <w:szCs w:val="20"/>
        </w:rPr>
        <w:t xml:space="preserve">The following controls govern PII collection practices. The principle of data minimization requires that only the minimum PII necessary for the stated purpose is collected. Systems shall not collect PII speculatively or for undefined future use. New PII collection activities require a Privacy Impact Assessment (PIA) before implementation.</w:t>
      </w:r>
    </w:p>
    <w:p>
      <w:pPr>
        <w:pStyle w:val="Heading3"/>
        <w:spacing w:after="60" w:before="160"/>
      </w:pPr>
      <w:r>
        <w:rPr>
          <w:rFonts w:ascii="Arial" w:cs="Arial" w:eastAsia="Arial" w:hAnsi="Arial"/>
          <w:b/>
          <w:bCs/>
          <w:color w:val="374B6E"/>
          <w:sz w:val="22"/>
          <w:szCs w:val="22"/>
        </w:rPr>
        <w:t xml:space="preserve">PII01.001 - Privacy Impact Assessment Requirement</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Any new system, program, or significant modification to an existing system that collects, processes, or stores PII shall undergo a Privacy Impact Assessment (PIA) before deployment. PIAs shall be reviewed by the Privacy Officer and approved by the SAOP. PIAs shall be updated whenever a system change materially affects PII handling. The PIA template and completion guidance are in Appendix A. PIAs for systems collecting information from the public shall be posted publicly per OMB A-130 requirements.</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AR-2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Privacy Officer / System Owners</w:t>
      </w:r>
    </w:p>
    <w:p>
      <w:pPr>
        <w:pStyle w:val="Heading3"/>
        <w:spacing w:after="60" w:before="160"/>
      </w:pPr>
      <w:r>
        <w:rPr>
          <w:rFonts w:ascii="Arial" w:cs="Arial" w:eastAsia="Arial" w:hAnsi="Arial"/>
          <w:b/>
          <w:bCs/>
          <w:color w:val="374B6E"/>
          <w:sz w:val="22"/>
          <w:szCs w:val="22"/>
        </w:rPr>
        <w:t xml:space="preserve">PII01.002 - PII Minimization and Purpose Limitation</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Systems shall collect only the PII categories necessary to accomplish the documented mission purpose. PII collected for one purpose shall not be used for a materially different purpose without re-evaluation against the original authority and a determination that the secondary use is compatible. The PII data elements authorized for each system are documented in the PIA and the System of Records Notice (SORN) referenced in Appendix B. Unauthorized PII collection discovered during audits shall be reported to the Privacy Officer within 24 hours.</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DI-1, UL-1</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Privacy Officer / System Owners</w:t>
      </w:r>
    </w:p>
    <w:p>
      <w:pPr>
        <w:pStyle w:val="Heading1"/>
        <w:spacing w:after="120" w:before="300"/>
      </w:pPr>
      <w:r>
        <w:rPr>
          <w:rFonts w:ascii="Arial" w:cs="Arial" w:eastAsia="Arial" w:hAnsi="Arial"/>
          <w:b/>
          <w:bCs/>
          <w:color w:val="2E4A7A"/>
          <w:sz w:val="28"/>
          <w:szCs w:val="28"/>
        </w:rPr>
        <w:t xml:space="preserve">Section 4 - PII Transmission and Storage Controls</w:t>
      </w:r>
    </w:p>
    <w:p>
      <w:pPr>
        <w:spacing w:after="100" w:before="100"/>
      </w:pPr>
      <w:r>
        <w:rPr>
          <w:rFonts w:ascii="Arial" w:cs="Arial" w:eastAsia="Arial" w:hAnsi="Arial"/>
          <w:sz w:val="20"/>
          <w:szCs w:val="20"/>
        </w:rPr>
        <w:t xml:space="preserve">The following controls govern how PII is protected during storage and transmission. These controls work in conjunction with the Encryption Policy (POL-ENC-2026-008). All PII in transit shall be encrypted per ENC02.001. All PII at rest shall be encrypted per ENC01.001 or ENC01.002 depending on the storage type. Physical PII handling requirements are in Appendix C.</w:t>
      </w:r>
    </w:p>
    <w:p>
      <w:pPr>
        <w:pStyle w:val="Heading3"/>
        <w:spacing w:after="60" w:before="160"/>
      </w:pPr>
      <w:r>
        <w:rPr>
          <w:rFonts w:ascii="Arial" w:cs="Arial" w:eastAsia="Arial" w:hAnsi="Arial"/>
          <w:b/>
          <w:bCs/>
          <w:color w:val="374B6E"/>
          <w:sz w:val="22"/>
          <w:szCs w:val="22"/>
        </w:rPr>
        <w:t xml:space="preserve">PII02.001 - PII Labeling and Handling</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Documents, files, and records containing PII shall be labeled with the appropriate sensitivity marking at creation. Digital files shall use the CUI//PRVCY sensitivity label in Microsoft Purview per the DLP Standard (STD-DLP-2026-011), Appendix C. Physical documents containing PII shall be marked in accordance with the organization's physical security requirements. Unlabeled documents discovered during audits shall be evaluated by the Privacy Officer to determine if PII is present and labeled accordingly.</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MP-3, DI-2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All Personnel</w:t>
      </w:r>
    </w:p>
    <w:p>
      <w:pPr>
        <w:pStyle w:val="Heading3"/>
        <w:spacing w:after="60" w:before="160"/>
      </w:pPr>
      <w:r>
        <w:rPr>
          <w:rFonts w:ascii="Arial" w:cs="Arial" w:eastAsia="Arial" w:hAnsi="Arial"/>
          <w:b/>
          <w:bCs/>
          <w:color w:val="374B6E"/>
          <w:sz w:val="22"/>
          <w:szCs w:val="22"/>
        </w:rPr>
        <w:t xml:space="preserve">PII02.002 - PII Sharing and Disclosure Controls</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PII shall not be disclosed externally without: (a) a routine use identified in the applicable SORN, (b) written consent from the individual, (c) a court order or legal mandate, or (d) a written data sharing agreement approved by the Privacy Officer and legal counsel. Verbal disclosures of PII for law enforcement or other purposes shall be documented in writing within 24 hours. The disclosure log template is in Appendix D. For inter-agency data sharing, use the approved Data Sharing Agreement template referenced in Appendix D.</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AP-2, UL-2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Partially 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Privacy Officer / Legal</w:t>
      </w:r>
    </w:p>
    <w:p>
      <w:pPr>
        <w:pStyle w:val="Heading1"/>
        <w:spacing w:after="120" w:before="300"/>
      </w:pPr>
      <w:r>
        <w:rPr>
          <w:rFonts w:ascii="Arial" w:cs="Arial" w:eastAsia="Arial" w:hAnsi="Arial"/>
          <w:b/>
          <w:bCs/>
          <w:color w:val="2E4A7A"/>
          <w:sz w:val="28"/>
          <w:szCs w:val="28"/>
        </w:rPr>
        <w:t xml:space="preserve">Section 5 - Breach Notification and Incident Response Controls</w:t>
      </w:r>
    </w:p>
    <w:p>
      <w:pPr>
        <w:spacing w:after="100" w:before="100"/>
      </w:pPr>
      <w:r>
        <w:rPr>
          <w:rFonts w:ascii="Arial" w:cs="Arial" w:eastAsia="Arial" w:hAnsi="Arial"/>
          <w:sz w:val="20"/>
          <w:szCs w:val="20"/>
        </w:rPr>
        <w:t xml:space="preserve">The following controls govern the organization's response to PII breaches. These are presented in tabular format for use as a quick reference during incident response. For the complete PII breach response procedure, see the Incident Response Policy (POL-IR-2026-003) and Appendix E of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700"/>
        <w:gridCol w:w="900"/>
        <w:gridCol w:w="1300"/>
        <w:gridCol w:w="1460"/>
      </w:tblGrid>
      <w:tr>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NIST</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PII03.001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PII Breach Detection and Reporting</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Suspected PII breaches shall be reported to the Privacy Officer and SOC within 1 hour of discovery by any personnel who identifies or suspects a breach. The Privacy Officer shall make a preliminary breach determination within 2 hours. Breach notification timelines in PII03.002 begin at the time of the preliminary determination, not at confirmed verification.</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IR-6, AR-6</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All Personnel / Privacy Officer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PII03.002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Federal Breach Notification Timelines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 PII breaches shall be reported to US-CERT within 1 hour per OMB M-17-12. The SAOP shall be notified within 1 hour. Affected individuals shall be notified within 10 business days unless law enforcement requests a delay. Congressional notification follows agency procedures. See Appendix E for notification templates and contact information.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Privacy Officer / ISSO</w:t>
            </w:r>
          </w:p>
        </w:tc>
      </w:tr>
      <w:tr>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PII04.001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PII Breach Risk Assessment</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Following a breach determination, the Privacy Officer shall conduct a risk assessment within 24 hours to determine: the nature and extent of PII compromised, the likelihood of harm to affected individuals, and whether substitute notice is appropriate. Risk assessments shall document harm categories per OMB M-17-12 Appendix C definitions. Results shall be retained per the Records Retention Policy.</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RA-3, AR-6</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Privacy Officer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PII04.002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Third-Party PII Processor Oversight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Third-party processors handling PII shall be assessed annually for privacy compliance. Assessments shall verify: data processing agreement (DPA) currency, security controls commensurate with PII sensitivity, subprocessor transparency, and breach notification contractual obligations. Assessment results shall be reviewed by the Privacy Officer and reported to the CISO quarterly.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SA-9, AR-3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Partially Implemented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Privacy Officer / Procurement</w:t>
            </w:r>
          </w:p>
        </w:tc>
      </w:tr>
    </w:tbl>
    <w:p>
      <w:pPr>
        <w:pStyle w:val="Heading1"/>
        <w:spacing w:after="120" w:before="300"/>
      </w:pPr>
      <w:r>
        <w:rPr>
          <w:rFonts w:ascii="Arial" w:cs="Arial" w:eastAsia="Arial" w:hAnsi="Arial"/>
          <w:b/>
          <w:bCs/>
          <w:color w:val="2E4A7A"/>
          <w:sz w:val="28"/>
          <w:szCs w:val="28"/>
        </w:rPr>
        <w:t xml:space="preserve">Enforcement</w:t>
      </w:r>
    </w:p>
    <w:p>
      <w:pPr>
        <w:spacing w:after="100" w:before="100"/>
      </w:pPr>
      <w:r>
        <w:rPr>
          <w:rFonts w:ascii="Arial" w:cs="Arial" w:eastAsia="Arial" w:hAnsi="Arial"/>
          <w:sz w:val="20"/>
          <w:szCs w:val="20"/>
        </w:rPr>
        <w:t xml:space="preserve">Privacy violations, including unauthorized PII disclosure, failure to conduct required PIAs, or failure to report suspected breaches, are subject to disciplinary action per the Acceptable Use Policy, Section 6. Privacy Act violations may also result in civil and criminal penalties under 5 U.S.C. § 552a(i).</w:t>
      </w:r>
    </w:p>
    <w:p>
      <w:pPr>
        <w:spacing w:after="100" w:before="100"/>
      </w:pPr>
      <w:r>
        <w:rPr>
          <w:rFonts w:ascii="Arial" w:cs="Arial" w:eastAsia="Arial" w:hAnsi="Arial"/>
          <w:sz w:val="20"/>
          <w:szCs w:val="20"/>
        </w:rPr>
        <w:t xml:space="preserve">The Privacy Officer shall report annual privacy compliance metrics to the SAOP and, as required, to OMB via the annual FISMA privacy metrics submission. For privacy compliance resources and training, see </w:t>
      </w:r>
      <w:hyperlink w:history="1" r:id="rIddrb-4grlgnadnzzumyyv_">
        <w:r>
          <w:rPr>
            <w:rFonts w:ascii="Arial" w:cs="Arial" w:eastAsia="Arial" w:hAnsi="Arial"/>
            <w:color w:val="1155CC"/>
            <w:sz w:val="20"/>
            <w:szCs w:val="20"/>
            <w:u w:val="single"/>
          </w:rPr>
          <w:t xml:space="preserve">IAPP federal privacy resources</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References</w:t>
      </w:r>
    </w:p>
    <w:p>
      <w:pPr>
        <w:spacing w:after="100" w:before="100"/>
      </w:pPr>
      <w:r>
        <w:rPr>
          <w:rFonts w:ascii="Arial" w:cs="Arial" w:eastAsia="Arial" w:hAnsi="Arial"/>
          <w:sz w:val="20"/>
          <w:szCs w:val="20"/>
        </w:rPr>
        <w:t xml:space="preserve">Encryption Policy (POL-ENC-2026-008)</w:t>
      </w:r>
    </w:p>
    <w:p>
      <w:pPr>
        <w:spacing w:after="100" w:before="100"/>
      </w:pPr>
      <w:r>
        <w:rPr>
          <w:rFonts w:ascii="Arial" w:cs="Arial" w:eastAsia="Arial" w:hAnsi="Arial"/>
          <w:sz w:val="20"/>
          <w:szCs w:val="20"/>
        </w:rPr>
        <w:t xml:space="preserve">Data Loss Prevention Standard (STD-DLP-2026-011)</w:t>
      </w:r>
    </w:p>
    <w:p>
      <w:pPr>
        <w:spacing w:after="100" w:before="100"/>
      </w:pPr>
      <w:r>
        <w:rPr>
          <w:rFonts w:ascii="Arial" w:cs="Arial" w:eastAsia="Arial" w:hAnsi="Arial"/>
          <w:sz w:val="20"/>
          <w:szCs w:val="20"/>
        </w:rPr>
        <w:t xml:space="preserve">Incident Response Policy (POL-IR-2026-003)</w:t>
      </w:r>
    </w:p>
    <w:p>
      <w:pPr>
        <w:spacing w:after="100" w:before="100"/>
      </w:pPr>
      <w:r>
        <w:rPr>
          <w:rFonts w:ascii="Arial" w:cs="Arial" w:eastAsia="Arial" w:hAnsi="Arial"/>
          <w:sz w:val="20"/>
          <w:szCs w:val="20"/>
        </w:rPr>
        <w:t xml:space="preserve">Acceptable Use Policy (POL-AU-2026-006)</w:t>
      </w:r>
    </w:p>
    <w:p>
      <w:pPr>
        <w:spacing w:after="100" w:before="100"/>
      </w:pPr>
      <w:r>
        <w:rPr>
          <w:rFonts w:ascii="Arial" w:cs="Arial" w:eastAsia="Arial" w:hAnsi="Arial"/>
          <w:sz w:val="20"/>
          <w:szCs w:val="20"/>
        </w:rPr>
        <w:t xml:space="preserve">Privacy Act of 1974 (5 U.S.C. § 552a) | </w:t>
      </w:r>
      <w:hyperlink w:history="1" r:id="rIdxkwcqitbk6hobu_wk_-sa">
        <w:r>
          <w:rPr>
            <w:rFonts w:ascii="Arial" w:cs="Arial" w:eastAsia="Arial" w:hAnsi="Arial"/>
            <w:color w:val="1155CC"/>
            <w:sz w:val="20"/>
            <w:szCs w:val="20"/>
            <w:u w:val="single"/>
          </w:rPr>
          <w:t xml:space="preserve">Full text and agency guidance</w:t>
        </w:r>
      </w:hyperlink>
    </w:p>
    <w:p>
      <w:pPr>
        <w:spacing w:after="100" w:before="100"/>
      </w:pPr>
      <w:r>
        <w:rPr>
          <w:rFonts w:ascii="Arial" w:cs="Arial" w:eastAsia="Arial" w:hAnsi="Arial"/>
          <w:sz w:val="20"/>
          <w:szCs w:val="20"/>
        </w:rPr>
        <w:t xml:space="preserve">OMB M-17-12 Preparing for and Responding to a Breach | </w:t>
      </w:r>
      <w:hyperlink w:history="1" r:id="rIdnujb_-ti3w64tiqhuvxll">
        <w:r>
          <w:rPr>
            <w:rFonts w:ascii="Arial" w:cs="Arial" w:eastAsia="Arial" w:hAnsi="Arial"/>
            <w:color w:val="1155CC"/>
            <w:sz w:val="20"/>
            <w:szCs w:val="20"/>
            <w:u w:val="single"/>
          </w:rPr>
          <w:t xml:space="preserve">OMB memorandum</w:t>
        </w:r>
      </w:hyperlink>
    </w:p>
    <w:p>
      <w:pPr>
        <w:spacing w:after="100" w:before="100"/>
      </w:pPr>
      <w:r>
        <w:rPr>
          <w:rFonts w:ascii="Arial" w:cs="Arial" w:eastAsia="Arial" w:hAnsi="Arial"/>
          <w:sz w:val="20"/>
          <w:szCs w:val="20"/>
        </w:rPr>
        <w:t xml:space="preserve">NIST SP 800-122 | </w:t>
      </w:r>
      <w:hyperlink w:history="1" r:id="rIddbcjqwmzn0lwd-rctsgpb">
        <w:r>
          <w:rPr>
            <w:rFonts w:ascii="Arial" w:cs="Arial" w:eastAsia="Arial" w:hAnsi="Arial"/>
            <w:color w:val="1155CC"/>
            <w:sz w:val="20"/>
            <w:szCs w:val="20"/>
            <w:u w:val="single"/>
          </w:rPr>
          <w:t xml:space="preserve">Guide to Protecting the Confidentiality of PII</w:t>
        </w:r>
      </w:hyperlink>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Appendix A - Privacy Impact Assessment Requirements and Template</w:t>
      </w:r>
    </w:p>
    <w:p>
      <w:pPr>
        <w:spacing w:after="100" w:before="100"/>
      </w:pPr>
      <w:r>
        <w:rPr>
          <w:rFonts w:ascii="Arial" w:cs="Arial" w:eastAsia="Arial" w:hAnsi="Arial"/>
          <w:sz w:val="20"/>
          <w:szCs w:val="20"/>
        </w:rPr>
        <w:t xml:space="preserve">This appendix provides the PIA template referenced in PII01.001 and two additional controls governing PIA review timelines and public posting requirements. The PIA template is available in SharePoint under Privacy Program documents.</w:t>
      </w:r>
    </w:p>
    <w:p>
      <w:pPr>
        <w:pStyle w:val="Heading2"/>
        <w:spacing w:after="80" w:before="220"/>
      </w:pPr>
      <w:r>
        <w:rPr>
          <w:rFonts w:ascii="Arial" w:cs="Arial" w:eastAsia="Arial" w:hAnsi="Arial"/>
          <w:b/>
          <w:bCs/>
          <w:color w:val="1F3461"/>
          <w:sz w:val="24"/>
          <w:szCs w:val="24"/>
        </w:rPr>
        <w:t xml:space="preserve">Appendix A Controls - PIA Process Requirements</w:t>
      </w:r>
    </w:p>
    <w:p>
      <w:pPr>
        <w:spacing w:after="100" w:before="100"/>
      </w:pPr>
      <w:r>
        <w:rPr>
          <w:rFonts w:ascii="Arial" w:cs="Arial" w:eastAsia="Arial" w:hAnsi="Arial"/>
          <w:sz w:val="20"/>
          <w:szCs w:val="20"/>
        </w:rPr>
        <w:t xml:space="preserve">The following controls govern the PIA process workflow for system owners and the Privacy Officer. These supplement PII01.001 with process-level requirements.</w:t>
      </w:r>
    </w:p>
    <w:p>
      <w:pPr>
        <w:pStyle w:val="Heading3"/>
        <w:spacing w:after="60" w:before="160"/>
      </w:pPr>
      <w:r>
        <w:rPr>
          <w:rFonts w:ascii="Arial" w:cs="Arial" w:eastAsia="Arial" w:hAnsi="Arial"/>
          <w:b/>
          <w:bCs/>
          <w:color w:val="374B6E"/>
          <w:sz w:val="22"/>
          <w:szCs w:val="22"/>
        </w:rPr>
        <w:t xml:space="preserve">PII05.001 - PIA Review and Approval Timeline</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System owners shall submit draft PIAs to the Privacy Officer no later than 60 days before a system's planned deployment or significant modification. The Privacy Officer shall complete PIA review within 20 business days of receiving a complete draft. If the PIA requires revisions, the system owner has 10 business days to respond. Systems shall not be deployed or significantly modified until PIA approval is documented. Emergency exemptions require SAOP written approval and shall not exceed 30 days.</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AR-2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Privacy Officer / System Owners</w:t>
      </w:r>
    </w:p>
    <w:p>
      <w:pPr>
        <w:pStyle w:val="Heading3"/>
        <w:spacing w:after="60" w:before="160"/>
      </w:pPr>
      <w:r>
        <w:rPr>
          <w:rFonts w:ascii="Arial" w:cs="Arial" w:eastAsia="Arial" w:hAnsi="Arial"/>
          <w:b/>
          <w:bCs/>
          <w:color w:val="374B6E"/>
          <w:sz w:val="22"/>
          <w:szCs w:val="22"/>
        </w:rPr>
        <w:t xml:space="preserve">PII05.002 - System of Records Notice (SORN) Maintenance</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Systems of Records subject to the Privacy Act shall have a current SORN published in the Federal Register. SORNs shall be reviewed annually by the Privacy Officer and updated when system changes materially affect the routine uses, categories of individuals, or categories of records. New SORNs or amendments require a 30-day public comment period unless exempted. The SORN inventory is maintained in Appendix B and reviewed quarterly.</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UL-1, TR-2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Privacy Officer / Legal</w:t>
      </w:r>
    </w:p>
    <w:p>
      <w:pPr>
        <w:pStyle w:val="Heading2"/>
        <w:spacing w:after="80" w:before="220"/>
      </w:pPr>
      <w:r>
        <w:rPr>
          <w:rFonts w:ascii="Arial" w:cs="Arial" w:eastAsia="Arial" w:hAnsi="Arial"/>
          <w:b/>
          <w:bCs/>
          <w:color w:val="1F3461"/>
          <w:sz w:val="24"/>
          <w:szCs w:val="24"/>
        </w:rPr>
        <w:t xml:space="preserve">Appendix B - System of Records Notice (SORN) Inventory</w:t>
      </w:r>
    </w:p>
    <w:p>
      <w:pPr>
        <w:spacing w:after="100" w:before="100"/>
      </w:pPr>
      <w:r>
        <w:rPr>
          <w:rFonts w:ascii="Arial" w:cs="Arial" w:eastAsia="Arial" w:hAnsi="Arial"/>
          <w:sz w:val="20"/>
          <w:szCs w:val="20"/>
        </w:rPr>
        <w:t xml:space="preserve">The following Systems of Records are maintained by the organization. For full SORN text, see the Federal Register entries referenced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SORN ID</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System Name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PII Categories</w:t>
            </w:r>
          </w:p>
        </w:tc>
        <w:tc>
          <w:tcPr>
            <w:tcW w:type="dxa" w:w="2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Last Published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[ORG]-001</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Personnel Records System</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Name, SSN, employment history, performance data</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January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[ORG]-002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Public Benefits Tracking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Name, address, income, eligibility determinations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March 2024</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[ORG]-003</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IT Access Management System</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Name, user ID, access roles, authentication events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July 2024</w:t>
            </w:r>
          </w:p>
        </w:tc>
      </w:tr>
    </w:tbl>
    <w:p>
      <w:pPr>
        <w:pStyle w:val="Heading2"/>
        <w:spacing w:after="80" w:before="220"/>
      </w:pPr>
      <w:r>
        <w:rPr>
          <w:rFonts w:ascii="Arial" w:cs="Arial" w:eastAsia="Arial" w:hAnsi="Arial"/>
          <w:b/>
          <w:bCs/>
          <w:color w:val="1F3461"/>
          <w:sz w:val="24"/>
          <w:szCs w:val="24"/>
        </w:rPr>
        <w:t xml:space="preserve">Appendix C - Physical PII Handling Requirements</w:t>
      </w:r>
    </w:p>
    <w:p>
      <w:pPr>
        <w:spacing w:after="100" w:before="100"/>
      </w:pPr>
      <w:r>
        <w:rPr>
          <w:rFonts w:ascii="Arial" w:cs="Arial" w:eastAsia="Arial" w:hAnsi="Arial"/>
          <w:sz w:val="20"/>
          <w:szCs w:val="20"/>
        </w:rPr>
        <w:t xml:space="preserve">Physical documents containing PII shall be: stored in locked cabinets when not in use; not left unattended in common areas; shredded using a cross-cut or micro-cut shredder per NIST SP 800-88 when no longer needed; and tracked with a physical document log for documents containing High-sensitivity PII (SSN, financial records, medical information).</w:t>
      </w:r>
    </w:p>
    <w:p>
      <w:pPr>
        <w:pStyle w:val="Heading2"/>
        <w:spacing w:after="80" w:before="220"/>
      </w:pPr>
      <w:r>
        <w:rPr>
          <w:rFonts w:ascii="Arial" w:cs="Arial" w:eastAsia="Arial" w:hAnsi="Arial"/>
          <w:b/>
          <w:bCs/>
          <w:color w:val="1F3461"/>
          <w:sz w:val="24"/>
          <w:szCs w:val="24"/>
        </w:rPr>
        <w:t xml:space="preserve">Appendix D - PII Disclosure Log and Data Sharing Agreement Template</w:t>
      </w:r>
    </w:p>
    <w:p>
      <w:pPr>
        <w:spacing w:after="100" w:before="100"/>
      </w:pPr>
      <w:r>
        <w:rPr>
          <w:rFonts w:ascii="Arial" w:cs="Arial" w:eastAsia="Arial" w:hAnsi="Arial"/>
          <w:sz w:val="20"/>
          <w:szCs w:val="20"/>
        </w:rPr>
        <w:t xml:space="preserve">The disclosure log template and inter-agency Data Sharing Agreement template are maintained by the Privacy Officer in SharePoint. For access, see </w:t>
      </w:r>
      <w:hyperlink w:history="1" r:id="rIdll04av3cpyeh_3keo1m7l">
        <w:r>
          <w:rPr>
            <w:rFonts w:ascii="Arial" w:cs="Arial" w:eastAsia="Arial" w:hAnsi="Arial"/>
            <w:color w:val="1155CC"/>
            <w:sz w:val="20"/>
            <w:szCs w:val="20"/>
            <w:u w:val="single"/>
          </w:rPr>
          <w:t xml:space="preserve">Privacy Program Document Library (internal - CUI//PRVCY)</w:t>
        </w:r>
      </w:hyperlink>
      <w:r>
        <w:rPr>
          <w:rFonts w:ascii="Arial" w:cs="Arial" w:eastAsia="Arial" w:hAnsi="Arial"/>
          <w:sz w:val="20"/>
          <w:szCs w:val="20"/>
        </w:rPr>
        <w:t xml:space="preserve">. All disclosure log entries shall be retained for 6 years per the Records Retention schedule.</w:t>
      </w:r>
    </w:p>
    <w:p>
      <w:pPr>
        <w:pStyle w:val="Heading2"/>
        <w:spacing w:after="80" w:before="220"/>
      </w:pPr>
      <w:r>
        <w:rPr>
          <w:rFonts w:ascii="Arial" w:cs="Arial" w:eastAsia="Arial" w:hAnsi="Arial"/>
          <w:b/>
          <w:bCs/>
          <w:color w:val="1F3461"/>
          <w:sz w:val="24"/>
          <w:szCs w:val="24"/>
        </w:rPr>
        <w:t xml:space="preserve">Appendix E - PII Breach Notification Templates</w:t>
      </w:r>
    </w:p>
    <w:p>
      <w:pPr>
        <w:spacing w:after="100" w:before="100"/>
      </w:pPr>
      <w:r>
        <w:rPr>
          <w:rFonts w:ascii="Arial" w:cs="Arial" w:eastAsia="Arial" w:hAnsi="Arial"/>
          <w:sz w:val="20"/>
          <w:szCs w:val="20"/>
        </w:rPr>
        <w:t xml:space="preserve">Breach notification templates include: US-CERT notification form, SAOP notification memo, affected individual notification letter (English and plain-language), congressional notification letter, and credit monitoring offer authorization. Templates are pre-approved by legal counsel. For templates and the complete breach response checklist, contact the Privacy Officer or see </w:t>
      </w:r>
      <w:hyperlink w:history="1" r:id="rIdeaspvdeiknnrwimcxxu40">
        <w:r>
          <w:rPr>
            <w:rFonts w:ascii="Arial" w:cs="Arial" w:eastAsia="Arial" w:hAnsi="Arial"/>
            <w:color w:val="1155CC"/>
            <w:sz w:val="20"/>
            <w:szCs w:val="20"/>
            <w:u w:val="single"/>
          </w:rPr>
          <w:t xml:space="preserve">OMB M-17-12 Breach Resources</w:t>
        </w:r>
      </w:hyperlink>
      <w:r>
        <w:rPr>
          <w:rFonts w:ascii="Arial" w:cs="Arial" w:eastAsia="Arial" w:hAnsi="Arial"/>
          <w:sz w:val="20"/>
          <w:szCs w:val="20"/>
        </w:rPr>
        <w:t xml:space="preserve">.</w:t>
      </w:r>
    </w:p>
    <w:p>
      <w:pPr>
        <w:pStyle w:val="Heading2"/>
        <w:spacing w:after="80" w:before="220"/>
      </w:pPr>
      <w:r>
        <w:rPr>
          <w:rFonts w:ascii="Arial" w:cs="Arial" w:eastAsia="Arial" w:hAnsi="Arial"/>
          <w:b/>
          <w:bCs/>
          <w:color w:val="1F3461"/>
          <w:sz w:val="24"/>
          <w:szCs w:val="24"/>
        </w:rPr>
        <w:t xml:space="preserve">Appendix F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03/01/2026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 Rivera, Privacy Officer</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third-party oversight control (PII04.002). Updated breach timelines for OMB M-17-12 alignment.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01/15/2026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 Rivera, Privacy Officer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release. Implements Privacy Act, OMB A-130, and NIST SP 800-122.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461"/>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74B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4_agmvqeawczunc4_mr" Type="http://schemas.openxmlformats.org/officeDocument/2006/relationships/hyperlink" Target="https://www.google.com" TargetMode="External"/><Relationship Id="rIduo1nssmoo9thqpbwxvkbn" Type="http://schemas.openxmlformats.org/officeDocument/2006/relationships/hyperlink" Target="https://www.linkedin.com" TargetMode="External"/><Relationship Id="rIddrb-4grlgnadnzzumyyv_" Type="http://schemas.openxmlformats.org/officeDocument/2006/relationships/hyperlink" Target="https://www.google.com" TargetMode="External"/><Relationship Id="rIdxkwcqitbk6hobu_wk_-sa" Type="http://schemas.openxmlformats.org/officeDocument/2006/relationships/hyperlink" Target="https://www.google.com" TargetMode="External"/><Relationship Id="rIdnujb_-ti3w64tiqhuvxll" Type="http://schemas.openxmlformats.org/officeDocument/2006/relationships/hyperlink" Target="https://www.linkedin.com" TargetMode="External"/><Relationship Id="rIddbcjqwmzn0lwd-rctsgpb" Type="http://schemas.openxmlformats.org/officeDocument/2006/relationships/hyperlink" Target="https://www.google.com" TargetMode="External"/><Relationship Id="rIdll04av3cpyeh_3keo1m7l" Type="http://schemas.openxmlformats.org/officeDocument/2006/relationships/hyperlink" Target="https://www.linkedin.com" TargetMode="External"/><Relationship Id="rIdeaspvdeiknnrwimcxxu40" Type="http://schemas.openxmlformats.org/officeDocument/2006/relationships/hyperlink" Target="https://www.google.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2026-03-24T02:27:47.690Z</dcterms:created>
  <dcterms:modified xsi:type="dcterms:W3CDTF">2026-03-24T02:27:47.690Z</dcterms:modified>
</cp:coreProperties>
</file>

<file path=docProps/custom.xml><?xml version="1.0" encoding="utf-8"?>
<Properties xmlns="http://schemas.openxmlformats.org/officeDocument/2006/custom-properties" xmlns:vt="http://schemas.openxmlformats.org/officeDocument/2006/docPropsVTypes"/>
</file>