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461"/>
          <w:sz w:val="40"/>
          <w:szCs w:val="40"/>
        </w:rPr>
        <w:t xml:space="preserve">Risk Management Policy</w:t>
      </w:r>
    </w:p>
    <w:p>
      <w:pPr>
        <w:spacing w:after="160" w:before="80"/>
      </w:pPr>
      <w:r>
        <w:rPr>
          <w:rFonts w:ascii="Arial" w:cs="Arial" w:eastAsia="Arial" w:hAnsi="Arial"/>
          <w:b w:val="false"/>
          <w:bCs w:val="false"/>
          <w:color w:val="555555"/>
          <w:sz w:val="18"/>
          <w:szCs w:val="18"/>
        </w:rPr>
        <w:t xml:space="preserve">Document ID: POL-RM-2026-009  |  Version: 2.0  |  Effective Date: February 1, 2026  |  Classification: CUI</w:t>
      </w:r>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Purpose</w:t>
      </w:r>
    </w:p>
    <w:p>
      <w:pPr>
        <w:spacing w:after="100" w:before="100"/>
      </w:pPr>
      <w:r>
        <w:rPr>
          <w:rFonts w:ascii="Arial" w:cs="Arial" w:eastAsia="Arial" w:hAnsi="Arial"/>
          <w:sz w:val="20"/>
          <w:szCs w:val="20"/>
        </w:rPr>
        <w:t xml:space="preserve">This policy establishes the risk management requirements for all information systems and organizational operations. It defines the processes for identifying, assessing, accepting, and mitigating risks to organizational information assets. This policy implements NIST RMF requirements and supports continuous ATO maintenance.</w:t>
      </w:r>
    </w:p>
    <w:p>
      <w:pPr>
        <w:spacing w:after="100" w:before="100"/>
      </w:pPr>
      <w:r>
        <w:rPr>
          <w:rFonts w:ascii="Arial" w:cs="Arial" w:eastAsia="Arial" w:hAnsi="Arial"/>
          <w:sz w:val="20"/>
          <w:szCs w:val="20"/>
        </w:rPr>
        <w:t xml:space="preserve">For the NIST Risk Management Framework overview, see </w:t>
      </w:r>
      <w:hyperlink w:history="1" r:id="rIdrgf26702mo_kjlylwucpa">
        <w:r>
          <w:rPr>
            <w:rFonts w:ascii="Arial" w:cs="Arial" w:eastAsia="Arial" w:hAnsi="Arial"/>
            <w:color w:val="1155CC"/>
            <w:sz w:val="20"/>
            <w:szCs w:val="20"/>
            <w:u w:val="single"/>
          </w:rPr>
          <w:t xml:space="preserve">NIST RMF Quick Start Guide</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Scope</w:t>
      </w:r>
    </w:p>
    <w:p>
      <w:pPr>
        <w:spacing w:after="100" w:before="100"/>
      </w:pPr>
      <w:r>
        <w:rPr>
          <w:rFonts w:ascii="Arial" w:cs="Arial" w:eastAsia="Arial" w:hAnsi="Arial"/>
          <w:sz w:val="20"/>
          <w:szCs w:val="20"/>
        </w:rPr>
        <w:t xml:space="preserve">This policy applies to all organizational systems regardless of impact level. It applies to all personnel with system ownership, security, or authorization responsibilities. Third-party providers handling CUI are subject to the risk assessment requirements in RMP04.001.</w:t>
      </w:r>
    </w:p>
    <w:p>
      <w:pPr>
        <w:spacing w:after="100" w:before="100"/>
      </w:pPr>
      <w:r>
        <w:rPr>
          <w:rFonts w:ascii="Arial" w:cs="Arial" w:eastAsia="Arial" w:hAnsi="Arial"/>
          <w:sz w:val="20"/>
          <w:szCs w:val="20"/>
        </w:rPr>
        <w:t xml:space="preserve">For FedRAMP-specific risk management requirements applicable to cloud service providers, refer to the Cloud Security Policy and </w:t>
      </w:r>
      <w:hyperlink w:history="1" r:id="rIdcq-eiojjpkf8qsgmfldik">
        <w:r>
          <w:rPr>
            <w:rFonts w:ascii="Arial" w:cs="Arial" w:eastAsia="Arial" w:hAnsi="Arial"/>
            <w:color w:val="1155CC"/>
            <w:sz w:val="20"/>
            <w:szCs w:val="20"/>
            <w:u w:val="single"/>
          </w:rPr>
          <w:t xml:space="preserve">FedRAMP Risk Management documentation</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Intent</w:t>
      </w:r>
    </w:p>
    <w:p>
      <w:pPr>
        <w:spacing w:after="100" w:before="100"/>
      </w:pPr>
      <w:r>
        <w:rPr>
          <w:rFonts w:ascii="Arial" w:cs="Arial" w:eastAsia="Arial" w:hAnsi="Arial"/>
          <w:sz w:val="20"/>
          <w:szCs w:val="20"/>
        </w:rPr>
        <w:t xml:space="preserve">Effective risk management is not a point-in-time activity. The intent of this policy is to embed risk awareness into operational decision-making, system development, procurement, and incident response. Risk data shall drive prioritization of control implementation and inform annual budget submissions to leadership.</w:t>
      </w:r>
    </w:p>
    <w:p>
      <w:pPr>
        <w:spacing w:after="100" w:before="100"/>
      </w:pPr>
      <w:r>
        <w:rPr>
          <w:rFonts w:ascii="Arial" w:cs="Arial" w:eastAsia="Arial" w:hAnsi="Arial"/>
          <w:sz w:val="20"/>
          <w:szCs w:val="20"/>
        </w:rPr>
        <w:t xml:space="preserve">This policy supports compliance with FISMA Section 3554, OMB A-130, and NIST SP 800-37 Rev 2. It also provides the organizational risk inputs required by the Information Security Program Charter.</w:t>
      </w:r>
    </w:p>
    <w:p>
      <w:pPr>
        <w:pStyle w:val="Heading1"/>
        <w:spacing w:after="120" w:before="300"/>
      </w:pPr>
      <w:r>
        <w:rPr>
          <w:rFonts w:ascii="Arial" w:cs="Arial" w:eastAsia="Arial" w:hAnsi="Arial"/>
          <w:b/>
          <w:bCs/>
          <w:color w:val="2E4A7A"/>
          <w:sz w:val="28"/>
          <w:szCs w:val="28"/>
        </w:rPr>
        <w:t xml:space="preserve">Controls</w:t>
      </w:r>
    </w:p>
    <w:p>
      <w:pPr>
        <w:spacing w:after="100" w:before="100"/>
      </w:pPr>
      <w:r>
        <w:rPr>
          <w:rFonts w:ascii="Arial" w:cs="Arial" w:eastAsia="Arial" w:hAnsi="Arial"/>
          <w:sz w:val="20"/>
          <w:szCs w:val="20"/>
        </w:rPr>
        <w:t xml:space="preserve">Controls are organized by risk management function. For the risk register template, see Appendix C. For POA&amp;M procedures, see Appendix E and RMP03.001.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700"/>
        <w:gridCol w:w="900"/>
        <w:gridCol w:w="1300"/>
        <w:gridCol w:w="15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1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NIST</w:t>
            </w:r>
          </w:p>
        </w:tc>
        <w:tc>
          <w:tcPr>
            <w:tcW w:type="dxa" w:w="1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RMP01.001</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Risk Assessment Frequency</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Formal risk assessments shall be conducted annually and upon significant changes to systems or threat environment. See Appendix A for the risk assessment methodology.</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RA-3</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ISSO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RMP01.002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Threat Identification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organization shall identify and document threats using current intelligence sources including CISA AIS and MS-ISAC. Appendix B documents all active threat intelligence sources.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RA-3(1)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Threat Intel</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RMP02.001</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Risk Register Maintenance</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 risk register shall be maintained and reviewed quarterly by the CISO. The register template is in Appendix C. Risk entries shall be linked to the controls in the relevant policy.</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PM-9</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CISO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RMP02.002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 Acceptance Process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Risks accepted rather than mitigated require documented ISSM and AO approval. Acceptance documentation format is in Appendix D. Accepted risks shall not exceed 18 months without re-evaluation.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PM-9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AO</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RMP03.001</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POA&amp;M Management</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Plan of Action and Milestones (POA&amp;M) items shall be created for all findings from assessments, audits, and incident after-action reviews. POA&amp;M tracking template is in Appendix E.</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CA-5</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ISSO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RMP03.002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Residual Risk Review</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After control implementation, residual risk shall be documented and reviewed by the ISSM before system authorization. See the System Authorization Policy for ATO requirements.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ISSM</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RMP04.001</w:t>
            </w:r>
          </w:p>
        </w:tc>
        <w:tc>
          <w:tcPr>
            <w:tcW w:type="dxa" w:w="1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Third-Party Risk Assessment</w:t>
            </w:r>
          </w:p>
        </w:tc>
        <w:tc>
          <w:tcPr>
            <w:tcW w:type="dxa" w:w="2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Third-party service providers handling CUI shall undergo risk assessment prior to contract award and annually thereafter. Assessment criteria are in Appendix F.</w:t>
            </w:r>
          </w:p>
        </w:tc>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SR-3</w:t>
            </w:r>
          </w:p>
        </w:tc>
        <w:tc>
          <w:tcPr>
            <w:tcW w:type="dxa" w:w="13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Partially Implemented</w:t>
            </w:r>
          </w:p>
        </w:tc>
        <w:tc>
          <w:tcPr>
            <w:tcW w:type="dxa" w:w="15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Procurement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RMP04.002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Supply Chain Risk Management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organization shall assess supply chain risks for critical technology acquisitions per NIST SP 800-161r1. Findings shall be documented in the risk register per RMP02.001.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Implemented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CISO</w:t>
            </w:r>
          </w:p>
        </w:tc>
      </w:tr>
    </w:tbl>
    <w:p>
      <w:pPr>
        <w:pStyle w:val="Heading1"/>
        <w:spacing w:after="120" w:before="300"/>
      </w:pPr>
      <w:r>
        <w:rPr>
          <w:rFonts w:ascii="Arial" w:cs="Arial" w:eastAsia="Arial" w:hAnsi="Arial"/>
          <w:b/>
          <w:bCs/>
          <w:color w:val="2E4A7A"/>
          <w:sz w:val="28"/>
          <w:szCs w:val="28"/>
        </w:rPr>
        <w:t xml:space="preserve">Enforcement</w:t>
      </w:r>
    </w:p>
    <w:p>
      <w:pPr>
        <w:spacing w:after="100" w:before="100"/>
      </w:pPr>
      <w:r>
        <w:rPr>
          <w:rFonts w:ascii="Arial" w:cs="Arial" w:eastAsia="Arial" w:hAnsi="Arial"/>
          <w:sz w:val="20"/>
          <w:szCs w:val="20"/>
        </w:rPr>
        <w:t xml:space="preserve">System owners who fail to maintain current risk assessments or POA&amp;M items within required timelines are subject to escalation to the AO. Persistent non-compliance may result in authorization withdrawal. Contractor non-compliance is addressed per the Vendor Management Policy.</w:t>
      </w:r>
    </w:p>
    <w:p>
      <w:pPr>
        <w:pStyle w:val="Heading1"/>
        <w:spacing w:after="120" w:before="300"/>
      </w:pPr>
      <w:r>
        <w:rPr>
          <w:rFonts w:ascii="Arial" w:cs="Arial" w:eastAsia="Arial" w:hAnsi="Arial"/>
          <w:b/>
          <w:bCs/>
          <w:color w:val="2E4A7A"/>
          <w:sz w:val="28"/>
          <w:szCs w:val="28"/>
        </w:rPr>
        <w:t xml:space="preserve">References</w:t>
      </w:r>
    </w:p>
    <w:p>
      <w:pPr>
        <w:spacing w:after="100" w:before="100"/>
      </w:pPr>
      <w:r>
        <w:rPr>
          <w:rFonts w:ascii="Arial" w:cs="Arial" w:eastAsia="Arial" w:hAnsi="Arial"/>
          <w:sz w:val="20"/>
          <w:szCs w:val="20"/>
        </w:rPr>
        <w:t xml:space="preserve">Information Security Program Charter (POL-ISP-2026-000)</w:t>
      </w:r>
    </w:p>
    <w:p>
      <w:pPr>
        <w:spacing w:after="100" w:before="100"/>
      </w:pPr>
      <w:r>
        <w:rPr>
          <w:rFonts w:ascii="Arial" w:cs="Arial" w:eastAsia="Arial" w:hAnsi="Arial"/>
          <w:sz w:val="20"/>
          <w:szCs w:val="20"/>
        </w:rPr>
        <w:t xml:space="preserve">System Authorization Policy (POL-SA-2026-010)</w:t>
      </w:r>
    </w:p>
    <w:p>
      <w:pPr>
        <w:spacing w:after="100" w:before="100"/>
      </w:pPr>
      <w:r>
        <w:rPr>
          <w:rFonts w:ascii="Arial" w:cs="Arial" w:eastAsia="Arial" w:hAnsi="Arial"/>
          <w:sz w:val="20"/>
          <w:szCs w:val="20"/>
        </w:rPr>
        <w:t xml:space="preserve">Configuration Management Policy (POL-CM-2026-004)</w:t>
      </w:r>
    </w:p>
    <w:p>
      <w:pPr>
        <w:spacing w:after="100" w:before="100"/>
      </w:pPr>
      <w:r>
        <w:rPr>
          <w:rFonts w:ascii="Arial" w:cs="Arial" w:eastAsia="Arial" w:hAnsi="Arial"/>
          <w:sz w:val="20"/>
          <w:szCs w:val="20"/>
        </w:rPr>
        <w:t xml:space="preserve">NIST SP 800-37 Rev 2 - RMF | </w:t>
      </w:r>
      <w:hyperlink w:history="1" r:id="rIdakzywhbgtjw2xw8eimre_">
        <w:r>
          <w:rPr>
            <w:rFonts w:ascii="Arial" w:cs="Arial" w:eastAsia="Arial" w:hAnsi="Arial"/>
            <w:color w:val="1155CC"/>
            <w:sz w:val="20"/>
            <w:szCs w:val="20"/>
            <w:u w:val="single"/>
          </w:rPr>
          <w:t xml:space="preserve">NIST RMF Overview</w:t>
        </w:r>
      </w:hyperlink>
    </w:p>
    <w:p>
      <w:pPr>
        <w:spacing w:after="100" w:before="100"/>
      </w:pPr>
      <w:r>
        <w:rPr>
          <w:rFonts w:ascii="Arial" w:cs="Arial" w:eastAsia="Arial" w:hAnsi="Arial"/>
          <w:sz w:val="20"/>
          <w:szCs w:val="20"/>
        </w:rPr>
        <w:t xml:space="preserve">NIST SP 800-161 Rev 1 - SCRM | </w:t>
      </w:r>
      <w:hyperlink w:history="1" r:id="rIdkbwkqj-kqolonlojzm53t">
        <w:r>
          <w:rPr>
            <w:rFonts w:ascii="Arial" w:cs="Arial" w:eastAsia="Arial" w:hAnsi="Arial"/>
            <w:color w:val="1155CC"/>
            <w:sz w:val="20"/>
            <w:szCs w:val="20"/>
            <w:u w:val="single"/>
          </w:rPr>
          <w:t xml:space="preserve">Supply Chain Risk Management</w:t>
        </w:r>
      </w:hyperlink>
    </w:p>
    <w:p>
      <w:pPr>
        <w:pBdr>
          <w:bottom w:val="single" w:color="2E4A7A" w:sz="6" w:space="1"/>
        </w:pBdr>
        <w:spacing w:after="160" w:before="160"/>
      </w:pPr>
    </w:p>
    <w:p>
      <w:pPr>
        <w:pStyle w:val="Heading1"/>
        <w:spacing w:after="120" w:before="300"/>
      </w:pPr>
      <w:r>
        <w:rPr>
          <w:rFonts w:ascii="Arial" w:cs="Arial" w:eastAsia="Arial" w:hAnsi="Arial"/>
          <w:b/>
          <w:bCs/>
          <w:color w:val="2E4A7A"/>
          <w:sz w:val="28"/>
          <w:szCs w:val="28"/>
        </w:rPr>
        <w:t xml:space="preserve">Appendix A - Risk Assessment Methodology</w:t>
      </w:r>
    </w:p>
    <w:p>
      <w:pPr>
        <w:spacing w:after="100" w:before="100"/>
      </w:pPr>
      <w:r>
        <w:rPr>
          <w:rFonts w:ascii="Arial" w:cs="Arial" w:eastAsia="Arial" w:hAnsi="Arial"/>
          <w:sz w:val="20"/>
          <w:szCs w:val="20"/>
        </w:rPr>
        <w:t xml:space="preserve">The organization uses a qualitative risk assessment methodology aligned to NIST SP 800-30 Rev 1. Likelihood and impact are scored on a 5x5 matrix. Risk scores are calculated as Likelihood x Impact. Thresholds: Very High (20-25), High (12-16), Moderate (6-9), Low (1-4).</w:t>
      </w:r>
    </w:p>
    <w:p>
      <w:pPr>
        <w:spacing w:after="100" w:before="100"/>
      </w:pPr>
      <w:r>
        <w:rPr>
          <w:rFonts w:ascii="Arial" w:cs="Arial" w:eastAsia="Arial" w:hAnsi="Arial"/>
          <w:sz w:val="20"/>
          <w:szCs w:val="20"/>
        </w:rPr>
        <w:t xml:space="preserve">Assessors shall use the threat sources and events defined in NIST SP 800-30 Appendix D as a starting baseline, supplemented by current threat intelligence from Appendix B sources.</w:t>
      </w:r>
    </w:p>
    <w:p>
      <w:pPr>
        <w:pStyle w:val="Heading1"/>
        <w:spacing w:after="120" w:before="300"/>
      </w:pPr>
      <w:r>
        <w:rPr>
          <w:rFonts w:ascii="Arial" w:cs="Arial" w:eastAsia="Arial" w:hAnsi="Arial"/>
          <w:b/>
          <w:bCs/>
          <w:color w:val="2E4A7A"/>
          <w:sz w:val="28"/>
          <w:szCs w:val="28"/>
        </w:rPr>
        <w:t xml:space="preserve">Appendix B - Approved Threat Intelligence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CISA AIS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Automated Indicator Sharing</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STIX/TAXII feed. Integrated to SIEM.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FBI InfraGard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Threat intelligence reports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Manual review monthly by Threat Intel team.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MS-ISAC</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Sector-specific intelligence</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Email distribution and portal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Internal SOC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Incident-derived IOCs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Automated export from SIEM to risk register.</w:t>
            </w:r>
          </w:p>
        </w:tc>
      </w:tr>
    </w:tbl>
    <w:p>
      <w:pPr>
        <w:pStyle w:val="Heading1"/>
        <w:spacing w:after="120" w:before="300"/>
      </w:pPr>
      <w:r>
        <w:rPr>
          <w:rFonts w:ascii="Arial" w:cs="Arial" w:eastAsia="Arial" w:hAnsi="Arial"/>
          <w:b/>
          <w:bCs/>
          <w:color w:val="2E4A7A"/>
          <w:sz w:val="28"/>
          <w:szCs w:val="28"/>
        </w:rPr>
        <w:t xml:space="preserve">Appendix C - Risk Register Template</w:t>
      </w:r>
    </w:p>
    <w:p>
      <w:pPr>
        <w:spacing w:after="100" w:before="100"/>
      </w:pPr>
      <w:r>
        <w:rPr>
          <w:rFonts w:ascii="Arial" w:cs="Arial" w:eastAsia="Arial" w:hAnsi="Arial"/>
          <w:sz w:val="20"/>
          <w:szCs w:val="20"/>
        </w:rPr>
        <w:t xml:space="preserve">Each risk register entry shall include: Risk ID, Date Identified, System Affected, Threat Source, Vulnerability, Likelihood (1-5), Impact (1-5), Risk Score, Current Controls, Residual Risk, Treatment Decision (Accept/Mitigate/Transfer/Avoid), Treatment Owner, Target Resolution Date, and Status.</w:t>
      </w:r>
    </w:p>
    <w:p>
      <w:pPr>
        <w:spacing w:after="100" w:before="100"/>
      </w:pPr>
      <w:r>
        <w:rPr>
          <w:rFonts w:ascii="Arial" w:cs="Arial" w:eastAsia="Arial" w:hAnsi="Arial"/>
          <w:sz w:val="20"/>
          <w:szCs w:val="20"/>
        </w:rPr>
        <w:t xml:space="preserve">The risk register is maintained in SharePoint under the ISSO Operations folder. For the current risk register, see </w:t>
      </w:r>
      <w:hyperlink w:history="1" r:id="rIdk4ymdvfbgvoskd6uus3cs">
        <w:r>
          <w:rPr>
            <w:rFonts w:ascii="Arial" w:cs="Arial" w:eastAsia="Arial" w:hAnsi="Arial"/>
            <w:color w:val="1155CC"/>
            <w:sz w:val="20"/>
            <w:szCs w:val="20"/>
            <w:u w:val="single"/>
          </w:rPr>
          <w:t xml:space="preserve">Risk Register (internal - CUI)</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Appendix D - Risk Acceptance Documentation Requirements</w:t>
      </w:r>
    </w:p>
    <w:p>
      <w:pPr>
        <w:spacing w:after="100" w:before="100"/>
      </w:pPr>
      <w:r>
        <w:rPr>
          <w:rFonts w:ascii="Arial" w:cs="Arial" w:eastAsia="Arial" w:hAnsi="Arial"/>
          <w:sz w:val="20"/>
          <w:szCs w:val="20"/>
        </w:rPr>
        <w:t xml:space="preserve">Risk acceptance requires the following documented elements: (1) Risk description and score, (2) Justification for acceptance over mitigation, (3) Business impact of mitigation (cost, operational disruption), (4) Compensating controls in place, (5) Acceptance expiration date (maximum 18 months), (6) ISSM signature, (7) AO signature.</w:t>
      </w:r>
    </w:p>
    <w:p>
      <w:pPr>
        <w:pStyle w:val="Heading1"/>
        <w:spacing w:after="120" w:before="300"/>
      </w:pPr>
      <w:r>
        <w:rPr>
          <w:rFonts w:ascii="Arial" w:cs="Arial" w:eastAsia="Arial" w:hAnsi="Arial"/>
          <w:b/>
          <w:bCs/>
          <w:color w:val="2E4A7A"/>
          <w:sz w:val="28"/>
          <w:szCs w:val="28"/>
        </w:rPr>
        <w:t xml:space="preserve">Appendix E - POA&amp;M Tracking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600"/>
        <w:gridCol w:w="1600"/>
        <w:gridCol w:w="1360"/>
      </w:tblGrid>
      <w:tr>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POA&amp;M ID</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Finding Source</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Due Date</w:t>
            </w:r>
          </w:p>
        </w:tc>
        <w:tc>
          <w:tcPr>
            <w:tcW w:type="dxa" w:w="1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POA-2026-001</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Annual Assessment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CFG03.002 Drift Detection not implemented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Deploy Defender baselines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06/30/2026</w:t>
            </w:r>
          </w:p>
        </w:tc>
        <w:tc>
          <w:tcPr>
            <w:tcW w:type="dxa" w:w="1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POA-2026-002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 Finding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ACC03.002 Session termination not enforced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GPO configuration update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04/15/2026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 Progress</w:t>
            </w:r>
          </w:p>
        </w:tc>
      </w:tr>
      <w:tr>
        <w:tc>
          <w:tcPr>
            <w:tcW w:type="dxa" w:w="1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sz w:val="18"/>
                <w:szCs w:val="18"/>
              </w:rPr>
              <w:t xml:space="preserve">POA-2026-003</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IR After-Action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DLP04.002 Print controls not deployed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Purview print DLP config</w:t>
            </w:r>
          </w:p>
        </w:tc>
        <w:tc>
          <w:tcPr>
            <w:tcW w:type="dxa" w:w="1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09/30/2026</w:t>
            </w:r>
          </w:p>
        </w:tc>
        <w:tc>
          <w:tcPr>
            <w:tcW w:type="dxa" w:w="1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Not Started</w:t>
            </w:r>
          </w:p>
        </w:tc>
      </w:tr>
    </w:tbl>
    <w:p>
      <w:pPr>
        <w:pStyle w:val="Heading1"/>
        <w:spacing w:after="120" w:before="300"/>
      </w:pPr>
      <w:r>
        <w:rPr>
          <w:rFonts w:ascii="Arial" w:cs="Arial" w:eastAsia="Arial" w:hAnsi="Arial"/>
          <w:b/>
          <w:bCs/>
          <w:color w:val="2E4A7A"/>
          <w:sz w:val="28"/>
          <w:szCs w:val="28"/>
        </w:rPr>
        <w:t xml:space="preserve">Appendix F - Third-Party Risk Assessment Criteria</w:t>
      </w:r>
    </w:p>
    <w:p>
      <w:pPr>
        <w:spacing w:after="100" w:before="100"/>
      </w:pPr>
      <w:r>
        <w:rPr>
          <w:rFonts w:ascii="Arial" w:cs="Arial" w:eastAsia="Arial" w:hAnsi="Arial"/>
          <w:sz w:val="20"/>
          <w:szCs w:val="20"/>
        </w:rPr>
        <w:t xml:space="preserve">Third-party risk assessments shall evaluate: (1) Data access scope (CUI categories handled), (2) Security documentation (FedRAMP authorization, SOC 2 Type II, CMMC level), (3) Incident history, (4) Subcontractor reliance, (5) Data residency and jurisdiction, (6) Contractual security requirements and right-to-audit clauses.</w:t>
      </w:r>
    </w:p>
    <w:p>
      <w:pPr>
        <w:spacing w:after="100" w:before="100"/>
      </w:pPr>
      <w:r>
        <w:rPr>
          <w:rFonts w:ascii="Arial" w:cs="Arial" w:eastAsia="Arial" w:hAnsi="Arial"/>
          <w:sz w:val="20"/>
          <w:szCs w:val="20"/>
        </w:rPr>
        <w:t xml:space="preserve">For current third-party assessment status, see the vendor risk register maintained by Procurement. FedRAMP marketplace verification: </w:t>
      </w:r>
      <w:hyperlink w:history="1" r:id="rIdbakol--wg5-m_5eqdzhvf">
        <w:r>
          <w:rPr>
            <w:rFonts w:ascii="Arial" w:cs="Arial" w:eastAsia="Arial" w:hAnsi="Arial"/>
            <w:color w:val="1155CC"/>
            <w:sz w:val="20"/>
            <w:szCs w:val="20"/>
            <w:u w:val="single"/>
          </w:rPr>
          <w:t xml:space="preserve">FedRAMP Marketplace</w:t>
        </w:r>
      </w:hyperlink>
      <w:r>
        <w:rPr>
          <w:rFonts w:ascii="Arial" w:cs="Arial" w:eastAsia="Arial" w:hAnsi="Arial"/>
          <w:sz w:val="20"/>
          <w:szCs w:val="20"/>
        </w:rPr>
        <w:t xml:space="preserve">.</w:t>
      </w:r>
    </w:p>
    <w:p>
      <w:pPr>
        <w:pStyle w:val="Heading1"/>
        <w:spacing w:after="120" w:before="300"/>
      </w:pPr>
      <w:r>
        <w:rPr>
          <w:rFonts w:ascii="Arial" w:cs="Arial" w:eastAsia="Arial" w:hAnsi="Arial"/>
          <w:b/>
          <w:bCs/>
          <w:color w:val="2E4A7A"/>
          <w:sz w:val="28"/>
          <w:szCs w:val="28"/>
        </w:rPr>
        <w:t xml:space="preserve">Appendix G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02/01/2026</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K. Williams, CISO</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SCRM requirements (RMP04.002), Appendix B threat sources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08/01/2025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K. Williams, CISO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Updated POA&amp;M template to align with FedRAMP Rev 5</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02/15/2025</w:t>
            </w:r>
          </w:p>
        </w:tc>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L. Chen, ISSO</w:t>
            </w:r>
          </w:p>
        </w:tc>
        <w:tc>
          <w:tcPr>
            <w:tcW w:type="dxa" w:w="39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val="false"/>
                <w:bCs w:val="false"/>
                <w:sz w:val="18"/>
                <w:szCs w:val="18"/>
              </w:rPr>
              <w:t xml:space="preserve">Added third-party risk assessment criteria (Appendix 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01/15/2025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 Chen, ISSO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Initial release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4A7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f26702mo_kjlylwucpa" Type="http://schemas.openxmlformats.org/officeDocument/2006/relationships/hyperlink" Target="https://www.google.com" TargetMode="External"/><Relationship Id="rIdcq-eiojjpkf8qsgmfldik" Type="http://schemas.openxmlformats.org/officeDocument/2006/relationships/hyperlink" Target="https://www.linkedin.com" TargetMode="External"/><Relationship Id="rIdakzywhbgtjw2xw8eimre_" Type="http://schemas.openxmlformats.org/officeDocument/2006/relationships/hyperlink" Target="https://www.google.com" TargetMode="External"/><Relationship Id="rIdkbwkqj-kqolonlojzm53t" Type="http://schemas.openxmlformats.org/officeDocument/2006/relationships/hyperlink" Target="https://www.linkedin.com" TargetMode="External"/><Relationship Id="rIdk4ymdvfbgvoskd6uus3cs" Type="http://schemas.openxmlformats.org/officeDocument/2006/relationships/hyperlink" Target="https://www.linkedin.com" TargetMode="External"/><Relationship Id="rIdbakol--wg5-m_5eqdzhvf" Type="http://schemas.openxmlformats.org/officeDocument/2006/relationships/hyperlink" Target="https://www.google.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2026-03-24T02:22:12.354Z</dcterms:created>
  <dcterms:modified xsi:type="dcterms:W3CDTF">2026-03-24T02:22:12.354Z</dcterms:modified>
</cp:coreProperties>
</file>

<file path=docProps/custom.xml><?xml version="1.0" encoding="utf-8"?>
<Properties xmlns="http://schemas.openxmlformats.org/officeDocument/2006/custom-properties" xmlns:vt="http://schemas.openxmlformats.org/officeDocument/2006/docPropsVTypes"/>
</file>