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3461"/>
          <w:sz w:val="40"/>
          <w:szCs w:val="40"/>
        </w:rPr>
        <w:t xml:space="preserve">Incident Response Policy</w:t>
      </w:r>
    </w:p>
    <w:p>
      <w:pPr>
        <w:spacing w:after="160" w:before="80"/>
      </w:pPr>
      <w:r>
        <w:rPr>
          <w:rFonts w:ascii="Arial" w:cs="Arial" w:eastAsia="Arial" w:hAnsi="Arial"/>
          <w:b w:val="false"/>
          <w:bCs w:val="false"/>
          <w:color w:val="555555"/>
          <w:sz w:val="18"/>
          <w:szCs w:val="18"/>
        </w:rPr>
        <w:t xml:space="preserve">Document ID: POL-IR-2026-003  |  Version: 2.1  |  Effective Date: January 1, 2026  |  Classification: CUI</w:t>
      </w:r>
    </w:p>
    <w:p>
      <w:pPr>
        <w:pBdr>
          <w:bottom w:val="single" w:color="2E4A7A" w:sz="6" w:space="1"/>
        </w:pBdr>
        <w:spacing w:after="160" w:before="160"/>
      </w:pPr>
    </w:p>
    <w:p>
      <w:pPr>
        <w:pStyle w:val="Heading1"/>
        <w:spacing w:after="120" w:before="300"/>
      </w:pPr>
      <w:r>
        <w:rPr>
          <w:rFonts w:ascii="Arial" w:cs="Arial" w:eastAsia="Arial" w:hAnsi="Arial"/>
          <w:b/>
          <w:bCs/>
          <w:color w:val="2E4A7A"/>
          <w:sz w:val="28"/>
          <w:szCs w:val="28"/>
        </w:rPr>
        <w:t xml:space="preserve">Purpose</w:t>
      </w:r>
    </w:p>
    <w:p>
      <w:pPr>
        <w:spacing w:after="100" w:before="100"/>
      </w:pPr>
      <w:r>
        <w:rPr>
          <w:rFonts w:ascii="Arial" w:cs="Arial" w:eastAsia="Arial" w:hAnsi="Arial"/>
          <w:sz w:val="20"/>
          <w:szCs w:val="20"/>
        </w:rPr>
        <w:t xml:space="preserve">This policy establishes the incident response requirements for all information systems operated by the organization. It defines the processes, responsibilities, and technical controls necessary to detect, contain, eradicate, and recover from cybersecurity incidents affecting organizational assets and data.</w:t>
      </w:r>
    </w:p>
    <w:p>
      <w:pPr>
        <w:spacing w:after="100" w:before="100"/>
      </w:pPr>
      <w:r>
        <w:rPr>
          <w:rFonts w:ascii="Arial" w:cs="Arial" w:eastAsia="Arial" w:hAnsi="Arial"/>
          <w:sz w:val="20"/>
          <w:szCs w:val="20"/>
        </w:rPr>
        <w:t xml:space="preserve">For NIST IR control family guidance, see the </w:t>
      </w:r>
      <w:hyperlink w:history="1" r:id="rIdbblt5ay1mdko6gtf1qfro">
        <w:r>
          <w:rPr>
            <w:rFonts w:ascii="Arial" w:cs="Arial" w:eastAsia="Arial" w:hAnsi="Arial"/>
            <w:color w:val="1155CC"/>
            <w:sz w:val="20"/>
            <w:szCs w:val="20"/>
            <w:u w:val="single"/>
          </w:rPr>
          <w:t xml:space="preserve">NIST SP 800-61 Rev 3 overview</w:t>
        </w:r>
      </w:hyperlink>
      <w:r>
        <w:rPr>
          <w:rFonts w:ascii="Arial" w:cs="Arial" w:eastAsia="Arial" w:hAnsi="Arial"/>
          <w:sz w:val="20"/>
          <w:szCs w:val="20"/>
        </w:rPr>
        <w:t xml:space="preserve">.</w:t>
      </w:r>
    </w:p>
    <w:p>
      <w:pPr>
        <w:pStyle w:val="Heading1"/>
        <w:spacing w:after="120" w:before="300"/>
      </w:pPr>
      <w:r>
        <w:rPr>
          <w:rFonts w:ascii="Arial" w:cs="Arial" w:eastAsia="Arial" w:hAnsi="Arial"/>
          <w:b/>
          <w:bCs/>
          <w:color w:val="2E4A7A"/>
          <w:sz w:val="28"/>
          <w:szCs w:val="28"/>
        </w:rPr>
        <w:t xml:space="preserve">Scope</w:t>
      </w:r>
    </w:p>
    <w:p>
      <w:pPr>
        <w:spacing w:after="100" w:before="100"/>
      </w:pPr>
      <w:r>
        <w:rPr>
          <w:rFonts w:ascii="Arial" w:cs="Arial" w:eastAsia="Arial" w:hAnsi="Arial"/>
          <w:sz w:val="20"/>
          <w:szCs w:val="20"/>
        </w:rPr>
        <w:t xml:space="preserve">This policy applies to all employees, contractors, and third-party personnel who operate or support organizational IT systems. It covers all incidents affecting systems classified as FIPS 199 Low, Moderate, or High. For personnel onboarding requirements related to IR awareness, refer to the </w:t>
      </w:r>
      <w:hyperlink w:history="1" r:id="rIdywboosrdoiodqp8xv91si">
        <w:r>
          <w:rPr>
            <w:rFonts w:ascii="Arial" w:cs="Arial" w:eastAsia="Arial" w:hAnsi="Arial"/>
            <w:color w:val="1155CC"/>
            <w:sz w:val="20"/>
            <w:szCs w:val="20"/>
            <w:u w:val="single"/>
          </w:rPr>
          <w:t xml:space="preserve">Security Awareness Training resources</w:t>
        </w:r>
      </w:hyperlink>
      <w:r>
        <w:rPr>
          <w:rFonts w:ascii="Arial" w:cs="Arial" w:eastAsia="Arial" w:hAnsi="Arial"/>
          <w:sz w:val="20"/>
          <w:szCs w:val="20"/>
        </w:rPr>
        <w:t xml:space="preserve">.</w:t>
      </w:r>
    </w:p>
    <w:p>
      <w:pPr>
        <w:spacing w:after="100" w:before="100"/>
      </w:pPr>
      <w:r>
        <w:rPr>
          <w:rFonts w:ascii="Arial" w:cs="Arial" w:eastAsia="Arial" w:hAnsi="Arial"/>
          <w:sz w:val="20"/>
          <w:szCs w:val="20"/>
        </w:rPr>
        <w:t xml:space="preserve">Mobile device incidents are addressed in conjunction with the Mobile Device Management Policy. Cloud-specific incident procedures are addressed in Appendix A, Section 3.</w:t>
      </w:r>
    </w:p>
    <w:p>
      <w:pPr>
        <w:pStyle w:val="Heading1"/>
        <w:spacing w:after="120" w:before="300"/>
      </w:pPr>
      <w:r>
        <w:rPr>
          <w:rFonts w:ascii="Arial" w:cs="Arial" w:eastAsia="Arial" w:hAnsi="Arial"/>
          <w:b/>
          <w:bCs/>
          <w:color w:val="2E4A7A"/>
          <w:sz w:val="28"/>
          <w:szCs w:val="28"/>
        </w:rPr>
        <w:t xml:space="preserve">Intent</w:t>
      </w:r>
    </w:p>
    <w:p>
      <w:pPr>
        <w:spacing w:after="100" w:before="100"/>
      </w:pPr>
      <w:r>
        <w:rPr>
          <w:rFonts w:ascii="Arial" w:cs="Arial" w:eastAsia="Arial" w:hAnsi="Arial"/>
          <w:sz w:val="20"/>
          <w:szCs w:val="20"/>
        </w:rPr>
        <w:t xml:space="preserve">The organization's intent is to respond to incidents in a manner that minimizes impact, preserves evidence, satisfies federal reporting obligations, and drives continuous improvement. As described in the Risk Management Policy, incident data shall feed quarterly risk assessments.</w:t>
      </w:r>
    </w:p>
    <w:p>
      <w:pPr>
        <w:spacing w:after="100" w:before="100"/>
      </w:pPr>
      <w:r>
        <w:rPr>
          <w:rFonts w:ascii="Arial" w:cs="Arial" w:eastAsia="Arial" w:hAnsi="Arial"/>
          <w:sz w:val="20"/>
          <w:szCs w:val="20"/>
        </w:rPr>
        <w:t xml:space="preserve">This policy supports compliance with FISMA, OMB M-22-09, and Executive Order 14028 on Improving the Nation's Cybersecurity. For current federal incident reporting timelines, see </w:t>
      </w:r>
      <w:hyperlink w:history="1" r:id="rIdkfku70rxep4otzyh3t5ug">
        <w:r>
          <w:rPr>
            <w:rFonts w:ascii="Arial" w:cs="Arial" w:eastAsia="Arial" w:hAnsi="Arial"/>
            <w:color w:val="1155CC"/>
            <w:sz w:val="20"/>
            <w:szCs w:val="20"/>
            <w:u w:val="single"/>
          </w:rPr>
          <w:t xml:space="preserve">CISA incident reporting guidance</w:t>
        </w:r>
      </w:hyperlink>
      <w:r>
        <w:rPr>
          <w:rFonts w:ascii="Arial" w:cs="Arial" w:eastAsia="Arial" w:hAnsi="Arial"/>
          <w:sz w:val="20"/>
          <w:szCs w:val="20"/>
        </w:rPr>
        <w:t xml:space="preserve">.</w:t>
      </w:r>
    </w:p>
    <w:p>
      <w:pPr>
        <w:pStyle w:val="Heading1"/>
        <w:spacing w:after="120" w:before="300"/>
      </w:pPr>
      <w:r>
        <w:rPr>
          <w:rFonts w:ascii="Arial" w:cs="Arial" w:eastAsia="Arial" w:hAnsi="Arial"/>
          <w:b/>
          <w:bCs/>
          <w:color w:val="2E4A7A"/>
          <w:sz w:val="28"/>
          <w:szCs w:val="28"/>
        </w:rPr>
        <w:t xml:space="preserve">Controls</w:t>
      </w:r>
    </w:p>
    <w:p>
      <w:pPr>
        <w:spacing w:after="100" w:before="100"/>
      </w:pPr>
      <w:r>
        <w:rPr>
          <w:rFonts w:ascii="Arial" w:cs="Arial" w:eastAsia="Arial" w:hAnsi="Arial"/>
          <w:sz w:val="20"/>
          <w:szCs w:val="20"/>
        </w:rPr>
        <w:t xml:space="preserve">The following controls govern incident response operations. All controls map to NIST SP 800-53 Rev 5. Appendix C contains the severity classification matrix referenced by IRP02.001.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900"/>
        <w:gridCol w:w="1300"/>
        <w:gridCol w:w="1560"/>
      </w:tblGrid>
      <w:tr>
        <w:tc>
          <w:tcPr>
            <w:tcW w:type="dxa" w:w="1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Control ID</w:t>
            </w:r>
          </w:p>
        </w:tc>
        <w:tc>
          <w:tcPr>
            <w:tcW w:type="dxa" w:w="1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9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NIST</w:t>
            </w:r>
          </w:p>
        </w:tc>
        <w:tc>
          <w:tcPr>
            <w:tcW w:type="dxa" w:w="13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5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sz w:val="18"/>
                <w:szCs w:val="18"/>
              </w:rPr>
              <w:t xml:space="preserve">IRP01.001</w:t>
            </w:r>
          </w:p>
        </w:tc>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IR Plan Development</w:t>
            </w:r>
          </w:p>
        </w:tc>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The organization shall develop and maintain a formal incident response plan reviewed annually. See Appendix A for the IR plan template.</w:t>
            </w:r>
          </w:p>
        </w:tc>
        <w:tc>
          <w:tcPr>
            <w:tcW w:type="dxa" w:w="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IR-8</w:t>
            </w:r>
          </w:p>
        </w:tc>
        <w:tc>
          <w:tcPr>
            <w:tcW w:type="dxa" w:w="1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Implemented</w:t>
            </w:r>
          </w:p>
        </w:tc>
        <w:tc>
          <w:tcPr>
            <w:tcW w:type="dxa" w:w="1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IR Team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IRP01.002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IR Team Activation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IR team shall be activated within 1 hour of a P1 incident declaration. Refer to Appendix B for escalation contacts.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IR-4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Implemented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SOC</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sz w:val="18"/>
                <w:szCs w:val="18"/>
              </w:rPr>
              <w:t xml:space="preserve">IRP02.001</w:t>
            </w:r>
          </w:p>
        </w:tc>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Incident Classification</w:t>
            </w:r>
          </w:p>
        </w:tc>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All incidents shall be classified per the severity matrix in Appendix C before response actions begin.</w:t>
            </w:r>
          </w:p>
        </w:tc>
        <w:tc>
          <w:tcPr>
            <w:tcW w:type="dxa" w:w="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IR-5</w:t>
            </w:r>
          </w:p>
        </w:tc>
        <w:tc>
          <w:tcPr>
            <w:tcW w:type="dxa" w:w="1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Implemented</w:t>
            </w:r>
          </w:p>
        </w:tc>
        <w:tc>
          <w:tcPr>
            <w:tcW w:type="dxa" w:w="1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SOC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IRP02.002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Evidence Preservation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Digital evidence shall be preserved per the chain-of-custody procedures in Appendix D. Refer to Section 4.2 for legal hold requirements.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IR-4(1)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Implemented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Forensics</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sz w:val="18"/>
                <w:szCs w:val="18"/>
              </w:rPr>
              <w:t xml:space="preserve">IRP03.001</w:t>
            </w:r>
          </w:p>
        </w:tc>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Incident Notification</w:t>
            </w:r>
          </w:p>
        </w:tc>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Incidents affecting CUI shall be reported to US-CERT within 1 hour of detection per CISA requirements. See Appendix E for notification templates.</w:t>
            </w:r>
          </w:p>
        </w:tc>
        <w:tc>
          <w:tcPr>
            <w:tcW w:type="dxa" w:w="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IR-6</w:t>
            </w:r>
          </w:p>
        </w:tc>
        <w:tc>
          <w:tcPr>
            <w:tcW w:type="dxa" w:w="1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Implemented</w:t>
            </w:r>
          </w:p>
        </w:tc>
        <w:tc>
          <w:tcPr>
            <w:tcW w:type="dxa" w:w="1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ISSO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IRP03.002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After-Action Review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post-incident review shall be conducted within 5 business days. Findings shall feed into the risk register per the Risk Management Policy.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IR-4(6)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Partially Implemented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IR Team</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sz w:val="18"/>
                <w:szCs w:val="18"/>
              </w:rPr>
              <w:t xml:space="preserve">IRP04.001</w:t>
            </w:r>
          </w:p>
        </w:tc>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Forensic Capability</w:t>
            </w:r>
          </w:p>
        </w:tc>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The organization shall maintain forensic tools and trained personnel capable of analyzing endpoints, network logs, and cloud environments.</w:t>
            </w:r>
          </w:p>
        </w:tc>
        <w:tc>
          <w:tcPr>
            <w:tcW w:type="dxa" w:w="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IR-4(14)</w:t>
            </w:r>
          </w:p>
        </w:tc>
        <w:tc>
          <w:tcPr>
            <w:tcW w:type="dxa" w:w="1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Implemented</w:t>
            </w:r>
          </w:p>
        </w:tc>
        <w:tc>
          <w:tcPr>
            <w:tcW w:type="dxa" w:w="1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Forensics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IRP04.002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Tabletop Exercises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IR tabletop exercises shall be conducted semi-annually. Results shall be documented and stored in SharePoint per Appendix 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IR-3(2)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Implemented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IR Team</w:t>
            </w:r>
          </w:p>
        </w:tc>
      </w:tr>
    </w:tbl>
    <w:p>
      <w:pPr>
        <w:pStyle w:val="Heading1"/>
        <w:spacing w:after="120" w:before="300"/>
      </w:pPr>
      <w:r>
        <w:rPr>
          <w:rFonts w:ascii="Arial" w:cs="Arial" w:eastAsia="Arial" w:hAnsi="Arial"/>
          <w:b/>
          <w:bCs/>
          <w:color w:val="2E4A7A"/>
          <w:sz w:val="28"/>
          <w:szCs w:val="28"/>
        </w:rPr>
        <w:t xml:space="preserve">Enforcement</w:t>
      </w:r>
    </w:p>
    <w:p>
      <w:pPr>
        <w:spacing w:after="100" w:before="100"/>
      </w:pPr>
      <w:r>
        <w:rPr>
          <w:rFonts w:ascii="Arial" w:cs="Arial" w:eastAsia="Arial" w:hAnsi="Arial"/>
          <w:sz w:val="20"/>
          <w:szCs w:val="20"/>
        </w:rPr>
        <w:t xml:space="preserve">Failure to comply with incident response obligations may result in disciplinary action per Section 6 of the Acceptable Use Policy. Contractors found in violation shall be subject to contract remediation. IR Team members who fail to respond within required SLAs shall be subject to performance review.</w:t>
      </w:r>
    </w:p>
    <w:p>
      <w:pPr>
        <w:pStyle w:val="Heading1"/>
        <w:spacing w:after="120" w:before="300"/>
      </w:pPr>
      <w:r>
        <w:rPr>
          <w:rFonts w:ascii="Arial" w:cs="Arial" w:eastAsia="Arial" w:hAnsi="Arial"/>
          <w:b/>
          <w:bCs/>
          <w:color w:val="2E4A7A"/>
          <w:sz w:val="28"/>
          <w:szCs w:val="28"/>
        </w:rPr>
        <w:t xml:space="preserve">References</w:t>
      </w:r>
    </w:p>
    <w:p>
      <w:pPr>
        <w:spacing w:after="100" w:before="100"/>
      </w:pPr>
      <w:r>
        <w:rPr>
          <w:rFonts w:ascii="Arial" w:cs="Arial" w:eastAsia="Arial" w:hAnsi="Arial"/>
          <w:sz w:val="20"/>
          <w:szCs w:val="20"/>
        </w:rPr>
        <w:t xml:space="preserve">Access Control Policy (POL-AC-2026-001)</w:t>
      </w:r>
    </w:p>
    <w:p>
      <w:pPr>
        <w:spacing w:after="100" w:before="100"/>
      </w:pPr>
      <w:r>
        <w:rPr>
          <w:rFonts w:ascii="Arial" w:cs="Arial" w:eastAsia="Arial" w:hAnsi="Arial"/>
          <w:sz w:val="20"/>
          <w:szCs w:val="20"/>
        </w:rPr>
        <w:t xml:space="preserve">Acceptable Use Policy (POL-AU-2026-006)</w:t>
      </w:r>
    </w:p>
    <w:p>
      <w:pPr>
        <w:spacing w:after="100" w:before="100"/>
      </w:pPr>
      <w:r>
        <w:rPr>
          <w:rFonts w:ascii="Arial" w:cs="Arial" w:eastAsia="Arial" w:hAnsi="Arial"/>
          <w:sz w:val="20"/>
          <w:szCs w:val="20"/>
        </w:rPr>
        <w:t xml:space="preserve">Risk Management Policy (POL-RM-2026-009)</w:t>
      </w:r>
    </w:p>
    <w:p>
      <w:pPr>
        <w:spacing w:after="100" w:before="100"/>
      </w:pPr>
      <w:r>
        <w:rPr>
          <w:rFonts w:ascii="Arial" w:cs="Arial" w:eastAsia="Arial" w:hAnsi="Arial"/>
          <w:sz w:val="20"/>
          <w:szCs w:val="20"/>
        </w:rPr>
        <w:t xml:space="preserve">NIST SP 800-61 Rev 3 | </w:t>
      </w:r>
      <w:hyperlink w:history="1" r:id="rIdpgha7qaejfjcxywhru_lb">
        <w:r>
          <w:rPr>
            <w:rFonts w:ascii="Arial" w:cs="Arial" w:eastAsia="Arial" w:hAnsi="Arial"/>
            <w:color w:val="1155CC"/>
            <w:sz w:val="20"/>
            <w:szCs w:val="20"/>
            <w:u w:val="single"/>
          </w:rPr>
          <w:t xml:space="preserve">Computer Security Incident Handling Guide</w:t>
        </w:r>
      </w:hyperlink>
    </w:p>
    <w:p>
      <w:pPr>
        <w:spacing w:after="100" w:before="100"/>
      </w:pPr>
      <w:r>
        <w:rPr>
          <w:rFonts w:ascii="Arial" w:cs="Arial" w:eastAsia="Arial" w:hAnsi="Arial"/>
          <w:sz w:val="20"/>
          <w:szCs w:val="20"/>
        </w:rPr>
        <w:t xml:space="preserve">CISA Federal Incident Notification Guidelines | </w:t>
      </w:r>
      <w:hyperlink w:history="1" r:id="rIdy1pi_w2plfvod9lotjqph">
        <w:r>
          <w:rPr>
            <w:rFonts w:ascii="Arial" w:cs="Arial" w:eastAsia="Arial" w:hAnsi="Arial"/>
            <w:color w:val="1155CC"/>
            <w:sz w:val="20"/>
            <w:szCs w:val="20"/>
            <w:u w:val="single"/>
          </w:rPr>
          <w:t xml:space="preserve">CISA Guidance Portal</w:t>
        </w:r>
      </w:hyperlink>
    </w:p>
    <w:p>
      <w:pPr>
        <w:pBdr>
          <w:bottom w:val="single" w:color="2E4A7A" w:sz="6" w:space="1"/>
        </w:pBdr>
        <w:spacing w:after="160" w:before="160"/>
      </w:pPr>
    </w:p>
    <w:p>
      <w:pPr>
        <w:pStyle w:val="Heading1"/>
        <w:spacing w:after="120" w:before="300"/>
      </w:pPr>
      <w:r>
        <w:rPr>
          <w:rFonts w:ascii="Arial" w:cs="Arial" w:eastAsia="Arial" w:hAnsi="Arial"/>
          <w:b/>
          <w:bCs/>
          <w:color w:val="2E4A7A"/>
          <w:sz w:val="28"/>
          <w:szCs w:val="28"/>
        </w:rPr>
        <w:t xml:space="preserve">Appendix A - Incident Response Plan Template</w:t>
      </w:r>
    </w:p>
    <w:p>
      <w:pPr>
        <w:spacing w:after="100" w:before="100"/>
      </w:pPr>
      <w:r>
        <w:rPr>
          <w:rFonts w:ascii="Arial" w:cs="Arial" w:eastAsia="Arial" w:hAnsi="Arial"/>
          <w:sz w:val="20"/>
          <w:szCs w:val="20"/>
        </w:rPr>
        <w:t xml:space="preserve">This appendix provides the master template for the organization's incident response plan. The IR Team lead shall update this template annually and upon significant changes to the threat landscape or organizational structure.</w:t>
      </w:r>
    </w:p>
    <w:p>
      <w:pPr>
        <w:spacing w:after="100" w:before="100"/>
      </w:pPr>
      <w:r>
        <w:rPr>
          <w:rFonts w:ascii="Arial" w:cs="Arial" w:eastAsia="Arial" w:hAnsi="Arial"/>
          <w:sz w:val="20"/>
          <w:szCs w:val="20"/>
        </w:rPr>
        <w:t xml:space="preserve">IR Plan sections: 1. Purpose and Scope  2. IR Team Composition and Contacts  3. Incident Classification  4. Detection and Analysis  5. Containment  6. Eradication and Recovery  7. Post-Incident Activity  8. Cloud-Specific Procedures  9. Legal and Regulatory Obligations</w:t>
      </w:r>
    </w:p>
    <w:p>
      <w:pPr>
        <w:pStyle w:val="Heading1"/>
        <w:spacing w:after="120" w:before="300"/>
      </w:pPr>
      <w:r>
        <w:rPr>
          <w:rFonts w:ascii="Arial" w:cs="Arial" w:eastAsia="Arial" w:hAnsi="Arial"/>
          <w:b/>
          <w:bCs/>
          <w:color w:val="2E4A7A"/>
          <w:sz w:val="28"/>
          <w:szCs w:val="28"/>
        </w:rPr>
        <w:t xml:space="preserve">Appendix B - Escalation Contact List</w:t>
      </w:r>
    </w:p>
    <w:p>
      <w:pPr>
        <w:spacing w:after="100" w:before="100"/>
      </w:pPr>
      <w:r>
        <w:rPr>
          <w:rFonts w:ascii="Arial" w:cs="Arial" w:eastAsia="Arial" w:hAnsi="Arial"/>
          <w:sz w:val="20"/>
          <w:szCs w:val="20"/>
        </w:rPr>
        <w:t xml:space="preserve">The escalation contact list is maintained as a controlled document in SharePoint under the SOC Operations folder. CUI handling requirements apply. The SOC manager shall review and update this list quarterly.</w:t>
      </w:r>
    </w:p>
    <w:p>
      <w:pPr>
        <w:spacing w:after="100" w:before="100"/>
      </w:pPr>
      <w:r>
        <w:rPr>
          <w:rFonts w:ascii="Arial" w:cs="Arial" w:eastAsia="Arial" w:hAnsi="Arial"/>
          <w:sz w:val="20"/>
          <w:szCs w:val="20"/>
        </w:rPr>
        <w:t xml:space="preserve">For the current contact list, see </w:t>
      </w:r>
      <w:hyperlink w:history="1" r:id="rIdrjrp6sef0i-zcas5vi6aq">
        <w:r>
          <w:rPr>
            <w:rFonts w:ascii="Arial" w:cs="Arial" w:eastAsia="Arial" w:hAnsi="Arial"/>
            <w:color w:val="1155CC"/>
            <w:sz w:val="20"/>
            <w:szCs w:val="20"/>
            <w:u w:val="single"/>
          </w:rPr>
          <w:t xml:space="preserve">IR Team SharePoint (internal)</w:t>
        </w:r>
      </w:hyperlink>
      <w:r>
        <w:rPr>
          <w:rFonts w:ascii="Arial" w:cs="Arial" w:eastAsia="Arial" w:hAnsi="Arial"/>
          <w:sz w:val="20"/>
          <w:szCs w:val="20"/>
        </w:rPr>
        <w:t xml:space="preserve">.</w:t>
      </w:r>
    </w:p>
    <w:p>
      <w:pPr>
        <w:pStyle w:val="Heading1"/>
        <w:spacing w:after="120" w:before="300"/>
      </w:pPr>
      <w:r>
        <w:rPr>
          <w:rFonts w:ascii="Arial" w:cs="Arial" w:eastAsia="Arial" w:hAnsi="Arial"/>
          <w:b/>
          <w:bCs/>
          <w:color w:val="2E4A7A"/>
          <w:sz w:val="28"/>
          <w:szCs w:val="28"/>
        </w:rPr>
        <w:t xml:space="preserve">Appendix C - Severity Classification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160"/>
        <w:gridCol w:w="2000"/>
      </w:tblGrid>
      <w:tr>
        <w:tc>
          <w:tcPr>
            <w:tcW w:type="dxa" w:w="1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1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Notification SLA</w:t>
            </w:r>
          </w:p>
        </w:tc>
        <w:tc>
          <w:tcPr>
            <w:tcW w:type="dxa" w:w="2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Response SLA</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sz w:val="18"/>
                <w:szCs w:val="18"/>
              </w:rPr>
              <w:t xml:space="preserve">P1</w:t>
            </w:r>
          </w:p>
        </w:tc>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Critical</w:t>
            </w:r>
          </w:p>
        </w:tc>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Active exfiltration or system compromise. CUI at risk.</w:t>
            </w:r>
          </w:p>
        </w:tc>
        <w:tc>
          <w:tcPr>
            <w:tcW w:type="dxa" w:w="2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1 hour to US-CERT</w:t>
            </w:r>
          </w:p>
        </w:tc>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Immediate activation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Confirmed malware, unauthorized privileged access.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 hours internal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 hours</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sz w:val="18"/>
                <w:szCs w:val="18"/>
              </w:rPr>
              <w:t xml:space="preserve">P3</w:t>
            </w:r>
          </w:p>
        </w:tc>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Medium</w:t>
            </w:r>
          </w:p>
        </w:tc>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Suspected compromise, policy violation with data risk.</w:t>
            </w:r>
          </w:p>
        </w:tc>
        <w:tc>
          <w:tcPr>
            <w:tcW w:type="dxa" w:w="2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24 hours internal</w:t>
            </w:r>
          </w:p>
        </w:tc>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8 business hours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Policy violation, no data impact, no active threat.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72 hours internal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Next business day</w:t>
            </w:r>
          </w:p>
        </w:tc>
      </w:tr>
    </w:tbl>
    <w:p>
      <w:pPr>
        <w:pStyle w:val="Heading1"/>
        <w:spacing w:after="120" w:before="300"/>
      </w:pPr>
      <w:r>
        <w:rPr>
          <w:rFonts w:ascii="Arial" w:cs="Arial" w:eastAsia="Arial" w:hAnsi="Arial"/>
          <w:b/>
          <w:bCs/>
          <w:color w:val="2E4A7A"/>
          <w:sz w:val="28"/>
          <w:szCs w:val="28"/>
        </w:rPr>
        <w:t xml:space="preserve">Appendix D - Chain of Custody Form</w:t>
      </w:r>
    </w:p>
    <w:p>
      <w:pPr>
        <w:spacing w:after="100" w:before="100"/>
      </w:pPr>
      <w:r>
        <w:rPr>
          <w:rFonts w:ascii="Arial" w:cs="Arial" w:eastAsia="Arial" w:hAnsi="Arial"/>
          <w:sz w:val="20"/>
          <w:szCs w:val="20"/>
        </w:rPr>
        <w:t xml:space="preserve">All digital evidence collected during incident investigations shall be documented on the chain-of-custody form. Fields required: Evidence ID, Date/Time Collected, Collected By, System Source, Hash Value (SHA-256), Storage Location, Transfer Log.</w:t>
      </w:r>
    </w:p>
    <w:p>
      <w:pPr>
        <w:spacing w:after="100" w:before="100"/>
      </w:pPr>
      <w:r>
        <w:rPr>
          <w:rFonts w:ascii="Arial" w:cs="Arial" w:eastAsia="Arial" w:hAnsi="Arial"/>
          <w:sz w:val="20"/>
          <w:szCs w:val="20"/>
        </w:rPr>
        <w:t xml:space="preserve">Chain of custody forms are stored in the case management system. For form access, see </w:t>
      </w:r>
      <w:hyperlink w:history="1" r:id="rIdzbl-ahbpix2z_kl2s60zw">
        <w:r>
          <w:rPr>
            <w:rFonts w:ascii="Arial" w:cs="Arial" w:eastAsia="Arial" w:hAnsi="Arial"/>
            <w:color w:val="1155CC"/>
            <w:sz w:val="20"/>
            <w:szCs w:val="20"/>
            <w:u w:val="single"/>
          </w:rPr>
          <w:t xml:space="preserve">Forensics Team resources</w:t>
        </w:r>
      </w:hyperlink>
      <w:r>
        <w:rPr>
          <w:rFonts w:ascii="Arial" w:cs="Arial" w:eastAsia="Arial" w:hAnsi="Arial"/>
          <w:sz w:val="20"/>
          <w:szCs w:val="20"/>
        </w:rPr>
        <w:t xml:space="preserve">.</w:t>
      </w:r>
    </w:p>
    <w:p>
      <w:pPr>
        <w:pStyle w:val="Heading1"/>
        <w:spacing w:after="120" w:before="300"/>
      </w:pPr>
      <w:r>
        <w:rPr>
          <w:rFonts w:ascii="Arial" w:cs="Arial" w:eastAsia="Arial" w:hAnsi="Arial"/>
          <w:b/>
          <w:bCs/>
          <w:color w:val="2E4A7A"/>
          <w:sz w:val="28"/>
          <w:szCs w:val="28"/>
        </w:rPr>
        <w:t xml:space="preserve">Appendix E - US-CERT Notification Templates</w:t>
      </w:r>
    </w:p>
    <w:p>
      <w:pPr>
        <w:spacing w:after="100" w:before="100"/>
      </w:pPr>
      <w:r>
        <w:rPr>
          <w:rFonts w:ascii="Arial" w:cs="Arial" w:eastAsia="Arial" w:hAnsi="Arial"/>
          <w:sz w:val="20"/>
          <w:szCs w:val="20"/>
        </w:rPr>
        <w:t xml:space="preserve">Pre-approved notification templates for mandatory CISA/US-CERT reporting. Templates include required fields per OMB M-22-09: incident type, affected systems, data categories involved, detection method, containment actions taken, and timeline.</w:t>
      </w:r>
    </w:p>
    <w:p>
      <w:pPr>
        <w:pStyle w:val="Heading1"/>
        <w:spacing w:after="120" w:before="300"/>
      </w:pPr>
      <w:r>
        <w:rPr>
          <w:rFonts w:ascii="Arial" w:cs="Arial" w:eastAsia="Arial" w:hAnsi="Arial"/>
          <w:b/>
          <w:bCs/>
          <w:color w:val="2E4A7A"/>
          <w:sz w:val="28"/>
          <w:szCs w:val="28"/>
        </w:rPr>
        <w:t xml:space="preserve">Appendix F - Tabletop Exercise Log</w:t>
      </w:r>
    </w:p>
    <w:p>
      <w:pPr>
        <w:spacing w:after="100" w:before="100"/>
      </w:pPr>
      <w:r>
        <w:rPr>
          <w:rFonts w:ascii="Arial" w:cs="Arial" w:eastAsia="Arial" w:hAnsi="Arial"/>
          <w:sz w:val="20"/>
          <w:szCs w:val="20"/>
        </w:rPr>
        <w:t xml:space="preserve">A historical record of all IR tabletop exercises, findings, and remediation actions shall be maintained in this appendix. Each entry shall include: exercise date, scenario description, participants, findings rated by severity, and remediation owners with due dates.</w:t>
      </w:r>
    </w:p>
    <w:p>
      <w:pPr>
        <w:spacing w:after="100" w:before="100"/>
      </w:pPr>
      <w:r>
        <w:rPr>
          <w:rFonts w:ascii="Arial" w:cs="Arial" w:eastAsia="Arial" w:hAnsi="Arial"/>
          <w:sz w:val="20"/>
          <w:szCs w:val="20"/>
        </w:rPr>
        <w:t xml:space="preserve">Current exercise log: </w:t>
      </w:r>
      <w:hyperlink w:history="1" r:id="rIdfdnh4m5m0eg7hm8nenyf-">
        <w:r>
          <w:rPr>
            <w:rFonts w:ascii="Arial" w:cs="Arial" w:eastAsia="Arial" w:hAnsi="Arial"/>
            <w:color w:val="1155CC"/>
            <w:sz w:val="20"/>
            <w:szCs w:val="20"/>
            <w:u w:val="single"/>
          </w:rPr>
          <w:t xml:space="preserve">Tabletop Exercise Log (SharePoint)</w:t>
        </w:r>
      </w:hyperlink>
    </w:p>
    <w:p>
      <w:pPr>
        <w:pStyle w:val="Heading1"/>
        <w:spacing w:after="120" w:before="300"/>
      </w:pPr>
      <w:r>
        <w:rPr>
          <w:rFonts w:ascii="Arial" w:cs="Arial" w:eastAsia="Arial" w:hAnsi="Arial"/>
          <w:b/>
          <w:bCs/>
          <w:color w:val="2E4A7A"/>
          <w:sz w:val="28"/>
          <w:szCs w:val="28"/>
        </w:rPr>
        <w:t xml:space="preserve">Appendix G -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c>
          <w:tcPr>
            <w:tcW w:type="dxa" w:w="1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9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2.1</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01/01/2026</w:t>
            </w:r>
          </w:p>
        </w:tc>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R. Torres, ISSO</w:t>
            </w:r>
          </w:p>
        </w:tc>
        <w:tc>
          <w:tcPr>
            <w:tcW w:type="dxa" w:w="3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Added cloud-specific IR procedures to Appendix 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07/15/2025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 Torres, ISSO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Major revision for EO 14028 compliance</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1.2</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01/10/2025</w:t>
            </w:r>
          </w:p>
        </w:tc>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M. Johnson</w:t>
            </w:r>
          </w:p>
        </w:tc>
        <w:tc>
          <w:tcPr>
            <w:tcW w:type="dxa" w:w="3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Updated US-CERT notification timelines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4A7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34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blt5ay1mdko6gtf1qfro" Type="http://schemas.openxmlformats.org/officeDocument/2006/relationships/hyperlink" Target="https://www.google.com" TargetMode="External"/><Relationship Id="rIdywboosrdoiodqp8xv91si" Type="http://schemas.openxmlformats.org/officeDocument/2006/relationships/hyperlink" Target="https://www.linkedin.com" TargetMode="External"/><Relationship Id="rIdkfku70rxep4otzyh3t5ug" Type="http://schemas.openxmlformats.org/officeDocument/2006/relationships/hyperlink" Target="https://www.google.com" TargetMode="External"/><Relationship Id="rIdpgha7qaejfjcxywhru_lb" Type="http://schemas.openxmlformats.org/officeDocument/2006/relationships/hyperlink" Target="https://www.google.com" TargetMode="External"/><Relationship Id="rIdy1pi_w2plfvod9lotjqph" Type="http://schemas.openxmlformats.org/officeDocument/2006/relationships/hyperlink" Target="https://www.linkedin.com" TargetMode="External"/><Relationship Id="rIdrjrp6sef0i-zcas5vi6aq" Type="http://schemas.openxmlformats.org/officeDocument/2006/relationships/hyperlink" Target="https://www.linkedin.com" TargetMode="External"/><Relationship Id="rIdzbl-ahbpix2z_kl2s60zw" Type="http://schemas.openxmlformats.org/officeDocument/2006/relationships/hyperlink" Target="https://www.google.com" TargetMode="External"/><Relationship Id="rIdfdnh4m5m0eg7hm8nenyf-" Type="http://schemas.openxmlformats.org/officeDocument/2006/relationships/hyperlink" Target="https://www.linkedin.com"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2026-03-24T02:22:12.312Z</dcterms:created>
  <dcterms:modified xsi:type="dcterms:W3CDTF">2026-03-24T02:22:12.312Z</dcterms:modified>
</cp:coreProperties>
</file>

<file path=docProps/custom.xml><?xml version="1.0" encoding="utf-8"?>
<Properties xmlns="http://schemas.openxmlformats.org/officeDocument/2006/custom-properties" xmlns:vt="http://schemas.openxmlformats.org/officeDocument/2006/docPropsVTypes"/>
</file>