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Acceptable Use Policy</w:t>
      </w:r>
    </w:p>
    <w:p>
      <w:pPr>
        <w:spacing w:after="120"/>
      </w:pPr>
      <w:r>
        <w:rPr>
          <w:sz w:val="22"/>
          <w:szCs w:val="22"/>
        </w:rPr>
        <w:t xml:space="preserve">Document ID: POL-AU-2026-006 | Version: 4.0 | Effective Date: January 1, 2026 | Classification: Unclassified</w:t>
      </w:r>
    </w:p>
    <w:p/>
    <w:p>
      <w:pPr>
        <w:pStyle w:val="Heading1"/>
      </w:pPr>
      <w:r>
        <w:t xml:space="preserve">Purpose</w:t>
      </w:r>
    </w:p>
    <w:p>
      <w:pPr>
        <w:spacing w:after="120"/>
      </w:pPr>
      <w:r>
        <w:rPr>
          <w:sz w:val="22"/>
          <w:szCs w:val="22"/>
        </w:rPr>
        <w:t xml:space="preserve">This policy defines the acceptable use of organizational information technology resources, including computers, networks, email, internet access, mobile devices, and cloud services. The purpose is to protect organizational assets, data, and reputation while enabling personnel to perform their duties effectively.</w:t>
      </w:r>
    </w:p>
    <w:p/>
    <w:p>
      <w:pPr>
        <w:pStyle w:val="Heading1"/>
      </w:pPr>
      <w:r>
        <w:t xml:space="preserve">Scope</w:t>
      </w:r>
    </w:p>
    <w:p>
      <w:pPr>
        <w:spacing w:after="120"/>
      </w:pPr>
      <w:r>
        <w:rPr>
          <w:sz w:val="22"/>
          <w:szCs w:val="22"/>
        </w:rPr>
        <w:t xml:space="preserve">This policy applies to all personnel who access organizational IT resources, including full-time employees, part-time employees, contractors, interns, volunteers, and temporary staff. It covers all devices and systems, whether owned by the organization or personally owned devices used for organizational purposes (BYOD). For BYOD-specific requirements, refer to Section 4.3 of the Mobile Device Management Policy.</w:t>
      </w:r>
    </w:p>
    <w:p/>
    <w:p>
      <w:pPr>
        <w:pStyle w:val="Heading1"/>
      </w:pPr>
      <w:r>
        <w:t xml:space="preserve">Intent</w:t>
      </w:r>
    </w:p>
    <w:p>
      <w:pPr>
        <w:spacing w:after="120"/>
      </w:pPr>
      <w:r>
        <w:rPr>
          <w:sz w:val="22"/>
          <w:szCs w:val="22"/>
        </w:rPr>
        <w:t xml:space="preserve">The organization provides IT resources to support mission objectives. Users are expected to exercise responsible behavior when using these resources. The intent of this policy is to establish clear boundaries for acceptable behavior, define user responsibilities, and outline consequences for violations. This policy supports the broader information security program described in the Information Security Program Charter.</w:t>
      </w:r>
    </w:p>
    <w:p>
      <w:pPr>
        <w:spacing w:after="120"/>
      </w:pPr>
      <w:r>
        <w:rPr>
          <w:sz w:val="22"/>
          <w:szCs w:val="22"/>
        </w:rPr>
        <w:t xml:space="preserve">Acceptable use is not merely a compliance exercise. The controls in this policy exist because misuse of IT resources can result in data breaches, legal liability, loss of public trust, and degradation of system availability. Every user shares responsibility for maintaining the security posture of the organization. As described in the Access Control Policy, Section 3, all access is granted based on the principle of least privilege and conditioned on compliance with this policy.</w:t>
      </w:r>
    </w:p>
    <w:p/>
    <w:p>
      <w:pPr>
        <w:pStyle w:val="Heading1"/>
      </w:pPr>
      <w:r>
        <w:t xml:space="preserve">General Use Requirements</w:t>
      </w:r>
    </w:p>
    <w:p>
      <w:pPr>
        <w:spacing w:after="120"/>
      </w:pPr>
      <w:r>
        <w:rPr>
          <w:sz w:val="22"/>
          <w:szCs w:val="22"/>
        </w:rPr>
        <w:t xml:space="preserve">Organizational IT resources are provided for official use. Limited personal use is permitted provided it does not interfere with work duties, consume excessive bandwidth, create security risks, or violate any law or regulation. Users must not have an expectation of privacy when using organizational systems. All activity may be monitored and recorded per the Continuous Monitoring Policy.</w:t>
      </w:r>
    </w:p>
    <w:p>
      <w:pPr>
        <w:spacing w:after="120"/>
      </w:pPr>
      <w:r>
        <w:rPr>
          <w:sz w:val="22"/>
          <w:szCs w:val="22"/>
        </w:rPr>
        <w:t xml:space="preserve">Users shall not attempt to access systems, data, or networks for which they have not been granted explicit authorization. Unauthorized access attempts, even if unsuccessful, constitute a policy violation. See Section 4.1 of the Access Control Policy for access request procedures.</w:t>
      </w:r>
    </w:p>
    <w:p>
      <w:pPr>
        <w:spacing w:after="120"/>
      </w:pPr>
      <w:r>
        <w:rPr>
          <w:sz w:val="22"/>
          <w:szCs w:val="22"/>
        </w:rPr>
        <w:t xml:space="preserve">Users shall not install, download, or execute software that has not been approved by IT. Refer to Section 2.2 of the Configuration Management Policy (Control CFG04.001) for the software inventory management requirements and CFG04.002 for application whitelisting requirements.</w:t>
      </w:r>
    </w:p>
    <w:p/>
    <w:p>
      <w:pPr>
        <w:pStyle w:val="Heading1"/>
      </w:pPr>
      <w:r>
        <w:t xml:space="preserve">Email and Communications</w:t>
      </w:r>
    </w:p>
    <w:p>
      <w:pPr>
        <w:spacing w:after="120"/>
      </w:pPr>
      <w:r>
        <w:rPr>
          <w:sz w:val="22"/>
          <w:szCs w:val="22"/>
        </w:rPr>
        <w:t xml:space="preserve">Organizational email shall be used for official communications. Users must exercise caution with email attachments and links. Phishing and social engineering awareness is covered in the Security Awareness Training Policy. Users shall report suspected phishing attempts to the SOC per the procedures in the Incident Response Policy, Section 4.2, Step 1.</w:t>
      </w:r>
    </w:p>
    <w:p>
      <w:pPr>
        <w:spacing w:after="120"/>
      </w:pPr>
      <w:r>
        <w:rPr>
          <w:sz w:val="22"/>
          <w:szCs w:val="22"/>
        </w:rPr>
        <w:t xml:space="preserve">Users shall not use organizational email for personal business ventures, political campaigning, harassment, or distribution of offensive material. Auto-forwarding of organizational email to personal accounts is prohibited. As described in the Data Loss Prevention Standard, Section 5, all outbound email is subject to content inspection.</w:t>
      </w:r>
    </w:p>
    <w:p/>
    <w:p>
      <w:pPr>
        <w:pStyle w:val="Heading2"/>
      </w:pPr>
      <w:r>
        <w:t xml:space="preserve">Internet Use</w:t>
      </w:r>
    </w:p>
    <w:p>
      <w:pPr>
        <w:spacing w:after="120"/>
      </w:pPr>
      <w:r>
        <w:rPr>
          <w:sz w:val="22"/>
          <w:szCs w:val="22"/>
        </w:rPr>
        <w:t xml:space="preserve">Internet access is provided for work-related activities. The organization reserves the right to restrict access to categories of websites that pose security risks or are inappropriate for the workplace. Web filtering categories are maintained by the Network Operations team and reviewed quarterly. For the current list of blocked categories, refer to Section 3.2 of the Network Security Policy.</w:t>
      </w:r>
    </w:p>
    <w:p/>
    <w:p>
      <w:pPr>
        <w:pStyle w:val="Heading2"/>
      </w:pPr>
      <w:r>
        <w:t xml:space="preserve">Removable Media</w:t>
      </w:r>
    </w:p>
    <w:p>
      <w:pPr>
        <w:spacing w:after="120"/>
      </w:pPr>
      <w:r>
        <w:rPr>
          <w:sz w:val="22"/>
          <w:szCs w:val="22"/>
        </w:rPr>
        <w:t xml:space="preserve">The use of removable media (USB drives, external hard drives, optical media) on organizational systems is restricted. Removable media must be encrypted per the Encryption Policy, Section 2.1. Personally owned removable media shall not be connected to organizational systems. See the Data Handling Policy for classification-specific requirements on removable media.</w:t>
      </w:r>
    </w:p>
    <w:p/>
    <w:p>
      <w:pPr>
        <w:spacing w:after="120" w:before="240"/>
      </w:pPr>
      <w:r>
        <w:rPr>
          <w:rFonts w:ascii="Arial" w:cs="Arial" w:eastAsia="Arial" w:hAnsi="Arial"/>
          <w:b/>
          <w:bCs/>
          <w:sz w:val="28"/>
          <w:szCs w:val="28"/>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Control ID</w:t>
            </w:r>
          </w:p>
        </w:tc>
        <w:tc>
          <w:tcPr>
            <w:tcW w:type="dxa" w:w="6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Requirement</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NIST Ref</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AUP 1.001</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Users shall complete acceptable use training within 30 days of onboarding and annually thereafter.</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PL-4</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AUP 1.002</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Users shall sign an acceptable use agreement before being granted access to organizational systems.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PL-4(1)</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AUP 2.001</w:t>
            </w:r>
          </w:p>
        </w:tc>
        <w:tc>
          <w:tcPr>
            <w:tcW w:type="dxa" w:w="6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Organizational systems shall display a login banner stating that use constitutes consent to monitoring.</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AC-8</w:t>
            </w:r>
          </w:p>
        </w:tc>
      </w:tr>
    </w:tbl>
    <w:p/>
    <w:p>
      <w:pPr>
        <w:pStyle w:val="Heading1"/>
      </w:pPr>
      <w:r>
        <w:t xml:space="preserve">6. Enforcement and Disciplinary Actions</w:t>
      </w:r>
    </w:p>
    <w:p>
      <w:pPr>
        <w:spacing w:after="120"/>
      </w:pPr>
      <w:r>
        <w:rPr>
          <w:sz w:val="22"/>
          <w:szCs w:val="22"/>
        </w:rPr>
        <w:t xml:space="preserve">Violations of this policy will be addressed through the progressive disciplinary framework outlined below. The severity of the violation determines the initial response level. Repeat violations escalate automatically.</w:t>
      </w:r>
    </w:p>
    <w:p>
      <w:pPr>
        <w:spacing w:after="120"/>
      </w:pPr>
      <w:r>
        <w:rPr>
          <w:sz w:val="22"/>
          <w:szCs w:val="22"/>
        </w:rPr>
        <w:t xml:space="preserve">Level 1 (Minor): Verbal counseling and documented reminder of policy requirements. Examples include excessive personal use or minor procedural violations.</w:t>
      </w:r>
    </w:p>
    <w:p>
      <w:pPr>
        <w:spacing w:after="120"/>
      </w:pPr>
      <w:r>
        <w:rPr>
          <w:sz w:val="22"/>
          <w:szCs w:val="22"/>
        </w:rPr>
        <w:t xml:space="preserve">Level 2 (Moderate): Written warning placed in personnel file. Mandatory re-training within 14 days. Examples include unauthorized software installation or sharing credentials.</w:t>
      </w:r>
    </w:p>
    <w:p>
      <w:pPr>
        <w:spacing w:after="120"/>
      </w:pPr>
      <w:r>
        <w:rPr>
          <w:sz w:val="22"/>
          <w:szCs w:val="22"/>
        </w:rPr>
        <w:t xml:space="preserve">Level 3 (Severe): Suspension of IT access privileges pending investigation. HR involvement required. Examples include accessing restricted data without authorization.</w:t>
      </w:r>
    </w:p>
    <w:p>
      <w:pPr>
        <w:spacing w:after="120"/>
      </w:pPr>
      <w:r>
        <w:rPr>
          <w:sz w:val="22"/>
          <w:szCs w:val="22"/>
        </w:rPr>
        <w:t xml:space="preserve">Level 4 (Critical): Immediate suspension of all access. Referral to legal counsel and potential termination. Examples include intentional data exfiltration or facilitating external attacks.</w:t>
      </w:r>
    </w:p>
    <w:p>
      <w:pPr>
        <w:spacing w:after="120"/>
      </w:pPr>
      <w:r>
        <w:rPr>
          <w:sz w:val="22"/>
          <w:szCs w:val="22"/>
        </w:rPr>
        <w:t xml:space="preserve">For contractors and third-party personnel, violations are addressed per the terms of their contract. Refer to Section 7 of the Vendor Management Policy for third-party violation procedures.</w:t>
      </w:r>
    </w:p>
    <w:p/>
    <w:p>
      <w:pPr>
        <w:pStyle w:val="Heading1"/>
      </w:pPr>
      <w:r>
        <w:t xml:space="preserve">Appendix</w:t>
      </w:r>
    </w:p>
    <w:p>
      <w:pPr>
        <w:spacing w:after="120"/>
      </w:pPr>
      <w:r>
        <w:rPr>
          <w:sz w:val="22"/>
          <w:szCs w:val="22"/>
        </w:rPr>
        <w:t xml:space="preserve">References:</w:t>
      </w:r>
    </w:p>
    <w:p>
      <w:pPr>
        <w:spacing w:after="120"/>
      </w:pPr>
      <w:r>
        <w:rPr>
          <w:sz w:val="22"/>
          <w:szCs w:val="22"/>
        </w:rPr>
        <w:t xml:space="preserve">Access Control Policy (POL-AC-2026-001)</w:t>
      </w:r>
    </w:p>
    <w:p>
      <w:pPr>
        <w:spacing w:after="120"/>
      </w:pPr>
      <w:r>
        <w:rPr>
          <w:sz w:val="22"/>
          <w:szCs w:val="22"/>
        </w:rPr>
        <w:t xml:space="preserve">Incident Response Policy (POL-IR-2026-003)</w:t>
      </w:r>
    </w:p>
    <w:p>
      <w:pPr>
        <w:spacing w:after="120"/>
      </w:pPr>
      <w:r>
        <w:rPr>
          <w:sz w:val="22"/>
          <w:szCs w:val="22"/>
        </w:rPr>
        <w:t xml:space="preserve">Configuration Management Policy (POL-CM-2026-004)</w:t>
      </w:r>
    </w:p>
    <w:p>
      <w:pPr>
        <w:spacing w:after="120"/>
      </w:pPr>
      <w:r>
        <w:rPr>
          <w:sz w:val="22"/>
          <w:szCs w:val="22"/>
        </w:rPr>
        <w:t xml:space="preserve">Mobile Device Management Policy (POL-MDM-2026-007)</w:t>
      </w:r>
    </w:p>
    <w:p>
      <w:pPr>
        <w:spacing w:after="120"/>
      </w:pPr>
      <w:r>
        <w:rPr>
          <w:sz w:val="22"/>
          <w:szCs w:val="22"/>
        </w:rPr>
        <w:t xml:space="preserve">Encryption Policy (POL-ENC-2026-008)</w:t>
      </w:r>
    </w:p>
    <w:p>
      <w:pPr>
        <w:spacing w:after="120"/>
      </w:pPr>
      <w:r>
        <w:rPr>
          <w:sz w:val="22"/>
          <w:szCs w:val="22"/>
        </w:rPr>
        <w:t xml:space="preserve">Network Security Policy (POL-NS-2026-002)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Acceptable Use Policy | POL-AU-2026-006 |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2026-03-22T01:36:07.610Z</dcterms:created>
  <dcterms:modified xsi:type="dcterms:W3CDTF">2026-03-22T01:36:07.610Z</dcterms:modified>
</cp:coreProperties>
</file>

<file path=docProps/custom.xml><?xml version="1.0" encoding="utf-8"?>
<Properties xmlns="http://schemas.openxmlformats.org/officeDocument/2006/custom-properties" xmlns:vt="http://schemas.openxmlformats.org/officeDocument/2006/docPropsVTypes"/>
</file>